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4973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97395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DAVIS ERROLL B JR</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General Motors Co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GM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2"/>
            <w:vMerge w:val="restart"/>
          </w:tcPr>
          <w:p>
            <w:pPr>
              <w:ind w:left="2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520" w:type="dxa"/>
            <w:vAlign w:val="bottom"/>
            <w:tcBorders>
              <w:top w:val="single" w:sz="8" w:color="0000EE"/>
            </w:tcBorders>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520" w:type="dxa"/>
            <w:vAlign w:val="bottom"/>
            <w:tcBorders>
              <w:top w:val="single" w:sz="8" w:color="EEEEEE"/>
            </w:tcBorders>
          </w:tcPr>
          <w:p>
            <w:pPr>
              <w:spacing w:after="0" w:line="20" w:lineRule="exact"/>
              <w:rPr>
                <w:sz w:val="1"/>
                <w:szCs w:val="1"/>
                <w:color w:val="auto"/>
              </w:rPr>
            </w:pPr>
          </w:p>
        </w:tc>
        <w:tc>
          <w:tcPr>
            <w:tcW w:w="5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8"/>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8"/>
            <w:vMerge w:val="continue"/>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300 RENAISSANCE CENTER</w:t>
            </w:r>
          </w:p>
        </w:tc>
        <w:tc>
          <w:tcPr>
            <w:tcW w:w="1200" w:type="dxa"/>
            <w:vAlign w:val="bottom"/>
          </w:tcPr>
          <w:p>
            <w:pPr>
              <w:spacing w:after="0"/>
              <w:rPr>
                <w:sz w:val="19"/>
                <w:szCs w:val="19"/>
                <w:color w:val="auto"/>
              </w:rPr>
            </w:pP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12/31/2011</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3"/>
            <w:vMerge w:val="restart"/>
          </w:tcPr>
          <w:p>
            <w:pPr>
              <w:spacing w:after="0"/>
              <w:rPr>
                <w:sz w:val="20"/>
                <w:szCs w:val="20"/>
                <w:color w:val="auto"/>
              </w:rPr>
            </w:pPr>
            <w:r>
              <w:rPr>
                <w:rFonts w:ascii="Arial" w:cs="Arial" w:eastAsia="Arial" w:hAnsi="Arial"/>
                <w:sz w:val="18"/>
                <w:szCs w:val="18"/>
                <w:color w:val="0000FF"/>
                <w:w w:val="98"/>
              </w:rPr>
              <w:t>M/C: 482-C25-A36</w:t>
            </w: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3"/>
            <w:vMerge w:val="continue"/>
          </w:tcPr>
          <w:p>
            <w:pPr>
              <w:spacing w:after="0"/>
              <w:rPr>
                <w:sz w:val="9"/>
                <w:szCs w:val="9"/>
                <w:color w:val="auto"/>
              </w:rPr>
            </w:pPr>
          </w:p>
        </w:tc>
        <w:tc>
          <w:tcPr>
            <w:tcW w:w="5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520" w:type="dxa"/>
            <w:vAlign w:val="bottom"/>
            <w:tcBorders>
              <w:bottom w:val="single" w:sz="8" w:color="9A9A9A"/>
            </w:tcBorders>
          </w:tcPr>
          <w:p>
            <w:pPr>
              <w:spacing w:after="0"/>
              <w:rPr>
                <w:sz w:val="5"/>
                <w:szCs w:val="5"/>
                <w:color w:val="auto"/>
              </w:rPr>
            </w:pPr>
          </w:p>
        </w:tc>
        <w:tc>
          <w:tcPr>
            <w:tcW w:w="5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9"/>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DETROIT</w:t>
            </w:r>
          </w:p>
        </w:tc>
        <w:tc>
          <w:tcPr>
            <w:tcW w:w="220" w:type="dxa"/>
            <w:vAlign w:val="bottom"/>
          </w:tcPr>
          <w:p>
            <w:pPr>
              <w:spacing w:after="0"/>
              <w:rPr>
                <w:sz w:val="20"/>
                <w:szCs w:val="20"/>
                <w:color w:val="auto"/>
              </w:rPr>
            </w:pPr>
            <w:r>
              <w:rPr>
                <w:rFonts w:ascii="Arial" w:cs="Arial" w:eastAsia="Arial" w:hAnsi="Arial"/>
                <w:sz w:val="18"/>
                <w:szCs w:val="18"/>
                <w:color w:val="0000FF"/>
                <w:w w:val="99"/>
              </w:rPr>
              <w:t>MI</w:t>
            </w: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80" w:type="dxa"/>
            <w:vAlign w:val="bottom"/>
            <w:gridSpan w:val="8"/>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ind w:left="180"/>
              <w:spacing w:after="0" w:line="136" w:lineRule="exact"/>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178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6920" w:type="dxa"/>
            <w:vAlign w:val="bottom"/>
            <w:tcBorders>
              <w:top w:val="single" w:sz="8" w:color="2C2C2C"/>
            </w:tcBorders>
            <w:gridSpan w:val="18"/>
          </w:tcPr>
          <w:p>
            <w:pPr>
              <w:ind w:left="24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4"/>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3"/>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9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6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jc w:val="right"/>
              <w:ind w:right="19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1940" w:type="dxa"/>
            <w:vAlign w:val="bottom"/>
            <w:tcBorders>
              <w:bottom w:val="single" w:sz="8" w:color="2C2C2C"/>
            </w:tcBorders>
            <w:gridSpan w:val="5"/>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gridSpan w:val="6"/>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ind w:left="46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800" w:type="dxa"/>
            <w:vAlign w:val="bottom"/>
            <w:gridSpan w:val="16"/>
          </w:tcPr>
          <w:p>
            <w:pPr>
              <w:jc w:val="right"/>
              <w:ind w:right="194"/>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jc w:val="right"/>
              <w:ind w:right="28"/>
              <w:spacing w:after="0"/>
              <w:rPr>
                <w:sz w:val="20"/>
                <w:szCs w:val="20"/>
                <w:color w:val="auto"/>
              </w:rPr>
            </w:pPr>
            <w:r>
              <w:rPr>
                <w:rFonts w:ascii="Arial" w:cs="Arial" w:eastAsia="Arial" w:hAnsi="Arial"/>
                <w:sz w:val="18"/>
                <w:szCs w:val="18"/>
                <w:color w:val="0000FF"/>
                <w:w w:val="93"/>
              </w:rPr>
              <w:t>5,310</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Share</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7"/>
                <w:szCs w:val="7"/>
                <w:color w:val="auto"/>
              </w:rPr>
            </w:pPr>
          </w:p>
        </w:tc>
        <w:tc>
          <w:tcPr>
            <w:tcW w:w="1020" w:type="dxa"/>
            <w:vAlign w:val="bottom"/>
            <w:gridSpan w:val="2"/>
            <w:vMerge w:val="restart"/>
          </w:tcPr>
          <w:p>
            <w:pPr>
              <w:jc w:val="right"/>
              <w:ind w:right="112"/>
              <w:spacing w:after="0" w:line="146" w:lineRule="exact"/>
              <w:rPr>
                <w:sz w:val="20"/>
                <w:szCs w:val="20"/>
                <w:color w:val="auto"/>
              </w:rPr>
            </w:pPr>
            <w:r>
              <w:rPr>
                <w:rFonts w:ascii="Arial" w:cs="Arial" w:eastAsia="Arial" w:hAnsi="Arial"/>
                <w:sz w:val="14"/>
                <w:szCs w:val="14"/>
                <w:color w:val="0000FF"/>
              </w:rPr>
              <w:t>12/31/2011</w:t>
            </w:r>
          </w:p>
        </w:tc>
        <w:tc>
          <w:tcPr>
            <w:tcW w:w="1200" w:type="dxa"/>
            <w:vAlign w:val="bottom"/>
            <w:vMerge w:val="restart"/>
          </w:tcPr>
          <w:p>
            <w:pPr>
              <w:ind w:left="560"/>
              <w:spacing w:after="0"/>
              <w:rPr>
                <w:sz w:val="20"/>
                <w:szCs w:val="20"/>
                <w:color w:val="auto"/>
              </w:rPr>
            </w:pPr>
            <w:r>
              <w:rPr>
                <w:rFonts w:ascii="Arial" w:cs="Arial" w:eastAsia="Arial" w:hAnsi="Arial"/>
                <w:sz w:val="11"/>
                <w:szCs w:val="11"/>
                <w:color w:val="008000"/>
              </w:rPr>
              <w:t>(1)</w:t>
            </w:r>
          </w:p>
        </w:tc>
        <w:tc>
          <w:tcPr>
            <w:tcW w:w="80" w:type="dxa"/>
            <w:vAlign w:val="bottom"/>
          </w:tcPr>
          <w:p>
            <w:pPr>
              <w:spacing w:after="0"/>
              <w:rPr>
                <w:sz w:val="7"/>
                <w:szCs w:val="7"/>
                <w:color w:val="auto"/>
              </w:rPr>
            </w:pPr>
          </w:p>
        </w:tc>
        <w:tc>
          <w:tcPr>
            <w:tcW w:w="640" w:type="dxa"/>
            <w:vAlign w:val="bottom"/>
            <w:gridSpan w:val="3"/>
            <w:vMerge w:val="restart"/>
          </w:tcPr>
          <w:p>
            <w:pPr>
              <w:ind w:left="80"/>
              <w:spacing w:after="0" w:line="146"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ind w:left="200"/>
              <w:spacing w:after="0" w:line="146" w:lineRule="exact"/>
              <w:rPr>
                <w:sz w:val="20"/>
                <w:szCs w:val="20"/>
                <w:color w:val="auto"/>
              </w:rPr>
            </w:pPr>
            <w:r>
              <w:rPr>
                <w:rFonts w:ascii="Arial" w:cs="Arial" w:eastAsia="Arial" w:hAnsi="Arial"/>
                <w:sz w:val="14"/>
                <w:szCs w:val="14"/>
                <w:color w:val="0000FF"/>
              </w:rPr>
              <w:t>5,310</w:t>
            </w:r>
          </w:p>
        </w:tc>
        <w:tc>
          <w:tcPr>
            <w:tcW w:w="340" w:type="dxa"/>
            <w:vAlign w:val="bottom"/>
          </w:tcPr>
          <w:p>
            <w:pPr>
              <w:spacing w:after="0"/>
              <w:rPr>
                <w:sz w:val="7"/>
                <w:szCs w:val="7"/>
                <w:color w:val="auto"/>
              </w:rPr>
            </w:pPr>
          </w:p>
        </w:tc>
        <w:tc>
          <w:tcPr>
            <w:tcW w:w="820" w:type="dxa"/>
            <w:vAlign w:val="bottom"/>
            <w:gridSpan w:val="3"/>
            <w:vMerge w:val="restart"/>
          </w:tcPr>
          <w:p>
            <w:pPr>
              <w:ind w:left="28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7"/>
                <w:szCs w:val="7"/>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(1)</w:t>
            </w:r>
          </w:p>
        </w:tc>
        <w:tc>
          <w:tcPr>
            <w:tcW w:w="70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restart"/>
          </w:tcPr>
          <w:p>
            <w:pPr>
              <w:ind w:left="120"/>
              <w:spacing w:after="0"/>
              <w:rPr>
                <w:sz w:val="20"/>
                <w:szCs w:val="20"/>
                <w:color w:val="auto"/>
              </w:rPr>
            </w:pPr>
            <w:r>
              <w:rPr>
                <w:rFonts w:ascii="Arial" w:cs="Arial" w:eastAsia="Arial" w:hAnsi="Arial"/>
                <w:sz w:val="11"/>
                <w:szCs w:val="11"/>
                <w:color w:val="008000"/>
              </w:rPr>
              <w:t>(1)</w:t>
            </w:r>
          </w:p>
        </w:tc>
        <w:tc>
          <w:tcPr>
            <w:tcW w:w="620" w:type="dxa"/>
            <w:vAlign w:val="bottom"/>
            <w:vMerge w:val="restart"/>
          </w:tcPr>
          <w:p>
            <w:pPr>
              <w:ind w:left="260"/>
              <w:spacing w:after="0" w:line="146" w:lineRule="exact"/>
              <w:rPr>
                <w:sz w:val="20"/>
                <w:szCs w:val="20"/>
                <w:color w:val="auto"/>
              </w:rPr>
            </w:pPr>
            <w:r>
              <w:rPr>
                <w:rFonts w:ascii="Arial" w:cs="Arial" w:eastAsia="Arial" w:hAnsi="Arial"/>
                <w:sz w:val="14"/>
                <w:szCs w:val="14"/>
                <w:color w:val="0000FF"/>
                <w:w w:val="96"/>
              </w:rPr>
              <w:t>5,310</w:t>
            </w:r>
          </w:p>
        </w:tc>
        <w:tc>
          <w:tcPr>
            <w:tcW w:w="280" w:type="dxa"/>
            <w:vAlign w:val="bottom"/>
          </w:tcPr>
          <w:p>
            <w:pPr>
              <w:spacing w:after="0"/>
              <w:rPr>
                <w:sz w:val="7"/>
                <w:szCs w:val="7"/>
                <w:color w:val="auto"/>
              </w:rPr>
            </w:pPr>
          </w:p>
        </w:tc>
        <w:tc>
          <w:tcPr>
            <w:tcW w:w="700" w:type="dxa"/>
            <w:vAlign w:val="bottom"/>
            <w:vMerge w:val="restart"/>
          </w:tcPr>
          <w:p>
            <w:pPr>
              <w:ind w:left="34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60" w:firstLine="9"/>
        <w:spacing w:after="0" w:line="273"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Deferred share units were awarded on December 31, 2011 pursuant to the General Motors Company Deferred Compensation Plan for Non-Employee Directors. Each non-employee director is required to defer one-half of the $200,000 annual retainer fee for service on the Board of Directors into share units of the Company's Common Stock ("Deferred Share Units"), and may elect to defer all or 50% of the remaining retainer into additional Deferred Share Units. Amounts credited as Deferred Share Units will not be available until after the director retires or otherwise leaves the Board, at which time he or she will receive a cash payment or payments based on the number of share units in his or her account, valued at the average daily market price of the Common Stock for the quarter immediately preceding payment. The Deferred Share Units do not have a conversion or exercise price, or an exercise or expiration date.</w:t>
      </w:r>
    </w:p>
    <w:tbl>
      <w:tblPr>
        <w:tblLayout w:type="fixed"/>
        <w:tblInd w:w="6860" w:type="dxa"/>
        <w:tblCellMar>
          <w:top w:w="0" w:type="dxa"/>
          <w:left w:w="0" w:type="dxa"/>
          <w:bottom w:w="0" w:type="dxa"/>
          <w:right w:w="0" w:type="dxa"/>
        </w:tblCellMar>
      </w:tblPr>
      <w:tr>
        <w:trPr>
          <w:trHeight w:val="225"/>
        </w:trPr>
        <w:tc>
          <w:tcPr>
            <w:tcW w:w="2120" w:type="dxa"/>
            <w:vAlign w:val="bottom"/>
            <w:tcBorders>
              <w:bottom w:val="single" w:sz="8" w:color="auto"/>
            </w:tcBorders>
            <w:gridSpan w:val="2"/>
          </w:tcPr>
          <w:p>
            <w:pPr>
              <w:spacing w:after="0" w:line="206" w:lineRule="exact"/>
              <w:rPr>
                <w:sz w:val="20"/>
                <w:szCs w:val="20"/>
                <w:color w:val="auto"/>
              </w:rPr>
            </w:pPr>
            <w:r>
              <w:rPr>
                <w:rFonts w:ascii="Arial" w:cs="Arial" w:eastAsia="Arial" w:hAnsi="Arial"/>
                <w:sz w:val="18"/>
                <w:szCs w:val="18"/>
                <w:color w:val="0000FF"/>
                <w:w w:val="90"/>
              </w:rPr>
              <w:t>/s/ Anne T. Larin, attorney-in-</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01/04/2012</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 for Mr. Davis</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6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09075"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2019-12-17T01:10:48Z</dcterms:created>
  <dcterms:modified xsi:type="dcterms:W3CDTF">2019-12-17T01:10:48Z</dcterms:modified>
</cp:coreProperties>
</file>