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25, 2017</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On July 25, 2017 General Motors Company (GM) issued a news release and supplemental materials on the subject of its 2017 second quarter earnings. The news release and supplemental materials are attached as Exhibit 99.1 and Exhibit 99.2.</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2017 second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00" w:type="dxa"/>
            <w:vAlign w:val="bottom"/>
            <w:gridSpan w:val="3"/>
          </w:tcPr>
          <w:p>
            <w:pPr>
              <w:spacing w:after="0"/>
              <w:rPr>
                <w:sz w:val="20"/>
                <w:szCs w:val="20"/>
                <w:color w:val="auto"/>
              </w:rPr>
            </w:pPr>
            <w:r>
              <w:rPr>
                <w:rFonts w:ascii="Arial" w:cs="Arial" w:eastAsia="Arial" w:hAnsi="Arial"/>
                <w:sz w:val="18"/>
                <w:szCs w:val="18"/>
                <w:color w:val="auto"/>
              </w:rPr>
              <w:t>News Release Dated July 25, 2017</w:t>
            </w:r>
          </w:p>
        </w:tc>
      </w:tr>
      <w:tr>
        <w:trPr>
          <w:trHeight w:val="27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00" w:type="dxa"/>
            <w:vAlign w:val="bottom"/>
            <w:gridSpan w:val="3"/>
          </w:tcPr>
          <w:p>
            <w:pPr>
              <w:spacing w:after="0"/>
              <w:rPr>
                <w:sz w:val="20"/>
                <w:szCs w:val="20"/>
                <w:color w:val="auto"/>
              </w:rPr>
            </w:pPr>
            <w:r>
              <w:rPr>
                <w:rFonts w:ascii="Arial" w:cs="Arial" w:eastAsia="Arial" w:hAnsi="Arial"/>
                <w:sz w:val="18"/>
                <w:szCs w:val="18"/>
                <w:color w:val="auto"/>
                <w:w w:val="99"/>
              </w:rPr>
              <w:t>Financial Highlights Dated July 25, 2017</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July 25, 2017</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Controller, Chief Accounting Officer and Global</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nor assets and liabilities held for sale. GM's non-GAAP measures include earnings before interest and taxes (EBIT)-adjusted, presented net of noncontrolling interests, earnings per share (EPS)-diluted-adjusted,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82"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367"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EPS-diluted-adjusted is used by management and can be used by investors to review our consolidated diluted earnings per share results on a 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 contributions to employee benefit plans.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71"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attributable to common stockholders under U.S. GAAP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3"/>
                <w:szCs w:val="13"/>
                <w:b w:val="1"/>
                <w:bCs w:val="1"/>
                <w:color w:val="auto"/>
                <w:w w:val="99"/>
              </w:rPr>
              <w:t>June 30, 2016</w:t>
            </w:r>
          </w:p>
        </w:tc>
        <w:tc>
          <w:tcPr>
            <w:tcW w:w="0" w:type="dxa"/>
            <w:vAlign w:val="bottom"/>
          </w:tcPr>
          <w:p>
            <w:pPr>
              <w:spacing w:after="0"/>
              <w:rPr>
                <w:sz w:val="1"/>
                <w:szCs w:val="1"/>
                <w:color w:val="auto"/>
              </w:rPr>
            </w:pP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6,129</w:t>
            </w:r>
          </w:p>
        </w:tc>
        <w:tc>
          <w:tcPr>
            <w:tcW w:w="0" w:type="dxa"/>
            <w:vAlign w:val="bottom"/>
          </w:tcPr>
          <w:p>
            <w:pPr>
              <w:spacing w:after="0"/>
              <w:rPr>
                <w:sz w:val="1"/>
                <w:szCs w:val="1"/>
                <w:color w:val="auto"/>
              </w:rPr>
            </w:pPr>
          </w:p>
        </w:tc>
      </w:tr>
      <w:tr>
        <w:trPr>
          <w:trHeight w:val="260"/>
        </w:trPr>
        <w:tc>
          <w:tcPr>
            <w:tcW w:w="5820" w:type="dxa"/>
            <w:vAlign w:val="bottom"/>
          </w:tcPr>
          <w:p>
            <w:pPr>
              <w:ind w:left="180"/>
              <w:spacing w:after="0"/>
              <w:rPr>
                <w:sz w:val="20"/>
                <w:szCs w:val="20"/>
                <w:color w:val="auto"/>
              </w:rPr>
            </w:pPr>
            <w:r>
              <w:rPr>
                <w:rFonts w:ascii="Arial" w:cs="Arial" w:eastAsia="Arial" w:hAnsi="Arial"/>
                <w:sz w:val="16"/>
                <w:szCs w:val="16"/>
                <w:color w:val="auto"/>
              </w:rPr>
              <w:t>GM International Operations (GMIO)</w:t>
            </w:r>
          </w:p>
        </w:tc>
        <w:tc>
          <w:tcPr>
            <w:tcW w:w="22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South America (GMSA)</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segments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eliminations(b)</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Special items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GMIO restructuring(c)</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820" w:type="dxa"/>
            <w:vAlign w:val="bottom"/>
          </w:tcPr>
          <w:p>
            <w:pPr>
              <w:ind w:left="180"/>
              <w:spacing w:after="0"/>
              <w:rPr>
                <w:sz w:val="20"/>
                <w:szCs w:val="20"/>
                <w:color w:val="auto"/>
              </w:rPr>
            </w:pPr>
            <w:r>
              <w:rPr>
                <w:rFonts w:ascii="Arial" w:cs="Arial" w:eastAsia="Arial" w:hAnsi="Arial"/>
                <w:sz w:val="16"/>
                <w:szCs w:val="16"/>
                <w:color w:val="auto"/>
              </w:rPr>
              <w:t>Venezuela deconsolidation(d)</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Ignition switch recall and related legal matters(e)</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47"/>
        </w:trPr>
        <w:tc>
          <w:tcPr>
            <w:tcW w:w="5820" w:type="dxa"/>
            <w:vAlign w:val="bottom"/>
          </w:tcPr>
          <w:p>
            <w:pPr>
              <w:ind w:left="40"/>
              <w:spacing w:after="0"/>
              <w:rPr>
                <w:sz w:val="20"/>
                <w:szCs w:val="20"/>
                <w:color w:val="auto"/>
              </w:rPr>
            </w:pPr>
            <w:r>
              <w:rPr>
                <w:rFonts w:ascii="Arial" w:cs="Arial" w:eastAsia="Arial" w:hAnsi="Arial"/>
                <w:sz w:val="16"/>
                <w:szCs w:val="16"/>
                <w:color w:val="auto"/>
              </w:rPr>
              <w:t>Total special items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73"/>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47"/>
        </w:trPr>
        <w:tc>
          <w:tcPr>
            <w:tcW w:w="5820" w:type="dxa"/>
            <w:vAlign w:val="bottom"/>
          </w:tcPr>
          <w:p>
            <w:pPr>
              <w:ind w:left="40"/>
              <w:spacing w:after="0"/>
              <w:rPr>
                <w:sz w:val="20"/>
                <w:szCs w:val="20"/>
                <w:color w:val="auto"/>
              </w:rPr>
            </w:pPr>
            <w:r>
              <w:rPr>
                <w:rFonts w:ascii="Arial" w:cs="Arial" w:eastAsia="Arial" w:hAnsi="Arial"/>
                <w:sz w:val="16"/>
                <w:szCs w:val="16"/>
                <w:color w:val="auto"/>
              </w:rPr>
              <w:t>Income from continuing operations(f)</w:t>
            </w:r>
          </w:p>
        </w:tc>
        <w:tc>
          <w:tcPr>
            <w:tcW w:w="22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4,705</w:t>
            </w:r>
          </w:p>
        </w:tc>
        <w:tc>
          <w:tcPr>
            <w:tcW w:w="0" w:type="dxa"/>
            <w:vAlign w:val="bottom"/>
          </w:tcPr>
          <w:p>
            <w:pPr>
              <w:spacing w:after="0"/>
              <w:rPr>
                <w:sz w:val="1"/>
                <w:szCs w:val="1"/>
                <w:color w:val="auto"/>
              </w:rPr>
            </w:pPr>
          </w:p>
        </w:tc>
      </w:tr>
      <w:tr>
        <w:trPr>
          <w:trHeight w:val="273"/>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corporate expenditures including autonomous vehicle-related engineering and other costs and certain nonsegment specific revenues and expenses are recorded centrally in Corporate.</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and South Africa.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we ceased operations and terminated employment relationships in Venezuela due to causes beyond our control, which included adverse political and economic conditions, including the seizure of our manufacturing facility.</w:t>
      </w: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1"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common stockholders under U.S. GAAP to EBIT-adjusted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tcPr>
          <w:p>
            <w:pPr>
              <w:ind w:left="14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rPr>
              <w:t>March 31,</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5"/>
          </w:tcPr>
          <w:p>
            <w:pPr>
              <w:ind w:left="220"/>
              <w:spacing w:after="0"/>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21"/>
                <w:szCs w:val="21"/>
                <w:color w:val="auto"/>
              </w:rPr>
            </w:pPr>
          </w:p>
        </w:tc>
        <w:tc>
          <w:tcPr>
            <w:tcW w:w="1280" w:type="dxa"/>
            <w:vAlign w:val="bottom"/>
            <w:gridSpan w:val="4"/>
          </w:tcPr>
          <w:p>
            <w:pPr>
              <w:jc w:val="right"/>
              <w:ind w:right="269"/>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7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ind w:right="169"/>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149"/>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51"/>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51"/>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49"/>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1,953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Gain on extinguishment of debt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Automotive interest income</w:t>
            </w:r>
          </w:p>
        </w:tc>
        <w:tc>
          <w:tcPr>
            <w:tcW w:w="160" w:type="dxa"/>
            <w:vAlign w:val="bottom"/>
          </w:tcPr>
          <w:p>
            <w:pPr>
              <w:spacing w:after="0"/>
              <w:rPr>
                <w:sz w:val="22"/>
                <w:szCs w:val="22"/>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00"/>
              <w:spacing w:after="0"/>
              <w:rPr>
                <w:sz w:val="20"/>
                <w:szCs w:val="20"/>
                <w:color w:val="auto"/>
              </w:rPr>
            </w:pPr>
            <w:r>
              <w:rPr>
                <w:rFonts w:ascii="Arial" w:cs="Arial" w:eastAsia="Arial" w:hAnsi="Arial"/>
                <w:sz w:val="14"/>
                <w:szCs w:val="14"/>
                <w:color w:val="auto"/>
              </w:rPr>
              <w:t>GMIO restructuring(a)</w:t>
            </w: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Venezuela deconsolidation(a)</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200"/>
              <w:spacing w:after="0"/>
              <w:rPr>
                <w:sz w:val="20"/>
                <w:szCs w:val="20"/>
                <w:color w:val="auto"/>
              </w:rPr>
            </w:pPr>
            <w:r>
              <w:rPr>
                <w:rFonts w:ascii="Arial" w:cs="Arial" w:eastAsia="Arial" w:hAnsi="Arial"/>
                <w:sz w:val="14"/>
                <w:szCs w:val="14"/>
                <w:color w:val="auto"/>
              </w:rPr>
              <w:t>Ignition switch recall and related legal matters(a)</w:t>
            </w: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Total adjustments</w:t>
            </w:r>
          </w:p>
        </w:tc>
        <w:tc>
          <w:tcPr>
            <w:tcW w:w="160" w:type="dxa"/>
            <w:vAlign w:val="bottom"/>
          </w:tcPr>
          <w:p>
            <w:pPr>
              <w:spacing w:after="0"/>
              <w:rPr>
                <w:sz w:val="21"/>
                <w:szCs w:val="21"/>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EBIT-adjusted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96"/>
              </w:rPr>
              <w:t>2,742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3,308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Refer to the reconciliation of segment profit (loss) to Net income attributable to common stockholders under U.S. GAAP within the previous section for the details of each individual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1"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3"/>
                <w:szCs w:val="13"/>
                <w:b w:val="1"/>
                <w:bCs w:val="1"/>
                <w:color w:val="auto"/>
              </w:rPr>
              <w:t>June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3"/>
                <w:szCs w:val="13"/>
                <w:b w:val="1"/>
                <w:bCs w:val="1"/>
                <w:color w:val="auto"/>
              </w:rPr>
              <w:t>June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June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3"/>
                <w:szCs w:val="13"/>
                <w:b w:val="1"/>
                <w:bCs w:val="1"/>
                <w:color w:val="auto"/>
              </w:rPr>
              <w:t>June 30, 2016</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2,865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4,268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4,817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4"/>
        </w:trPr>
        <w:tc>
          <w:tcPr>
            <w:tcW w:w="3780" w:type="dxa"/>
            <w:vAlign w:val="bottom"/>
          </w:tcPr>
          <w:p>
            <w:pPr>
              <w:ind w:left="40"/>
              <w:spacing w:after="0"/>
              <w:rPr>
                <w:sz w:val="20"/>
                <w:szCs w:val="20"/>
                <w:color w:val="auto"/>
              </w:rPr>
            </w:pPr>
            <w:r>
              <w:rPr>
                <w:rFonts w:ascii="Arial" w:cs="Arial" w:eastAsia="Arial" w:hAnsi="Arial"/>
                <w:sz w:val="14"/>
                <w:szCs w:val="14"/>
                <w:color w:val="auto"/>
              </w:rPr>
              <w:t>Diluted (earnings) loss per common share – discontinued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140" w:type="dxa"/>
            <w:vAlign w:val="bottom"/>
          </w:tcPr>
          <w:p>
            <w:pPr>
              <w:spacing w:after="0"/>
              <w:rPr>
                <w:sz w:val="15"/>
                <w:szCs w:val="15"/>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Adjustments(a)</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Tax effect on adjustments(b)</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EPS-diluted-adjusted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attributable to common stockholders under U.S. GAAP within the previous section for the details of each individual adjustment.</w:t>
      </w:r>
    </w:p>
    <w:p>
      <w:pPr>
        <w:ind w:left="340" w:hanging="332"/>
        <w:spacing w:after="0" w:line="229"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16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We define return on equity (ROE) as Net income attributable to common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8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Pr>
          <w:p>
            <w:pPr>
              <w:spacing w:after="0"/>
              <w:rPr>
                <w:sz w:val="22"/>
                <w:szCs w:val="22"/>
                <w:color w:val="auto"/>
              </w:rPr>
            </w:pPr>
          </w:p>
        </w:tc>
        <w:tc>
          <w:tcPr>
            <w:tcW w:w="1140" w:type="dxa"/>
            <w:vAlign w:val="bottom"/>
          </w:tcPr>
          <w:p>
            <w:pPr>
              <w:jc w:val="right"/>
              <w:ind w:right="182"/>
              <w:spacing w:after="0"/>
              <w:rPr>
                <w:sz w:val="20"/>
                <w:szCs w:val="20"/>
                <w:color w:val="auto"/>
              </w:rPr>
            </w:pPr>
            <w:r>
              <w:rPr>
                <w:rFonts w:ascii="Arial" w:cs="Arial" w:eastAsia="Arial" w:hAnsi="Arial"/>
                <w:sz w:val="13"/>
                <w:szCs w:val="13"/>
                <w:b w:val="1"/>
                <w:bCs w:val="1"/>
                <w:color w:val="auto"/>
              </w:rPr>
              <w:t>June 30, 2016</w:t>
            </w:r>
          </w:p>
        </w:tc>
      </w:tr>
      <w:tr>
        <w:trPr>
          <w:trHeight w:val="257"/>
        </w:trPr>
        <w:tc>
          <w:tcPr>
            <w:tcW w:w="8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8.9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12.4</w:t>
            </w:r>
          </w:p>
        </w:tc>
      </w:tr>
      <w:tr>
        <w:trPr>
          <w:trHeight w:val="260"/>
        </w:trPr>
        <w:tc>
          <w:tcPr>
            <w:tcW w:w="8660" w:type="dxa"/>
            <w:vAlign w:val="bottom"/>
          </w:tcPr>
          <w:p>
            <w:pPr>
              <w:ind w:left="40"/>
              <w:spacing w:after="0"/>
              <w:rPr>
                <w:sz w:val="20"/>
                <w:szCs w:val="20"/>
                <w:color w:val="auto"/>
              </w:rPr>
            </w:pPr>
            <w:r>
              <w:rPr>
                <w:rFonts w:ascii="Arial" w:cs="Arial" w:eastAsia="Arial" w:hAnsi="Arial"/>
                <w:sz w:val="16"/>
                <w:szCs w:val="16"/>
                <w:color w:val="auto"/>
              </w:rPr>
              <w:t>Average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4"/>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40.2</w:t>
            </w:r>
          </w:p>
        </w:tc>
      </w:tr>
      <w:tr>
        <w:trPr>
          <w:trHeight w:val="280"/>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386"/>
        </w:trPr>
        <w:tc>
          <w:tcPr>
            <w:tcW w:w="8660" w:type="dxa"/>
            <w:vAlign w:val="bottom"/>
          </w:tcPr>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8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8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Pr>
          <w:p>
            <w:pPr>
              <w:spacing w:after="0"/>
              <w:rPr>
                <w:sz w:val="22"/>
                <w:szCs w:val="22"/>
                <w:color w:val="auto"/>
              </w:rPr>
            </w:pPr>
          </w:p>
        </w:tc>
        <w:tc>
          <w:tcPr>
            <w:tcW w:w="1140" w:type="dxa"/>
            <w:vAlign w:val="bottom"/>
          </w:tcPr>
          <w:p>
            <w:pPr>
              <w:jc w:val="right"/>
              <w:ind w:right="182"/>
              <w:spacing w:after="0"/>
              <w:rPr>
                <w:sz w:val="20"/>
                <w:szCs w:val="20"/>
                <w:color w:val="auto"/>
              </w:rPr>
            </w:pPr>
            <w:r>
              <w:rPr>
                <w:rFonts w:ascii="Arial" w:cs="Arial" w:eastAsia="Arial" w:hAnsi="Arial"/>
                <w:sz w:val="13"/>
                <w:szCs w:val="13"/>
                <w:b w:val="1"/>
                <w:bCs w:val="1"/>
                <w:color w:val="auto"/>
              </w:rPr>
              <w:t>June 30, 2016</w:t>
            </w:r>
          </w:p>
        </w:tc>
      </w:tr>
      <w:tr>
        <w:trPr>
          <w:trHeight w:val="257"/>
        </w:trPr>
        <w:tc>
          <w:tcPr>
            <w:tcW w:w="8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12.9</w:t>
            </w:r>
          </w:p>
        </w:tc>
      </w:tr>
      <w:tr>
        <w:trPr>
          <w:trHeight w:val="260"/>
        </w:trPr>
        <w:tc>
          <w:tcPr>
            <w:tcW w:w="8660" w:type="dxa"/>
            <w:vAlign w:val="bottom"/>
          </w:tcPr>
          <w:p>
            <w:pPr>
              <w:ind w:left="40"/>
              <w:spacing w:after="0"/>
              <w:rPr>
                <w:sz w:val="20"/>
                <w:szCs w:val="20"/>
                <w:color w:val="auto"/>
              </w:rPr>
            </w:pPr>
            <w:r>
              <w:rPr>
                <w:rFonts w:ascii="Arial" w:cs="Arial" w:eastAsia="Arial" w:hAnsi="Arial"/>
                <w:sz w:val="16"/>
                <w:szCs w:val="16"/>
                <w:color w:val="auto"/>
              </w:rPr>
              <w:t>Average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4"/>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40.2</w:t>
            </w:r>
          </w:p>
        </w:tc>
      </w:tr>
      <w:tr>
        <w:trPr>
          <w:trHeight w:val="280"/>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8.9</w:t>
            </w:r>
          </w:p>
        </w:tc>
      </w:tr>
      <w:tr>
        <w:trPr>
          <w:trHeight w:val="260"/>
        </w:trPr>
        <w:tc>
          <w:tcPr>
            <w:tcW w:w="8660" w:type="dxa"/>
            <w:vAlign w:val="bottom"/>
          </w:tcPr>
          <w:p>
            <w:pPr>
              <w:ind w:left="40"/>
              <w:spacing w:after="0"/>
              <w:rPr>
                <w:sz w:val="20"/>
                <w:szCs w:val="20"/>
                <w:color w:val="auto"/>
              </w:rPr>
            </w:pPr>
            <w:r>
              <w:rPr>
                <w:rFonts w:ascii="Arial" w:cs="Arial" w:eastAsia="Arial" w:hAnsi="Arial"/>
                <w:sz w:val="16"/>
                <w:szCs w:val="16"/>
                <w:color w:val="auto"/>
              </w:rPr>
              <w:t>Add: Average automotive net pension &amp; OPEB liability</w:t>
            </w:r>
          </w:p>
        </w:tc>
        <w:tc>
          <w:tcPr>
            <w:tcW w:w="180" w:type="dxa"/>
            <w:vAlign w:val="bottom"/>
          </w:tcPr>
          <w:p>
            <w:pPr>
              <w:spacing w:after="0"/>
              <w:rPr>
                <w:sz w:val="22"/>
                <w:szCs w:val="22"/>
                <w:color w:val="auto"/>
              </w:rPr>
            </w:pPr>
          </w:p>
        </w:tc>
        <w:tc>
          <w:tcPr>
            <w:tcW w:w="1140" w:type="dxa"/>
            <w:vAlign w:val="bottom"/>
          </w:tcPr>
          <w:p>
            <w:pPr>
              <w:jc w:val="right"/>
              <w:ind w:right="84"/>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23.8</w:t>
            </w:r>
          </w:p>
        </w:tc>
      </w:tr>
      <w:tr>
        <w:trPr>
          <w:trHeight w:val="273"/>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automotive net income tax asset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(33.2)</w:t>
            </w:r>
          </w:p>
        </w:tc>
      </w:tr>
      <w:tr>
        <w:trPr>
          <w:trHeight w:val="28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ROIC-adjusted average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39.7</w:t>
            </w:r>
          </w:p>
        </w:tc>
      </w:tr>
      <w:tr>
        <w:trPr>
          <w:trHeight w:val="227"/>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ROIC-adjusted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167"/>
        </w:trPr>
        <w:tc>
          <w:tcPr>
            <w:tcW w:w="8660" w:type="dxa"/>
            <w:vAlign w:val="bottom"/>
          </w:tcPr>
          <w:p>
            <w:pPr>
              <w:spacing w:after="0"/>
              <w:rPr>
                <w:sz w:val="20"/>
                <w:szCs w:val="20"/>
                <w:color w:val="auto"/>
              </w:rPr>
            </w:pPr>
            <w:r>
              <w:rPr>
                <w:rFonts w:ascii="Arial" w:cs="Arial" w:eastAsia="Arial" w:hAnsi="Arial"/>
                <w:sz w:val="14"/>
                <w:szCs w:val="14"/>
                <w:color w:val="auto"/>
              </w:rPr>
              <w:t>________</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common stockholders under U.S. GAAP to EBIT-adjusted on the preceding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81" w:right="239" w:bottom="1440" w:gutter="0" w:footer="0" w:header="0"/>
        </w:sectPr>
      </w:pPr>
    </w:p>
    <w:bookmarkStart w:id="11" w:name="page12"/>
    <w:bookmarkEnd w:id="11"/>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67" w:lineRule="exact"/>
        <w:rPr>
          <w:sz w:val="20"/>
          <w:szCs w:val="20"/>
          <w:color w:val="auto"/>
        </w:rPr>
      </w:pPr>
    </w:p>
    <w:p>
      <w:pPr>
        <w:ind w:right="6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2017</w:t>
            </w:r>
          </w:p>
        </w:tc>
        <w:tc>
          <w:tcPr>
            <w:tcW w:w="220" w:type="dxa"/>
            <w:vAlign w:val="bottom"/>
          </w:tcPr>
          <w:p>
            <w:pPr>
              <w:spacing w:after="0"/>
              <w:rPr>
                <w:sz w:val="22"/>
                <w:szCs w:val="22"/>
                <w:color w:val="auto"/>
              </w:rPr>
            </w:pPr>
          </w:p>
        </w:tc>
        <w:tc>
          <w:tcPr>
            <w:tcW w:w="1260" w:type="dxa"/>
            <w:vAlign w:val="bottom"/>
          </w:tcPr>
          <w:p>
            <w:pPr>
              <w:jc w:val="right"/>
              <w:ind w:right="241"/>
              <w:spacing w:after="0"/>
              <w:rPr>
                <w:sz w:val="20"/>
                <w:szCs w:val="20"/>
                <w:color w:val="auto"/>
              </w:rPr>
            </w:pPr>
            <w:r>
              <w:rPr>
                <w:rFonts w:ascii="Arial" w:cs="Arial" w:eastAsia="Arial" w:hAnsi="Arial"/>
                <w:sz w:val="13"/>
                <w:szCs w:val="13"/>
                <w:b w:val="1"/>
                <w:bCs w:val="1"/>
                <w:color w:val="auto"/>
              </w:rPr>
              <w:t>June 30, 2016</w:t>
            </w:r>
          </w:p>
        </w:tc>
      </w:tr>
      <w:tr>
        <w:trPr>
          <w:trHeight w:val="25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6,162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3,704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(3,994)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 discretionary pension plan contributions</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1,982</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Adjusted automotive free cash flow – continuing operations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1,692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operating activities – discontinued operations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capital expenditures – discontinued operations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1,745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337"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12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GMIO</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2"/>
                <w:szCs w:val="12"/>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June 30, 2017</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6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36,984</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2,307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2,456</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2,961</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530</w:t>
            </w:r>
          </w:p>
        </w:tc>
        <w:tc>
          <w:tcPr>
            <w:tcW w:w="0" w:type="dxa"/>
            <w:vAlign w:val="bottom"/>
          </w:tcPr>
          <w:p>
            <w:pPr>
              <w:spacing w:after="0"/>
              <w:rPr>
                <w:sz w:val="1"/>
                <w:szCs w:val="1"/>
                <w:color w:val="auto"/>
              </w:rPr>
            </w:pPr>
          </w:p>
        </w:tc>
      </w:tr>
      <w:tr>
        <w:trPr>
          <w:trHeight w:val="22"/>
        </w:trPr>
        <w:tc>
          <w:tcPr>
            <w:tcW w:w="3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4"/>
        </w:trPr>
        <w:tc>
          <w:tcPr>
            <w:tcW w:w="3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GMIO</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b w:val="1"/>
                <w:bCs w:val="1"/>
                <w:color w:val="auto"/>
              </w:rPr>
              <w:t>Three Months Ended June 30, 2016</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37,383</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1,748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2,015</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2,371</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61</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660</w:t>
            </w:r>
          </w:p>
        </w:tc>
      </w:tr>
      <w:tr>
        <w:trPr>
          <w:trHeight w:val="22"/>
        </w:trPr>
        <w:tc>
          <w:tcPr>
            <w:tcW w:w="3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4"/>
        </w:trPr>
        <w:tc>
          <w:tcPr>
            <w:tcW w:w="3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GMIO</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b w:val="1"/>
                <w:bCs w:val="1"/>
                <w:color w:val="auto"/>
              </w:rPr>
              <w:t>Six Months Ended June 30, 2017</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68,651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74,250</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3,835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4,186</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5,683</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254</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1,085</w:t>
            </w:r>
          </w:p>
        </w:tc>
      </w:tr>
      <w:tr>
        <w:trPr>
          <w:trHeight w:val="22"/>
        </w:trPr>
        <w:tc>
          <w:tcPr>
            <w:tcW w:w="3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4"/>
        </w:trPr>
        <w:tc>
          <w:tcPr>
            <w:tcW w:w="3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GMIO</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b w:val="1"/>
                <w:bCs w:val="1"/>
                <w:color w:val="auto"/>
              </w:rPr>
              <w:t>Six Months Ended June 30, 2016</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56,730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70,399</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3,503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4,032</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4,487</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104</w:t>
            </w:r>
          </w:p>
        </w:tc>
      </w:tr>
      <w:tr>
        <w:trPr>
          <w:trHeight w:val="22"/>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1,220</w:t>
            </w:r>
          </w:p>
        </w:tc>
      </w:tr>
      <w:tr>
        <w:trPr>
          <w:trHeight w:val="22"/>
        </w:trPr>
        <w:tc>
          <w:tcPr>
            <w:tcW w:w="3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ind w:left="340" w:hanging="332"/>
        <w:spacing w:after="0"/>
        <w:tabs>
          <w:tab w:leader="none" w:pos="3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Automotive China equity income of $509 million and $471 million in the three months ended June 30, 2017 and 2016 and $1.0 billion in the six months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1" w:right="239" w:bottom="1440" w:gutter="0" w:footer="0" w:header="0"/>
        </w:sectPr>
      </w:pPr>
    </w:p>
    <w:bookmarkStart w:id="13" w:name="page14"/>
    <w:bookmarkEnd w:id="13"/>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and corresponding calculations of GM's market share.</w:t>
      </w:r>
    </w:p>
    <w:p>
      <w:pPr>
        <w:spacing w:after="0" w:line="174"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Wholesale vehicle sales data (vehicles in thousands),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We have agreed to purchase from and supply to PSA Group certain vehicles for a period of time following the close of the Master Agreement. As a result, in GMIO wholesale vehicle sales include 46 and 35 vehicles related to transactions with the European Business for the three months ended June 30, 2017 and 2016 and include 94 and 70 vehicles for the six months ended June 30, 2017 and 2016. Changes in wholesale vehicle sales in GMNA and GMSA were insignificant for the three and six months ended June 30, 2017 and 2016. In the six months ended June 30, 2017, 37.5% of our wholesale vehicle sales volume was generated outside the U.S. The following table summarizes total wholesale vehicle sales of new vehicles by automotive segment: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80"/>
              <w:spacing w:after="0"/>
              <w:rPr>
                <w:sz w:val="20"/>
                <w:szCs w:val="20"/>
                <w:color w:val="auto"/>
              </w:rPr>
            </w:pPr>
            <w:r>
              <w:rPr>
                <w:rFonts w:ascii="Arial" w:cs="Arial" w:eastAsia="Arial" w:hAnsi="Arial"/>
                <w:sz w:val="13"/>
                <w:szCs w:val="13"/>
                <w:b w:val="1"/>
                <w:bCs w:val="1"/>
                <w:color w:val="auto"/>
              </w:rPr>
              <w:t>June 30, 2017</w:t>
            </w:r>
          </w:p>
        </w:tc>
        <w:tc>
          <w:tcPr>
            <w:tcW w:w="1500" w:type="dxa"/>
            <w:vAlign w:val="bottom"/>
            <w:gridSpan w:val="2"/>
          </w:tcPr>
          <w:p>
            <w:pPr>
              <w:ind w:left="280"/>
              <w:spacing w:after="0"/>
              <w:rPr>
                <w:sz w:val="20"/>
                <w:szCs w:val="20"/>
                <w:color w:val="auto"/>
              </w:rPr>
            </w:pPr>
            <w:r>
              <w:rPr>
                <w:rFonts w:ascii="Arial" w:cs="Arial" w:eastAsia="Arial" w:hAnsi="Arial"/>
                <w:sz w:val="13"/>
                <w:szCs w:val="13"/>
                <w:b w:val="1"/>
                <w:bCs w:val="1"/>
                <w:color w:val="auto"/>
              </w:rPr>
              <w:t>June 30, 2016</w:t>
            </w: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 2017</w:t>
            </w:r>
          </w:p>
        </w:tc>
        <w:tc>
          <w:tcPr>
            <w:tcW w:w="1360" w:type="dxa"/>
            <w:vAlign w:val="bottom"/>
          </w:tcPr>
          <w:p>
            <w:pPr>
              <w:jc w:val="right"/>
              <w:ind w:right="182"/>
              <w:spacing w:after="0"/>
              <w:rPr>
                <w:sz w:val="20"/>
                <w:szCs w:val="20"/>
                <w:color w:val="auto"/>
              </w:rPr>
            </w:pPr>
            <w:r>
              <w:rPr>
                <w:rFonts w:ascii="Arial" w:cs="Arial" w:eastAsia="Arial" w:hAnsi="Arial"/>
                <w:sz w:val="13"/>
                <w:szCs w:val="13"/>
                <w:b w:val="1"/>
                <w:bCs w:val="1"/>
                <w:color w:val="auto"/>
              </w:rPr>
              <w:t>June 30, 2016</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1,004</w:t>
            </w:r>
          </w:p>
        </w:tc>
        <w:tc>
          <w:tcPr>
            <w:tcW w:w="14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1,834</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GMIO</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2"/>
                <w:szCs w:val="22"/>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GMSA</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8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1,312</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119"/>
        </w:trPr>
        <w:tc>
          <w:tcPr>
            <w:tcW w:w="56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380" w:type="dxa"/>
            <w:vAlign w:val="bottom"/>
            <w:vMerge w:val="restart"/>
          </w:tcPr>
          <w:p>
            <w:pPr>
              <w:jc w:val="right"/>
              <w:ind w:right="64"/>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9"/>
                <w:szCs w:val="19"/>
                <w:color w:val="auto"/>
              </w:rPr>
            </w:pPr>
          </w:p>
        </w:tc>
        <w:tc>
          <w:tcPr>
            <w:tcW w:w="1360" w:type="dxa"/>
            <w:vAlign w:val="bottom"/>
            <w:vMerge w:val="restart"/>
          </w:tcPr>
          <w:p>
            <w:pPr>
              <w:jc w:val="right"/>
              <w:ind w:right="42"/>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19"/>
                <w:szCs w:val="19"/>
                <w:color w:val="auto"/>
              </w:rPr>
            </w:pPr>
          </w:p>
        </w:tc>
        <w:tc>
          <w:tcPr>
            <w:tcW w:w="1340" w:type="dxa"/>
            <w:vAlign w:val="bottom"/>
            <w:vMerge w:val="restart"/>
          </w:tcPr>
          <w:p>
            <w:pPr>
              <w:jc w:val="right"/>
              <w:ind w:right="24"/>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9"/>
                <w:szCs w:val="19"/>
                <w:color w:val="auto"/>
              </w:rPr>
            </w:pPr>
          </w:p>
        </w:tc>
        <w:tc>
          <w:tcPr>
            <w:tcW w:w="1360" w:type="dxa"/>
            <w:vAlign w:val="bottom"/>
            <w:vMerge w:val="restart"/>
          </w:tcPr>
          <w:p>
            <w:pPr>
              <w:jc w:val="right"/>
              <w:ind w:right="22"/>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1" w:right="239" w:bottom="1440" w:gutter="0" w:footer="0" w:header="0"/>
        </w:sectPr>
      </w:pPr>
    </w:p>
    <w:bookmarkStart w:id="14" w:name="page15"/>
    <w:bookmarkEnd w:id="14"/>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221"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retail sales, or estimated sales where retail sales volume is not available, by geographic region (vehicles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72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2017</w:t>
            </w:r>
          </w:p>
        </w:tc>
        <w:tc>
          <w:tcPr>
            <w:tcW w:w="174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 2016</w:t>
            </w: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2017</w:t>
            </w:r>
          </w:p>
        </w:tc>
        <w:tc>
          <w:tcPr>
            <w:tcW w:w="1580" w:type="dxa"/>
            <w:vAlign w:val="bottom"/>
          </w:tcPr>
          <w:p>
            <w:pPr>
              <w:jc w:val="right"/>
              <w:ind w:right="300"/>
              <w:spacing w:after="0"/>
              <w:rPr>
                <w:sz w:val="20"/>
                <w:szCs w:val="20"/>
                <w:color w:val="auto"/>
              </w:rPr>
            </w:pPr>
            <w:r>
              <w:rPr>
                <w:rFonts w:ascii="Arial" w:cs="Arial" w:eastAsia="Arial" w:hAnsi="Arial"/>
                <w:sz w:val="13"/>
                <w:szCs w:val="13"/>
                <w:b w:val="1"/>
                <w:bCs w:val="1"/>
                <w:color w:val="auto"/>
              </w:rPr>
              <w:t>June 30, 2016</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America(a)(d)</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2,054</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4,087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and six months ended June 30, 2017 and 2016.</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volumes and market share in China. In the three and six months ended June 30, 2016, wholesale volumes were used for Industry, GM and Market Share.</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Industry and GM sales in India and South Africa. We intend to phase out sales of Chevrolet in the Indian and South African markets by the end of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1" w:right="239" w:bottom="1440" w:gutter="0" w:footer="0" w:header="0"/>
        </w:sectPr>
      </w:pPr>
    </w:p>
    <w:bookmarkStart w:id="15" w:name="page16"/>
    <w:bookmarkEnd w:id="15"/>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221"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bottom w:val="single" w:sz="8" w:color="auto"/>
            </w:tcBorders>
            <w:gridSpan w:val="5"/>
          </w:tcPr>
          <w:p>
            <w:pPr>
              <w:ind w:left="8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gridSpan w:val="2"/>
          </w:tcPr>
          <w:p>
            <w:pPr>
              <w:spacing w:after="0"/>
              <w:rPr>
                <w:sz w:val="15"/>
                <w:szCs w:val="15"/>
                <w:color w:val="auto"/>
              </w:rPr>
            </w:pPr>
          </w:p>
        </w:tc>
        <w:tc>
          <w:tcPr>
            <w:tcW w:w="28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5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3"/>
          </w:tcPr>
          <w:p>
            <w:pPr>
              <w:ind w:left="280"/>
              <w:spacing w:after="0"/>
              <w:rPr>
                <w:sz w:val="20"/>
                <w:szCs w:val="20"/>
                <w:color w:val="auto"/>
              </w:rPr>
            </w:pPr>
            <w:r>
              <w:rPr>
                <w:rFonts w:ascii="Arial" w:cs="Arial" w:eastAsia="Arial" w:hAnsi="Arial"/>
                <w:sz w:val="13"/>
                <w:szCs w:val="13"/>
                <w:b w:val="1"/>
                <w:bCs w:val="1"/>
                <w:color w:val="auto"/>
              </w:rPr>
              <w:t>June 30, 2017</w:t>
            </w:r>
          </w:p>
        </w:tc>
        <w:tc>
          <w:tcPr>
            <w:tcW w:w="1500" w:type="dxa"/>
            <w:vAlign w:val="bottom"/>
            <w:gridSpan w:val="4"/>
          </w:tcPr>
          <w:p>
            <w:pPr>
              <w:ind w:left="280"/>
              <w:spacing w:after="0"/>
              <w:rPr>
                <w:sz w:val="20"/>
                <w:szCs w:val="20"/>
                <w:color w:val="auto"/>
              </w:rPr>
            </w:pPr>
            <w:r>
              <w:rPr>
                <w:rFonts w:ascii="Arial" w:cs="Arial" w:eastAsia="Arial" w:hAnsi="Arial"/>
                <w:sz w:val="13"/>
                <w:szCs w:val="13"/>
                <w:b w:val="1"/>
                <w:bCs w:val="1"/>
                <w:color w:val="auto"/>
              </w:rPr>
              <w:t>June 30, 2016</w:t>
            </w:r>
          </w:p>
        </w:tc>
        <w:tc>
          <w:tcPr>
            <w:tcW w:w="1440" w:type="dxa"/>
            <w:vAlign w:val="bottom"/>
            <w:gridSpan w:val="4"/>
          </w:tcPr>
          <w:p>
            <w:pPr>
              <w:ind w:left="260"/>
              <w:spacing w:after="0"/>
              <w:rPr>
                <w:sz w:val="20"/>
                <w:szCs w:val="20"/>
                <w:color w:val="auto"/>
              </w:rPr>
            </w:pPr>
            <w:r>
              <w:rPr>
                <w:rFonts w:ascii="Arial" w:cs="Arial" w:eastAsia="Arial" w:hAnsi="Arial"/>
                <w:sz w:val="13"/>
                <w:szCs w:val="13"/>
                <w:b w:val="1"/>
                <w:bCs w:val="1"/>
                <w:color w:val="auto"/>
              </w:rPr>
              <w:t>June 30, 2017</w:t>
            </w:r>
          </w:p>
        </w:tc>
        <w:tc>
          <w:tcPr>
            <w:tcW w:w="1360" w:type="dxa"/>
            <w:vAlign w:val="bottom"/>
          </w:tcPr>
          <w:p>
            <w:pPr>
              <w:jc w:val="right"/>
              <w:ind w:right="181"/>
              <w:spacing w:after="0"/>
              <w:rPr>
                <w:sz w:val="20"/>
                <w:szCs w:val="20"/>
                <w:color w:val="auto"/>
              </w:rPr>
            </w:pPr>
            <w:r>
              <w:rPr>
                <w:rFonts w:ascii="Arial" w:cs="Arial" w:eastAsia="Arial" w:hAnsi="Arial"/>
                <w:sz w:val="13"/>
                <w:szCs w:val="13"/>
                <w:b w:val="1"/>
                <w:bCs w:val="1"/>
                <w:color w:val="auto"/>
              </w:rPr>
              <w:t>June 30, 2016</w:t>
            </w:r>
          </w:p>
        </w:tc>
      </w:tr>
      <w:tr>
        <w:trPr>
          <w:trHeight w:val="257"/>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810</w:t>
            </w:r>
          </w:p>
        </w:tc>
      </w:tr>
      <w:tr>
        <w:trPr>
          <w:trHeight w:val="21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 Commercial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5"/>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Vehicle Co., Ltd.(a)</w:t>
            </w:r>
          </w:p>
        </w:tc>
        <w:tc>
          <w:tcPr>
            <w:tcW w:w="126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1,005</w:t>
            </w:r>
          </w:p>
        </w:tc>
      </w:tr>
      <w:tr>
        <w:trPr>
          <w:trHeight w:val="634"/>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82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5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June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June 30, 2016</w:t>
            </w:r>
          </w:p>
        </w:tc>
        <w:tc>
          <w:tcPr>
            <w:tcW w:w="100" w:type="dxa"/>
            <w:vAlign w:val="bottom"/>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June 30, 2017</w:t>
            </w:r>
          </w:p>
        </w:tc>
        <w:tc>
          <w:tcPr>
            <w:tcW w:w="12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June 30, 2016</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60"/>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2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0"/>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2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60"/>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Total Asia/Pacific, Russia, Middle East and Africa(a)</w:t>
            </w: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2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72"/>
        </w:trPr>
        <w:tc>
          <w:tcPr>
            <w:tcW w:w="5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 sales</w:t>
            </w:r>
          </w:p>
        </w:tc>
        <w:tc>
          <w:tcPr>
            <w:tcW w:w="126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172"/>
        </w:trPr>
        <w:tc>
          <w:tcPr>
            <w:tcW w:w="5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51"/>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186"/>
        </w:trPr>
        <w:tc>
          <w:tcPr>
            <w:tcW w:w="5480" w:type="dxa"/>
            <w:vAlign w:val="bottom"/>
          </w:tcPr>
          <w:p>
            <w:pPr>
              <w:spacing w:after="0"/>
              <w:rPr>
                <w:sz w:val="20"/>
                <w:szCs w:val="20"/>
                <w:color w:val="auto"/>
              </w:rPr>
            </w:pPr>
            <w:r>
              <w:rPr>
                <w:rFonts w:ascii="Arial" w:cs="Arial" w:eastAsia="Arial" w:hAnsi="Arial"/>
                <w:sz w:val="14"/>
                <w:szCs w:val="14"/>
                <w:color w:val="auto"/>
              </w:rPr>
              <w:t>_______</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ind w:left="34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 and market share in China. In the three and six months ended June 30, 2016, wholesale volumes were used for Industry, GM and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81" w:right="2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 and revenue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expenses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 cost of sales</w:t>
      </w:r>
    </w:p>
    <w:p>
      <w:pPr>
        <w:spacing w:after="0" w:line="121" w:lineRule="exact"/>
        <w:rPr>
          <w:sz w:val="20"/>
          <w:szCs w:val="20"/>
          <w:color w:val="auto"/>
        </w:rPr>
      </w:pPr>
    </w:p>
    <w:p>
      <w:pPr>
        <w:ind w:left="300" w:right="280" w:hanging="161"/>
        <w:spacing w:after="0" w:line="230" w:lineRule="auto"/>
        <w:rPr>
          <w:sz w:val="20"/>
          <w:szCs w:val="20"/>
          <w:color w:val="auto"/>
        </w:rPr>
      </w:pPr>
      <w:r>
        <w:rPr>
          <w:rFonts w:ascii="Arial" w:cs="Arial" w:eastAsia="Arial" w:hAnsi="Arial"/>
          <w:sz w:val="13"/>
          <w:szCs w:val="13"/>
          <w:color w:val="auto"/>
        </w:rPr>
        <w:t>GM Financial interest, operating and other expenses</w:t>
      </w:r>
    </w:p>
    <w:p>
      <w:pPr>
        <w:spacing w:after="0" w:line="38" w:lineRule="exact"/>
        <w:rPr>
          <w:sz w:val="20"/>
          <w:szCs w:val="20"/>
          <w:color w:val="auto"/>
        </w:rPr>
      </w:pPr>
    </w:p>
    <w:p>
      <w:pPr>
        <w:ind w:left="300" w:right="560" w:hanging="161"/>
        <w:spacing w:after="0" w:line="259" w:lineRule="auto"/>
        <w:rPr>
          <w:sz w:val="20"/>
          <w:szCs w:val="20"/>
          <w:color w:val="auto"/>
        </w:rPr>
      </w:pPr>
      <w:r>
        <w:rPr>
          <w:rFonts w:ascii="Arial" w:cs="Arial" w:eastAsia="Arial" w:hAnsi="Arial"/>
          <w:sz w:val="12"/>
          <w:szCs w:val="12"/>
          <w:color w:val="auto"/>
        </w:rPr>
        <w:t>Automotive selling, general and administrative expense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Automotive interest expense</w:t>
      </w:r>
    </w:p>
    <w:p>
      <w:pPr>
        <w:spacing w:after="0" w:line="121" w:lineRule="exact"/>
        <w:rPr>
          <w:sz w:val="20"/>
          <w:szCs w:val="20"/>
          <w:color w:val="auto"/>
        </w:rPr>
      </w:pPr>
    </w:p>
    <w:p>
      <w:pPr>
        <w:ind w:left="160" w:right="200" w:hanging="161"/>
        <w:spacing w:after="0" w:line="230" w:lineRule="auto"/>
        <w:rPr>
          <w:sz w:val="20"/>
          <w:szCs w:val="20"/>
          <w:color w:val="auto"/>
        </w:rPr>
      </w:pPr>
      <w:r>
        <w:rPr>
          <w:rFonts w:ascii="Arial" w:cs="Arial" w:eastAsia="Arial" w:hAnsi="Arial"/>
          <w:sz w:val="13"/>
          <w:szCs w:val="13"/>
          <w:color w:val="auto"/>
        </w:rPr>
        <w:t>Interest income and other non-operating income (loss), net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Equity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from continuing operations</w:t>
      </w:r>
    </w:p>
    <w:p>
      <w:pPr>
        <w:spacing w:after="0" w:line="121" w:lineRule="exact"/>
        <w:rPr>
          <w:sz w:val="20"/>
          <w:szCs w:val="20"/>
          <w:color w:val="auto"/>
        </w:rPr>
      </w:pPr>
    </w:p>
    <w:p>
      <w:pPr>
        <w:ind w:left="160" w:hanging="161"/>
        <w:spacing w:after="0" w:line="230" w:lineRule="auto"/>
        <w:rPr>
          <w:sz w:val="20"/>
          <w:szCs w:val="20"/>
          <w:color w:val="auto"/>
        </w:rPr>
      </w:pPr>
      <w:r>
        <w:rPr>
          <w:rFonts w:ascii="Arial" w:cs="Arial" w:eastAsia="Arial" w:hAnsi="Arial"/>
          <w:sz w:val="13"/>
          <w:szCs w:val="13"/>
          <w:color w:val="auto"/>
        </w:rPr>
        <w:t>Income (loss) from discontinued operations, net of tax</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ind w:left="160" w:right="660" w:hanging="161"/>
        <w:spacing w:after="0" w:line="230" w:lineRule="auto"/>
        <w:rPr>
          <w:sz w:val="20"/>
          <w:szCs w:val="20"/>
          <w:color w:val="auto"/>
        </w:rPr>
      </w:pPr>
      <w:r>
        <w:rPr>
          <w:rFonts w:ascii="Arial" w:cs="Arial" w:eastAsia="Arial" w:hAnsi="Arial"/>
          <w:sz w:val="13"/>
          <w:szCs w:val="13"/>
          <w:color w:val="auto"/>
        </w:rPr>
        <w:t>Net (income) loss attributable to noncontrolling interests</w:t>
      </w:r>
    </w:p>
    <w:p>
      <w:pPr>
        <w:spacing w:after="0" w:line="22" w:lineRule="exact"/>
        <w:rPr>
          <w:sz w:val="20"/>
          <w:szCs w:val="20"/>
          <w:color w:val="auto"/>
        </w:rPr>
      </w:pPr>
    </w:p>
    <w:p>
      <w:pPr>
        <w:ind w:left="160" w:right="340" w:hanging="161"/>
        <w:spacing w:after="0" w:line="246" w:lineRule="auto"/>
        <w:rPr>
          <w:sz w:val="20"/>
          <w:szCs w:val="20"/>
          <w:color w:val="auto"/>
        </w:rPr>
      </w:pPr>
      <w:r>
        <w:rPr>
          <w:rFonts w:ascii="Arial" w:cs="Arial" w:eastAsia="Arial" w:hAnsi="Arial"/>
          <w:sz w:val="13"/>
          <w:szCs w:val="13"/>
          <w:b w:val="1"/>
          <w:bCs w:val="1"/>
          <w:color w:val="auto"/>
        </w:rPr>
        <w:t>Net income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 and revenue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expenses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 cost of sales</w:t>
      </w:r>
    </w:p>
    <w:p>
      <w:pPr>
        <w:spacing w:after="0" w:line="121" w:lineRule="exact"/>
        <w:rPr>
          <w:sz w:val="20"/>
          <w:szCs w:val="20"/>
          <w:color w:val="auto"/>
        </w:rPr>
      </w:pPr>
    </w:p>
    <w:p>
      <w:pPr>
        <w:ind w:left="300" w:right="280" w:hanging="161"/>
        <w:spacing w:after="0" w:line="230" w:lineRule="auto"/>
        <w:rPr>
          <w:sz w:val="20"/>
          <w:szCs w:val="20"/>
          <w:color w:val="auto"/>
        </w:rPr>
      </w:pPr>
      <w:r>
        <w:rPr>
          <w:rFonts w:ascii="Arial" w:cs="Arial" w:eastAsia="Arial" w:hAnsi="Arial"/>
          <w:sz w:val="13"/>
          <w:szCs w:val="13"/>
          <w:color w:val="auto"/>
        </w:rPr>
        <w:t>GM Financial interest, operating and other expenses</w:t>
      </w:r>
    </w:p>
    <w:p>
      <w:pPr>
        <w:spacing w:after="0" w:line="38" w:lineRule="exact"/>
        <w:rPr>
          <w:sz w:val="20"/>
          <w:szCs w:val="20"/>
          <w:color w:val="auto"/>
        </w:rPr>
      </w:pPr>
    </w:p>
    <w:p>
      <w:pPr>
        <w:ind w:left="300" w:right="560" w:hanging="161"/>
        <w:spacing w:after="0" w:line="259" w:lineRule="auto"/>
        <w:rPr>
          <w:sz w:val="20"/>
          <w:szCs w:val="20"/>
          <w:color w:val="auto"/>
        </w:rPr>
      </w:pPr>
      <w:r>
        <w:rPr>
          <w:rFonts w:ascii="Arial" w:cs="Arial" w:eastAsia="Arial" w:hAnsi="Arial"/>
          <w:sz w:val="12"/>
          <w:szCs w:val="12"/>
          <w:color w:val="auto"/>
        </w:rPr>
        <w:t>Automotive selling, general and administrative expense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Automotive interest expense</w:t>
      </w:r>
    </w:p>
    <w:p>
      <w:pPr>
        <w:spacing w:after="0" w:line="121" w:lineRule="exact"/>
        <w:rPr>
          <w:sz w:val="20"/>
          <w:szCs w:val="20"/>
          <w:color w:val="auto"/>
        </w:rPr>
      </w:pPr>
    </w:p>
    <w:p>
      <w:pPr>
        <w:ind w:left="160" w:right="200" w:hanging="161"/>
        <w:spacing w:after="0" w:line="230" w:lineRule="auto"/>
        <w:rPr>
          <w:sz w:val="20"/>
          <w:szCs w:val="20"/>
          <w:color w:val="auto"/>
        </w:rPr>
      </w:pPr>
      <w:r>
        <w:rPr>
          <w:rFonts w:ascii="Arial" w:cs="Arial" w:eastAsia="Arial" w:hAnsi="Arial"/>
          <w:sz w:val="13"/>
          <w:szCs w:val="13"/>
          <w:color w:val="auto"/>
        </w:rPr>
        <w:t>Interest income and other non-operating income, net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Equity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from continuing operations</w:t>
      </w:r>
    </w:p>
    <w:p>
      <w:pPr>
        <w:spacing w:after="0" w:line="121" w:lineRule="exact"/>
        <w:rPr>
          <w:sz w:val="20"/>
          <w:szCs w:val="20"/>
          <w:color w:val="auto"/>
        </w:rPr>
      </w:pPr>
    </w:p>
    <w:p>
      <w:pPr>
        <w:spacing w:after="0" w:line="230" w:lineRule="auto"/>
        <w:rPr>
          <w:sz w:val="20"/>
          <w:szCs w:val="20"/>
          <w:color w:val="auto"/>
        </w:rPr>
      </w:pPr>
      <w:r>
        <w:rPr>
          <w:rFonts w:ascii="Arial" w:cs="Arial" w:eastAsia="Arial" w:hAnsi="Arial"/>
          <w:sz w:val="13"/>
          <w:szCs w:val="13"/>
          <w:color w:val="auto"/>
        </w:rPr>
        <w:t>Income (loss) from discontinued operations, net of tax</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ind w:left="160" w:right="660" w:hanging="161"/>
        <w:spacing w:after="0" w:line="230" w:lineRule="auto"/>
        <w:rPr>
          <w:sz w:val="20"/>
          <w:szCs w:val="20"/>
          <w:color w:val="auto"/>
        </w:rPr>
      </w:pPr>
      <w:r>
        <w:rPr>
          <w:rFonts w:ascii="Arial" w:cs="Arial" w:eastAsia="Arial" w:hAnsi="Arial"/>
          <w:sz w:val="13"/>
          <w:szCs w:val="13"/>
          <w:color w:val="auto"/>
        </w:rPr>
        <w:t>Net (income) loss attributable to noncontrolling interests</w:t>
      </w:r>
    </w:p>
    <w:p>
      <w:pPr>
        <w:spacing w:after="0" w:line="22" w:lineRule="exact"/>
        <w:rPr>
          <w:sz w:val="20"/>
          <w:szCs w:val="20"/>
          <w:color w:val="auto"/>
        </w:rPr>
      </w:pPr>
    </w:p>
    <w:p>
      <w:pPr>
        <w:ind w:left="160" w:right="340" w:hanging="161"/>
        <w:spacing w:after="0" w:line="246" w:lineRule="auto"/>
        <w:rPr>
          <w:sz w:val="20"/>
          <w:szCs w:val="20"/>
          <w:color w:val="auto"/>
        </w:rPr>
      </w:pPr>
      <w:r>
        <w:rPr>
          <w:rFonts w:ascii="Arial" w:cs="Arial" w:eastAsia="Arial" w:hAnsi="Arial"/>
          <w:sz w:val="13"/>
          <w:szCs w:val="13"/>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Combining Income Statement Information</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8"/>
          <w:szCs w:val="18"/>
          <w:i w:val="1"/>
          <w:iCs w:val="1"/>
          <w:color w:val="auto"/>
        </w:rPr>
        <w:t>(In millions)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8"/>
              </w:rPr>
              <w:t>Three Months Ended June 30, 2017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Three Months Ended June 30, 2016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2"/>
        </w:trPr>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Combined</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21"/>
                <w:szCs w:val="21"/>
                <w:color w:val="auto"/>
              </w:rPr>
            </w:pPr>
          </w:p>
        </w:tc>
        <w:tc>
          <w:tcPr>
            <w:tcW w:w="840" w:type="dxa"/>
            <w:vAlign w:val="bottom"/>
          </w:tcPr>
          <w:p>
            <w:pPr>
              <w:jc w:val="right"/>
              <w:ind w:right="177"/>
              <w:spacing w:after="0"/>
              <w:rPr>
                <w:sz w:val="20"/>
                <w:szCs w:val="20"/>
                <w:color w:val="auto"/>
              </w:rPr>
            </w:pPr>
            <w:r>
              <w:rPr>
                <w:rFonts w:ascii="Arial" w:cs="Arial" w:eastAsia="Arial" w:hAnsi="Arial"/>
                <w:sz w:val="11"/>
                <w:szCs w:val="11"/>
                <w:b w:val="1"/>
                <w:bCs w:val="1"/>
                <w:color w:val="auto"/>
              </w:rPr>
              <w:t>Combined</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34,001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33,998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35,246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35,246</w:t>
            </w:r>
          </w:p>
        </w:tc>
      </w:tr>
      <w:tr>
        <w:trPr>
          <w:trHeight w:val="280"/>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2,990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2,986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2,137</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34,001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2,990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36,984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35,246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37,383</w:t>
            </w:r>
          </w:p>
        </w:tc>
      </w:tr>
      <w:tr>
        <w:trPr>
          <w:trHeight w:val="524"/>
        </w:trPr>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29,216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29,212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29,942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29,941</w:t>
            </w:r>
          </w:p>
        </w:tc>
      </w:tr>
      <w:tr>
        <w:trPr>
          <w:trHeight w:val="324"/>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2,675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1,962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1,962</w:t>
            </w:r>
          </w:p>
        </w:tc>
      </w:tr>
      <w:tr>
        <w:trPr>
          <w:trHeight w:val="334"/>
        </w:trPr>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2,479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2,508</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31,695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2,675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34,366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32,450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1,962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34,411</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2,972</w:t>
            </w:r>
          </w:p>
        </w:tc>
      </w:tr>
      <w:tr>
        <w:trPr>
          <w:trHeight w:val="270"/>
        </w:trPr>
        <w:tc>
          <w:tcPr>
            <w:tcW w:w="1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144</w:t>
            </w:r>
          </w:p>
        </w:tc>
      </w:tr>
      <w:tr>
        <w:trPr>
          <w:trHeight w:val="324"/>
        </w:trPr>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133</w:t>
            </w:r>
          </w:p>
        </w:tc>
      </w:tr>
      <w:tr>
        <w:trPr>
          <w:trHeight w:val="280"/>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660</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3,621</w:t>
            </w:r>
          </w:p>
        </w:tc>
      </w:tr>
      <w:tr>
        <w:trPr>
          <w:trHeight w:val="280"/>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877</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2,744</w:t>
            </w:r>
          </w:p>
        </w:tc>
      </w:tr>
      <w:tr>
        <w:trPr>
          <w:trHeight w:val="334"/>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106</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1,663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2,850</w:t>
            </w:r>
          </w:p>
        </w:tc>
      </w:tr>
      <w:tr>
        <w:trPr>
          <w:trHeight w:val="334"/>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r>
      <w:tr>
        <w:trPr>
          <w:trHeight w:val="291"/>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1,610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2,613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2,866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86"/>
        </w:trPr>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8"/>
              </w:rPr>
              <w:t>Six Months Ended June 30, 2017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7"/>
              </w:rPr>
              <w:t>Six Months Ended June 30, 2016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2"/>
        </w:trPr>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Combined</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21"/>
                <w:szCs w:val="21"/>
                <w:color w:val="auto"/>
              </w:rPr>
            </w:pPr>
          </w:p>
        </w:tc>
        <w:tc>
          <w:tcPr>
            <w:tcW w:w="840" w:type="dxa"/>
            <w:vAlign w:val="bottom"/>
          </w:tcPr>
          <w:p>
            <w:pPr>
              <w:jc w:val="right"/>
              <w:ind w:right="177"/>
              <w:spacing w:after="0"/>
              <w:rPr>
                <w:sz w:val="20"/>
                <w:szCs w:val="20"/>
                <w:color w:val="auto"/>
              </w:rPr>
            </w:pPr>
            <w:r>
              <w:rPr>
                <w:rFonts w:ascii="Arial" w:cs="Arial" w:eastAsia="Arial" w:hAnsi="Arial"/>
                <w:sz w:val="11"/>
                <w:szCs w:val="11"/>
                <w:b w:val="1"/>
                <w:bCs w:val="1"/>
                <w:color w:val="auto"/>
              </w:rPr>
              <w:t>Combined</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68,651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68,517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66,332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66,332</w:t>
            </w:r>
          </w:p>
        </w:tc>
      </w:tr>
      <w:tr>
        <w:trPr>
          <w:trHeight w:val="280"/>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5,738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5,733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4,069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4,067</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68,651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5,738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74,250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66,332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4,069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70,399</w:t>
            </w:r>
          </w:p>
        </w:tc>
      </w:tr>
      <w:tr>
        <w:trPr>
          <w:trHeight w:val="524"/>
        </w:trPr>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58,786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58,650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56,624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56,622</w:t>
            </w:r>
          </w:p>
        </w:tc>
      </w:tr>
      <w:tr>
        <w:trPr>
          <w:trHeight w:val="324"/>
        </w:trPr>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5,241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5,241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3,736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3,736</w:t>
            </w:r>
          </w:p>
        </w:tc>
      </w:tr>
      <w:tr>
        <w:trPr>
          <w:trHeight w:val="334"/>
        </w:trPr>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4,837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4,837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4,978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4,978</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63,623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5,241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68,728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61,602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3,736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65,336</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5,522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5,063</w:t>
            </w:r>
          </w:p>
        </w:tc>
      </w:tr>
      <w:tr>
        <w:trPr>
          <w:trHeight w:val="270"/>
        </w:trPr>
        <w:tc>
          <w:tcPr>
            <w:tcW w:w="1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268</w:t>
            </w:r>
          </w:p>
        </w:tc>
      </w:tr>
      <w:tr>
        <w:trPr>
          <w:trHeight w:val="324"/>
        </w:trPr>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186</w:t>
            </w:r>
          </w:p>
        </w:tc>
      </w:tr>
      <w:tr>
        <w:trPr>
          <w:trHeight w:val="280"/>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1,085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1,220</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5,855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6,440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6,201</w:t>
            </w:r>
          </w:p>
        </w:tc>
      </w:tr>
      <w:tr>
        <w:trPr>
          <w:trHeight w:val="280"/>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1,176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1,473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1,534</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4,679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4,667</w:t>
            </w:r>
          </w:p>
        </w:tc>
      </w:tr>
      <w:tr>
        <w:trPr>
          <w:trHeight w:val="334"/>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w:t>
            </w:r>
          </w:p>
        </w:tc>
      </w:tr>
      <w:tr>
        <w:trPr>
          <w:trHeight w:val="241"/>
        </w:trPr>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4,781</w:t>
            </w:r>
          </w:p>
        </w:tc>
      </w:tr>
      <w:tr>
        <w:trPr>
          <w:trHeight w:val="334"/>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w:t>
            </w:r>
          </w:p>
        </w:tc>
      </w:tr>
      <w:tr>
        <w:trPr>
          <w:trHeight w:val="29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4,268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4,400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4,819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-7734935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-7392035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-7040245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-6663055</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-6285230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-5942330</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-5565140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-5222240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-4844415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-4467225</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-3489960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-3146425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-2795270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-2417445</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-2040255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-1697355</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-1320165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-977265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-599440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-222250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60"/>
            <w:col w:w="8780"/>
          </w:cols>
          <w:pgMar w:left="280" w:top="576" w:right="239" w:bottom="1440" w:gutter="0" w:footer="0" w:header="0"/>
        </w:sect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80" w:top="576" w:right="239" w:bottom="1440" w:gutter="0" w:footer="0" w:header="0"/>
          <w:type w:val="continuous"/>
        </w:sectPr>
      </w:pPr>
    </w:p>
    <w:bookmarkStart w:id="17" w:name="page18"/>
    <w:bookmarkEnd w:id="1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3"/>
                <w:szCs w:val="13"/>
                <w:b w:val="1"/>
                <w:bCs w:val="1"/>
                <w:color w:val="auto"/>
                <w:w w:val="99"/>
              </w:rPr>
              <w:t>June 30, 2016</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Basic earnings per share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4,705</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(loss) from discontinued operations, net of tax</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4,819</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1,547</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Basic earnings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0.07</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Diluted earnings per share</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 diluted(a)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4,703</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(loss) from discontinued operations, net of tax – diluted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common stockholders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4,817</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1,580</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DIluted earnings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0.07</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r>
      <w:tr>
        <w:trPr>
          <w:trHeight w:val="167"/>
        </w:trPr>
        <w:tc>
          <w:tcPr>
            <w:tcW w:w="6060" w:type="dxa"/>
            <w:vAlign w:val="bottom"/>
          </w:tcPr>
          <w:p>
            <w:pPr>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060" w:type="dxa"/>
            <w:vAlign w:val="bottom"/>
          </w:tcPr>
          <w:p>
            <w:pPr>
              <w:spacing w:after="0"/>
              <w:rPr>
                <w:sz w:val="20"/>
                <w:szCs w:val="20"/>
                <w:color w:val="auto"/>
              </w:rPr>
            </w:pPr>
            <w:r>
              <w:rPr>
                <w:rFonts w:ascii="Arial" w:cs="Arial" w:eastAsia="Arial" w:hAnsi="Arial"/>
                <w:sz w:val="14"/>
                <w:szCs w:val="14"/>
                <w:color w:val="auto"/>
              </w:rPr>
              <w:t>(a)  Net of Net (income) loss attributable to noncontrolling interests.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76" w:right="239" w:bottom="1440" w:gutter="0" w:footer="0" w:header="0"/>
        </w:sectPr>
      </w:pPr>
    </w:p>
    <w:bookmarkStart w:id="18" w:name="page19"/>
    <w:bookmarkEnd w:id="1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Combining Balance Sheet Information</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(In millions, except per share amounts)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ind w:left="460"/>
              <w:spacing w:after="0"/>
              <w:rPr>
                <w:sz w:val="20"/>
                <w:szCs w:val="20"/>
                <w:color w:val="auto"/>
              </w:rPr>
            </w:pPr>
            <w:r>
              <w:rPr>
                <w:rFonts w:ascii="Arial" w:cs="Arial" w:eastAsia="Arial" w:hAnsi="Arial"/>
                <w:sz w:val="11"/>
                <w:szCs w:val="11"/>
                <w:b w:val="1"/>
                <w:bCs w:val="1"/>
                <w:color w:val="auto"/>
              </w:rPr>
              <w:t>June 30, 2017</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00"/>
              <w:spacing w:after="0"/>
              <w:rPr>
                <w:sz w:val="20"/>
                <w:szCs w:val="20"/>
                <w:color w:val="auto"/>
              </w:rPr>
            </w:pPr>
            <w:r>
              <w:rPr>
                <w:rFonts w:ascii="Arial" w:cs="Arial" w:eastAsia="Arial" w:hAnsi="Arial"/>
                <w:sz w:val="11"/>
                <w:szCs w:val="11"/>
                <w:b w:val="1"/>
                <w:bCs w:val="1"/>
                <w:color w:val="auto"/>
              </w:rPr>
              <w:t>December 31, 2016</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9"/>
                <w:szCs w:val="9"/>
                <w:b w:val="1"/>
                <w:bCs w:val="1"/>
                <w:color w:val="auto"/>
              </w:rPr>
              <w:t>GM Financial</w:t>
            </w:r>
          </w:p>
        </w:tc>
        <w:tc>
          <w:tcPr>
            <w:tcW w:w="14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Combined</w:t>
            </w:r>
          </w:p>
        </w:tc>
        <w:tc>
          <w:tcPr>
            <w:tcW w:w="10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60" w:type="dxa"/>
            <w:vAlign w:val="bottom"/>
          </w:tcPr>
          <w:p>
            <w:pPr>
              <w:spacing w:after="0"/>
              <w:rPr>
                <w:sz w:val="22"/>
                <w:szCs w:val="22"/>
                <w:color w:val="auto"/>
              </w:rPr>
            </w:pPr>
          </w:p>
        </w:tc>
        <w:tc>
          <w:tcPr>
            <w:tcW w:w="720" w:type="dxa"/>
            <w:vAlign w:val="bottom"/>
          </w:tcPr>
          <w:p>
            <w:pPr>
              <w:jc w:val="right"/>
              <w:ind w:right="166"/>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40"/>
        </w:trPr>
        <w:tc>
          <w:tcPr>
            <w:tcW w:w="3520" w:type="dxa"/>
            <w:vAlign w:val="bottom"/>
          </w:tcPr>
          <w:p>
            <w:pPr>
              <w:ind w:left="1540"/>
              <w:spacing w:after="0"/>
              <w:rPr>
                <w:sz w:val="20"/>
                <w:szCs w:val="20"/>
                <w:color w:val="auto"/>
              </w:rPr>
            </w:pPr>
            <w:r>
              <w:rPr>
                <w:rFonts w:ascii="Arial" w:cs="Arial" w:eastAsia="Arial" w:hAnsi="Arial"/>
                <w:sz w:val="11"/>
                <w:szCs w:val="11"/>
                <w:b w:val="1"/>
                <w:bCs w:val="1"/>
                <w:color w:val="auto"/>
              </w:rPr>
              <w:t>ASSETS</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11,397</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5,201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16,598</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9,759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2,815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12,574</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Marketable securities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9,133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9,133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11,841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11,841</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and notes receivable, net(a)</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9,706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(655)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9,796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8,568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8,700</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GM Financial receivables, net(b)</w:t>
            </w:r>
          </w:p>
        </w:tc>
        <w:tc>
          <w:tcPr>
            <w:tcW w:w="160" w:type="dxa"/>
            <w:vAlign w:val="bottom"/>
          </w:tcPr>
          <w:p>
            <w:pPr>
              <w:spacing w:after="0"/>
              <w:rPr>
                <w:sz w:val="13"/>
                <w:szCs w:val="13"/>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19,665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(369)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19,296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16,474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16,127</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Inventories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11,289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11,289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11,040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11,040</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Equipment on operating leases, net</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1,883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1,110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1,110</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current assets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1,647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2,668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4,324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1,658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3,633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Current assets held for sale(c)</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5,797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7,350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(385)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12,762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4,591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6,883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11,178</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current assets</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50,852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35,629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(1,400)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85,081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48,567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28,948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76,203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GM Financial receivables, net(b)</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20,217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20,137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17,001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17,001</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Equity in net assets of nonconsolidated affiliates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7,192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1,056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8,248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8,052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8,996</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Property, net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34,060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241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34,301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32,389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32,603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Goodwill and intangible assets, net</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4,621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1,368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5,989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4,783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6,149</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GM Financial equipment on operating leases, net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39,725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39,725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34,342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34,342</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Deferred income taxes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32,277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32,425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32,931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241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33,172</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assets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3,143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853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3,994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3,038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3,849</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Non-current assets held for sale</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6,049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4,351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10,400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5,295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4,080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non-current assets</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87,342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67,959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155,219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86,488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58,999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145,487</w:t>
            </w:r>
          </w:p>
        </w:tc>
        <w:tc>
          <w:tcPr>
            <w:tcW w:w="0" w:type="dxa"/>
            <w:vAlign w:val="bottom"/>
          </w:tcPr>
          <w:p>
            <w:pPr>
              <w:spacing w:after="0"/>
              <w:rPr>
                <w:sz w:val="1"/>
                <w:szCs w:val="1"/>
                <w:color w:val="auto"/>
              </w:rPr>
            </w:pPr>
          </w:p>
        </w:tc>
      </w:tr>
      <w:tr>
        <w:trPr>
          <w:trHeight w:val="117"/>
        </w:trPr>
        <w:tc>
          <w:tcPr>
            <w:tcW w:w="3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Total Assets</w:t>
            </w:r>
          </w:p>
        </w:tc>
        <w:tc>
          <w:tcPr>
            <w:tcW w:w="1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138,194</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103,588</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(1,482)</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240,300</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135,055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87,947</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(1,312)</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221,690</w:t>
            </w: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5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520" w:type="dxa"/>
            <w:vAlign w:val="bottom"/>
            <w:shd w:val="clear" w:color="auto" w:fill="CCEEFF"/>
          </w:tcPr>
          <w:p>
            <w:pPr>
              <w:ind w:left="1100"/>
              <w:spacing w:after="0" w:line="107" w:lineRule="exact"/>
              <w:rPr>
                <w:sz w:val="20"/>
                <w:szCs w:val="20"/>
                <w:color w:val="auto"/>
              </w:rPr>
            </w:pPr>
            <w:r>
              <w:rPr>
                <w:rFonts w:ascii="Arial" w:cs="Arial" w:eastAsia="Arial" w:hAnsi="Arial"/>
                <w:sz w:val="11"/>
                <w:szCs w:val="11"/>
                <w:b w:val="1"/>
                <w:bCs w:val="1"/>
                <w:color w:val="auto"/>
              </w:rPr>
              <w:t>LIABILITIES AND EQUITY</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 (principally trade)(a)</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23,379</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681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(656)</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23,404</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23,305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696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(668)</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23,333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Short-term debt and current portion of long-term debt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Automotive(b)</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1,415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(349)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1,066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(347)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1,060</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60" w:type="dxa"/>
            <w:vAlign w:val="bottom"/>
          </w:tcPr>
          <w:p>
            <w:pPr>
              <w:spacing w:after="0"/>
              <w:rPr>
                <w:sz w:val="13"/>
                <w:szCs w:val="13"/>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28,942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28,942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22,737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22,737</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Accrued liabilities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23,683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2,919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26,601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23,219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25,893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Current liabilities held for sale(c)</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8,839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5,838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14,293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7,092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5,362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12,158</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current liabilities</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57,316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38,380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(1,390)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94,306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55,023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31,470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85,181</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Long-term debt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340"/>
              <w:spacing w:after="0"/>
              <w:rPr>
                <w:sz w:val="20"/>
                <w:szCs w:val="20"/>
                <w:color w:val="auto"/>
              </w:rPr>
            </w:pPr>
            <w:r>
              <w:rPr>
                <w:rFonts w:ascii="Arial" w:cs="Arial" w:eastAsia="Arial" w:hAnsi="Arial"/>
                <w:sz w:val="11"/>
                <w:szCs w:val="11"/>
                <w:color w:val="auto"/>
              </w:rPr>
              <w:t>Automotive(b)</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9,636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9,544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9,500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9,500</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GM Financial</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49,537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49,537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41,826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41,826</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Postretirement benefits other than pensions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5,750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5,750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5,803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5,803</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Pensions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14,774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14,777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15,261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15,264</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80"/>
              <w:spacing w:after="0"/>
              <w:rPr>
                <w:sz w:val="20"/>
                <w:szCs w:val="20"/>
                <w:color w:val="auto"/>
              </w:rPr>
            </w:pPr>
            <w:r>
              <w:rPr>
                <w:rFonts w:ascii="Arial" w:cs="Arial" w:eastAsia="Arial" w:hAnsi="Arial"/>
                <w:sz w:val="11"/>
                <w:szCs w:val="11"/>
                <w:color w:val="auto"/>
              </w:rPr>
              <w:t>Other liabilities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10,892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1,547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12,438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11,125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1,290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12,415</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Non-current liabilities held for sale</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3,588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4,634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8,223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3,295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4,331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7,626</w:t>
            </w:r>
          </w:p>
        </w:tc>
        <w:tc>
          <w:tcPr>
            <w:tcW w:w="0" w:type="dxa"/>
            <w:vAlign w:val="bottom"/>
          </w:tcPr>
          <w:p>
            <w:pPr>
              <w:spacing w:after="0"/>
              <w:rPr>
                <w:sz w:val="1"/>
                <w:szCs w:val="1"/>
                <w:color w:val="auto"/>
              </w:rPr>
            </w:pPr>
          </w:p>
        </w:tc>
      </w:tr>
      <w:tr>
        <w:trPr>
          <w:trHeight w:val="117"/>
        </w:trPr>
        <w:tc>
          <w:tcPr>
            <w:tcW w:w="3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180"/>
              <w:spacing w:after="0"/>
              <w:rPr>
                <w:sz w:val="20"/>
                <w:szCs w:val="20"/>
                <w:color w:val="auto"/>
              </w:rPr>
            </w:pPr>
            <w:r>
              <w:rPr>
                <w:rFonts w:ascii="Arial" w:cs="Arial" w:eastAsia="Arial" w:hAnsi="Arial"/>
                <w:sz w:val="11"/>
                <w:szCs w:val="11"/>
                <w:color w:val="auto"/>
              </w:rPr>
              <w:t>Total non-current liabilities</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44,640</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55,721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100,269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44,984</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47,450</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92,434</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101,956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94,101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(1,482)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194,575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100,007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78,920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177,615</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40"/>
              <w:spacing w:after="0"/>
              <w:rPr>
                <w:sz w:val="20"/>
                <w:szCs w:val="20"/>
                <w:color w:val="auto"/>
              </w:rPr>
            </w:pPr>
            <w:r>
              <w:rPr>
                <w:rFonts w:ascii="Arial" w:cs="Arial" w:eastAsia="Arial" w:hAnsi="Arial"/>
                <w:sz w:val="11"/>
                <w:szCs w:val="11"/>
                <w:color w:val="auto"/>
              </w:rPr>
              <w:t>Commitments and contingencies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3520" w:type="dxa"/>
            <w:vAlign w:val="bottom"/>
          </w:tcPr>
          <w:p>
            <w:pPr>
              <w:ind w:left="120"/>
              <w:spacing w:after="0"/>
              <w:rPr>
                <w:sz w:val="20"/>
                <w:szCs w:val="20"/>
                <w:color w:val="auto"/>
              </w:rPr>
            </w:pPr>
            <w:r>
              <w:rPr>
                <w:rFonts w:ascii="Arial" w:cs="Arial" w:eastAsia="Arial" w:hAnsi="Arial"/>
                <w:sz w:val="11"/>
                <w:szCs w:val="11"/>
                <w:color w:val="auto"/>
              </w:rPr>
              <w:t>Common stock, $0.01 par value</w:t>
            </w:r>
          </w:p>
        </w:tc>
        <w:tc>
          <w:tcPr>
            <w:tcW w:w="16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26,327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26,328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26,982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26,983</w:t>
            </w:r>
          </w:p>
        </w:tc>
        <w:tc>
          <w:tcPr>
            <w:tcW w:w="0" w:type="dxa"/>
            <w:vAlign w:val="bottom"/>
          </w:tcPr>
          <w:p>
            <w:pPr>
              <w:spacing w:after="0"/>
              <w:rPr>
                <w:sz w:val="1"/>
                <w:szCs w:val="1"/>
                <w:color w:val="auto"/>
              </w:rPr>
            </w:pPr>
          </w:p>
        </w:tc>
      </w:tr>
      <w:tr>
        <w:trPr>
          <w:trHeight w:val="97"/>
        </w:trPr>
        <w:tc>
          <w:tcPr>
            <w:tcW w:w="35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160" w:type="dxa"/>
            <w:vAlign w:val="bottom"/>
          </w:tcPr>
          <w:p>
            <w:pPr>
              <w:spacing w:after="0"/>
              <w:rPr>
                <w:sz w:val="13"/>
                <w:szCs w:val="13"/>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18,015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10,532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28,547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15,903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10,265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26,168</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other comprehensive loss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(8,323)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(1,046)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(9,369)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(8,091)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(1,239)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(9,330)</w:t>
            </w:r>
          </w:p>
        </w:tc>
        <w:tc>
          <w:tcPr>
            <w:tcW w:w="0" w:type="dxa"/>
            <w:vAlign w:val="bottom"/>
          </w:tcPr>
          <w:p>
            <w:pPr>
              <w:spacing w:after="0"/>
              <w:rPr>
                <w:sz w:val="1"/>
                <w:szCs w:val="1"/>
                <w:color w:val="auto"/>
              </w:rPr>
            </w:pPr>
          </w:p>
        </w:tc>
      </w:tr>
      <w:tr>
        <w:trPr>
          <w:trHeight w:val="117"/>
        </w:trPr>
        <w:tc>
          <w:tcPr>
            <w:tcW w:w="3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120"/>
              <w:spacing w:after="0"/>
              <w:rPr>
                <w:sz w:val="20"/>
                <w:szCs w:val="20"/>
                <w:color w:val="auto"/>
              </w:rPr>
            </w:pPr>
            <w:r>
              <w:rPr>
                <w:rFonts w:ascii="Arial" w:cs="Arial" w:eastAsia="Arial" w:hAnsi="Arial"/>
                <w:sz w:val="11"/>
                <w:szCs w:val="11"/>
                <w:color w:val="auto"/>
              </w:rPr>
              <w:t>Total stockholders’ equity</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36,034</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9,487</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45,521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34,809</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9,027</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43,836</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Noncontrolling interests</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17"/>
        </w:trPr>
        <w:tc>
          <w:tcPr>
            <w:tcW w:w="3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40"/>
              <w:spacing w:after="0"/>
              <w:rPr>
                <w:sz w:val="20"/>
                <w:szCs w:val="20"/>
                <w:color w:val="auto"/>
              </w:rPr>
            </w:pPr>
            <w:r>
              <w:rPr>
                <w:rFonts w:ascii="Arial" w:cs="Arial" w:eastAsia="Arial" w:hAnsi="Arial"/>
                <w:sz w:val="11"/>
                <w:szCs w:val="11"/>
                <w:b w:val="1"/>
                <w:bCs w:val="1"/>
                <w:color w:val="auto"/>
              </w:rPr>
              <w:t>Total Equity</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36,238</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9,487</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45,725</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35,048</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9,027</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44,075</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138,194</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103,588</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(1,482)</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240,300</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135,055</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87,947</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(1,312)</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221,690</w:t>
            </w:r>
          </w:p>
        </w:tc>
        <w:tc>
          <w:tcPr>
            <w:tcW w:w="0" w:type="dxa"/>
            <w:vAlign w:val="bottom"/>
          </w:tcPr>
          <w:p>
            <w:pPr>
              <w:spacing w:after="0"/>
              <w:rPr>
                <w:sz w:val="1"/>
                <w:szCs w:val="1"/>
                <w:color w:val="auto"/>
              </w:rPr>
            </w:pPr>
          </w:p>
        </w:tc>
      </w:tr>
      <w:tr>
        <w:trPr>
          <w:trHeight w:val="83"/>
        </w:trPr>
        <w:tc>
          <w:tcPr>
            <w:tcW w:w="35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vMerge w:val="continue"/>
            <w:shd w:val="clear" w:color="auto" w:fill="CCEEFF"/>
          </w:tcPr>
          <w:p>
            <w:pPr>
              <w:spacing w:after="0"/>
              <w:rPr>
                <w:sz w:val="7"/>
                <w:szCs w:val="7"/>
                <w:color w:val="auto"/>
              </w:rPr>
            </w:pPr>
          </w:p>
        </w:tc>
        <w:tc>
          <w:tcPr>
            <w:tcW w:w="7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vMerge w:val="continue"/>
            <w:shd w:val="clear" w:color="auto" w:fill="CCEEFF"/>
          </w:tcPr>
          <w:p>
            <w:pPr>
              <w:spacing w:after="0"/>
              <w:rPr>
                <w:sz w:val="7"/>
                <w:szCs w:val="7"/>
                <w:color w:val="auto"/>
              </w:rPr>
            </w:pPr>
          </w:p>
        </w:tc>
        <w:tc>
          <w:tcPr>
            <w:tcW w:w="7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8890</wp:posOffset>
            </wp:positionV>
            <wp:extent cx="49568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w:t>
      </w:r>
    </w:p>
    <w:p>
      <w:pPr>
        <w:ind w:left="340" w:hanging="332"/>
        <w:spacing w:after="0" w:line="230"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include Automotive accounts receivable of $273 million offset by GM Financial accounts payable, GM Financial accounts receivable of $383M offset by Automotive accounts payable at June 30, 2017 and Automotive accounts receivable of $322 million offset by GM Financial accounts payable, GM Financial accounts receivable of $347 million offset by Automotive accounts payable at December 31, 2016.</w:t>
      </w:r>
    </w:p>
    <w:p>
      <w:pPr>
        <w:ind w:left="340" w:hanging="332"/>
        <w:spacing w:after="0" w:line="230"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$449 million and $347 million offset by an Automotive loan payable at June 30, 2017 and December 31, 2016.</w:t>
      </w:r>
    </w:p>
    <w:p>
      <w:pPr>
        <w:ind w:left="340" w:hanging="332"/>
        <w:spacing w:after="0" w:line="238"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Automotive assets held for sale of $247 million and $217 million primarily related to wholesale and commercial lending receivables offset by GM Financial liabilities held for sale at June 30, 2017 and December 31, 2016, GM Financial assets held for sale of $138 million and $79 million primarily trade receivables offset by Automotive liabilities held for sale at June 30, 2017 and December 31, 2016.</w:t>
      </w:r>
    </w:p>
    <w:p>
      <w:pPr>
        <w:sectPr>
          <w:pgSz w:w="11900" w:h="16838" w:orient="portrait"/>
          <w:cols w:equalWidth="0" w:num="1">
            <w:col w:w="11420"/>
          </w:cols>
          <w:pgMar w:left="240" w:top="576"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628" w:right="1440" w:bottom="1440" w:gutter="0" w:footer="0" w:header="0"/>
        </w:sectPr>
      </w:pPr>
    </w:p>
    <w:bookmarkStart w:id="20" w:name="page21"/>
    <w:bookmarkEnd w:id="2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Combining Cash Flow Information</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(In millions)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ind w:left="260"/>
              <w:spacing w:after="0"/>
              <w:rPr>
                <w:sz w:val="20"/>
                <w:szCs w:val="20"/>
                <w:color w:val="auto"/>
              </w:rPr>
            </w:pPr>
            <w:r>
              <w:rPr>
                <w:rFonts w:ascii="Arial" w:cs="Arial" w:eastAsia="Arial" w:hAnsi="Arial"/>
                <w:sz w:val="9"/>
                <w:szCs w:val="9"/>
                <w:b w:val="1"/>
                <w:bCs w:val="1"/>
                <w:color w:val="auto"/>
              </w:rPr>
              <w:t>Six Months Ended June 30, 2017</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9"/>
                <w:szCs w:val="9"/>
                <w:b w:val="1"/>
                <w:bCs w:val="1"/>
                <w:color w:val="auto"/>
              </w:rPr>
              <w:t>Six Months Ended June 30, 2016</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64"/>
        </w:trPr>
        <w:tc>
          <w:tcPr>
            <w:tcW w:w="2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22"/>
                <w:szCs w:val="22"/>
                <w:color w:val="auto"/>
              </w:rPr>
            </w:pPr>
          </w:p>
        </w:tc>
        <w:tc>
          <w:tcPr>
            <w:tcW w:w="7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Reclassification/Eliminations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Combined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22"/>
                <w:szCs w:val="22"/>
                <w:color w:val="auto"/>
              </w:rPr>
            </w:pPr>
          </w:p>
        </w:tc>
        <w:tc>
          <w:tcPr>
            <w:tcW w:w="6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9"/>
                <w:szCs w:val="9"/>
                <w:b w:val="1"/>
                <w:bCs w:val="1"/>
                <w:color w:val="auto"/>
              </w:rPr>
              <w:t>GM Financial</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Reclassification</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Combined</w:t>
            </w:r>
          </w:p>
        </w:tc>
      </w:tr>
      <w:tr>
        <w:trPr>
          <w:trHeight w:val="121"/>
        </w:trPr>
        <w:tc>
          <w:tcPr>
            <w:tcW w:w="3120" w:type="dxa"/>
            <w:vAlign w:val="bottom"/>
            <w:gridSpan w:val="2"/>
          </w:tcPr>
          <w:p>
            <w:pPr>
              <w:ind w:left="40"/>
              <w:spacing w:after="0"/>
              <w:rPr>
                <w:sz w:val="20"/>
                <w:szCs w:val="20"/>
                <w:color w:val="auto"/>
              </w:rPr>
            </w:pPr>
            <w:r>
              <w:rPr>
                <w:rFonts w:ascii="Arial" w:cs="Arial" w:eastAsia="Arial" w:hAnsi="Arial"/>
                <w:sz w:val="9"/>
                <w:szCs w:val="9"/>
                <w:b w:val="1"/>
                <w:bCs w:val="1"/>
                <w:color w:val="auto"/>
              </w:rPr>
              <w:t>Cash flows from operating activities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0"/>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Net income</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6"/>
        </w:trPr>
        <w:tc>
          <w:tcPr>
            <w:tcW w:w="3120" w:type="dxa"/>
            <w:vAlign w:val="bottom"/>
            <w:gridSpan w:val="2"/>
            <w:shd w:val="clear" w:color="auto" w:fill="CCEEFF"/>
          </w:tcPr>
          <w:p>
            <w:pPr>
              <w:ind w:left="3000"/>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4,679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440</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75"/>
              <w:spacing w:after="0"/>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5,119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4,320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347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4,667</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Depreciation, amortization and impairment charges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2,923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3,014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5,937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2,550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2,041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4,591</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Foreign currency remeasurement and transaction losses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95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10</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142</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Undistributed earnings of nonconsolidated affiliates, net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575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487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837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893</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Pension contributions and OPEB payments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(753)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(753)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(2,778)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(2,778)</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Pension and OPEB (income), net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55"/>
              <w:spacing w:after="0"/>
              <w:rPr>
                <w:sz w:val="20"/>
                <w:szCs w:val="20"/>
                <w:color w:val="auto"/>
              </w:rPr>
            </w:pPr>
            <w:r>
              <w:rPr>
                <w:rFonts w:ascii="Arial" w:cs="Arial" w:eastAsia="Arial" w:hAnsi="Arial"/>
                <w:sz w:val="9"/>
                <w:szCs w:val="9"/>
                <w:color w:val="auto"/>
              </w:rPr>
              <w:t>(405)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(405)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(406)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(406)</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Provision for deferred taxes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1,179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124</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1,303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1,437</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Change in other operating assets and liabilities(a)</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0"/>
        </w:trPr>
        <w:tc>
          <w:tcPr>
            <w:tcW w:w="29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(2,131)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(345)</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(1,889)</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(4,365)</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(2,394)</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(176)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(476)</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(3,046)</w:t>
            </w:r>
          </w:p>
        </w:tc>
      </w:tr>
      <w:tr>
        <w:trPr>
          <w:trHeight w:val="12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Net cash provided by operating activities – continuing operations</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6,162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3,155</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(1,889)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7,428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3,704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2,272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(476)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5,500</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Net cash provided by operating activities – discontinued operations(a)</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0"/>
        </w:trPr>
        <w:tc>
          <w:tcPr>
            <w:tcW w:w="29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131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176</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(176)</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131</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622</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346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(449)</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519</w:t>
            </w:r>
          </w:p>
        </w:tc>
      </w:tr>
      <w:tr>
        <w:trPr>
          <w:trHeight w:val="12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9"/>
                <w:szCs w:val="9"/>
                <w:b w:val="1"/>
                <w:bCs w:val="1"/>
                <w:color w:val="auto"/>
              </w:rPr>
              <w:t>Net cash provided by operating activities</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6,293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3,331</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(2,065)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7,559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4,326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2,618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(925)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6,019</w:t>
            </w:r>
          </w:p>
        </w:tc>
      </w:tr>
      <w:tr>
        <w:trPr>
          <w:trHeight w:val="134"/>
        </w:trPr>
        <w:tc>
          <w:tcPr>
            <w:tcW w:w="3120" w:type="dxa"/>
            <w:vAlign w:val="bottom"/>
            <w:gridSpan w:val="2"/>
          </w:tcPr>
          <w:p>
            <w:pPr>
              <w:ind w:left="40"/>
              <w:spacing w:after="0"/>
              <w:rPr>
                <w:sz w:val="20"/>
                <w:szCs w:val="20"/>
                <w:color w:val="auto"/>
              </w:rPr>
            </w:pPr>
            <w:r>
              <w:rPr>
                <w:rFonts w:ascii="Arial" w:cs="Arial" w:eastAsia="Arial" w:hAnsi="Arial"/>
                <w:sz w:val="9"/>
                <w:szCs w:val="9"/>
                <w:b w:val="1"/>
                <w:bCs w:val="1"/>
                <w:color w:val="auto"/>
              </w:rPr>
              <w:t>Cash flows from investing activities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6"/>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Expenditures for property</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(4,139)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(47)</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(4,186)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(3,994)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(4,032)</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Available-for-sale marketable securities, acquisitions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55"/>
              <w:spacing w:after="0"/>
              <w:rPr>
                <w:sz w:val="20"/>
                <w:szCs w:val="20"/>
                <w:color w:val="auto"/>
              </w:rPr>
            </w:pPr>
            <w:r>
              <w:rPr>
                <w:rFonts w:ascii="Arial" w:cs="Arial" w:eastAsia="Arial" w:hAnsi="Arial"/>
                <w:sz w:val="9"/>
                <w:szCs w:val="9"/>
                <w:color w:val="auto"/>
              </w:rPr>
              <w:t>(2,149)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(2,149)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(2,278)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(2,278)</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Trading marketable securities, acquisitions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(203)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(203)</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Available-for-sale marketable securities, liquidations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4,872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4,872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5,337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5,337</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Trading marketable securities, liquidations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813</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Acquisition of companies/investments, net of cash acquired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55"/>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(799)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(799)</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Purchases of finance receivables, net(a)</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(12,459)</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1,882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(10,577)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(6,893)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476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(6,417)</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Principal collections and recoveries on finance receivables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6,020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55"/>
              <w:spacing w:after="0"/>
              <w:rPr>
                <w:sz w:val="20"/>
                <w:szCs w:val="20"/>
                <w:color w:val="auto"/>
              </w:rPr>
            </w:pPr>
            <w:r>
              <w:rPr>
                <w:rFonts w:ascii="Arial" w:cs="Arial" w:eastAsia="Arial" w:hAnsi="Arial"/>
                <w:sz w:val="9"/>
                <w:szCs w:val="9"/>
                <w:color w:val="auto"/>
              </w:rPr>
              <w:t>(17)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6,003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4,938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4,938</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Purchases of leased vehicles, net</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(9,884)</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(9,884)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(10,145)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(10,145)</w:t>
            </w:r>
          </w:p>
        </w:tc>
      </w:tr>
      <w:tr>
        <w:trPr>
          <w:trHeight w:val="134"/>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Proceeds from termination of leased vehicles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2,724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2,724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1,089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840" w:type="dxa"/>
            <w:vAlign w:val="bottom"/>
          </w:tcPr>
          <w:p>
            <w:pPr>
              <w:jc w:val="right"/>
              <w:ind w:right="55"/>
              <w:spacing w:after="0"/>
              <w:rPr>
                <w:sz w:val="20"/>
                <w:szCs w:val="20"/>
                <w:color w:val="auto"/>
              </w:rPr>
            </w:pPr>
            <w:r>
              <w:rPr>
                <w:rFonts w:ascii="Arial" w:cs="Arial" w:eastAsia="Arial" w:hAnsi="Arial"/>
                <w:sz w:val="9"/>
                <w:szCs w:val="9"/>
                <w:color w:val="auto"/>
              </w:rPr>
              <w:t>1,089</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Other investing activities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0"/>
        </w:trPr>
        <w:tc>
          <w:tcPr>
            <w:tcW w:w="29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76</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(12)</w:t>
            </w: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64</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169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44</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213</w:t>
            </w:r>
          </w:p>
        </w:tc>
      </w:tr>
      <w:tr>
        <w:trPr>
          <w:trHeight w:val="121"/>
        </w:trPr>
        <w:tc>
          <w:tcPr>
            <w:tcW w:w="3120" w:type="dxa"/>
            <w:vAlign w:val="bottom"/>
            <w:gridSpan w:val="2"/>
          </w:tcPr>
          <w:p>
            <w:pPr>
              <w:ind w:left="180"/>
              <w:spacing w:after="0"/>
              <w:rPr>
                <w:sz w:val="20"/>
                <w:szCs w:val="20"/>
                <w:color w:val="auto"/>
              </w:rPr>
            </w:pPr>
            <w:r>
              <w:rPr>
                <w:rFonts w:ascii="Arial" w:cs="Arial" w:eastAsia="Arial" w:hAnsi="Arial"/>
                <w:sz w:val="9"/>
                <w:szCs w:val="9"/>
                <w:color w:val="auto"/>
              </w:rPr>
              <w:t>Net cash (used in) investing activities – continuing operations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9"/>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55"/>
              <w:spacing w:after="0"/>
              <w:rPr>
                <w:sz w:val="20"/>
                <w:szCs w:val="20"/>
                <w:color w:val="auto"/>
              </w:rPr>
            </w:pPr>
            <w:r>
              <w:rPr>
                <w:rFonts w:ascii="Arial" w:cs="Arial" w:eastAsia="Arial" w:hAnsi="Arial"/>
                <w:sz w:val="9"/>
                <w:szCs w:val="9"/>
                <w:color w:val="auto"/>
              </w:rPr>
              <w:t>(1,342)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(13,658)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1,865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(13,135)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(955)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35"/>
              <w:spacing w:after="0"/>
              <w:rPr>
                <w:sz w:val="20"/>
                <w:szCs w:val="20"/>
                <w:color w:val="auto"/>
              </w:rPr>
            </w:pPr>
            <w:r>
              <w:rPr>
                <w:rFonts w:ascii="Arial" w:cs="Arial" w:eastAsia="Arial" w:hAnsi="Arial"/>
                <w:sz w:val="9"/>
                <w:szCs w:val="9"/>
                <w:color w:val="auto"/>
              </w:rPr>
              <w:t>(11,005)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55"/>
              <w:spacing w:after="0"/>
              <w:rPr>
                <w:sz w:val="20"/>
                <w:szCs w:val="20"/>
                <w:color w:val="auto"/>
              </w:rPr>
            </w:pPr>
            <w:r>
              <w:rPr>
                <w:rFonts w:ascii="Arial" w:cs="Arial" w:eastAsia="Arial" w:hAnsi="Arial"/>
                <w:sz w:val="9"/>
                <w:szCs w:val="9"/>
                <w:color w:val="auto"/>
              </w:rPr>
              <w:t>476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(11,484)</w:t>
            </w:r>
          </w:p>
        </w:tc>
      </w:tr>
      <w:tr>
        <w:trPr>
          <w:trHeight w:val="14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Net cash (used in) investing activities – discontinued operations(a)</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0"/>
        </w:trPr>
        <w:tc>
          <w:tcPr>
            <w:tcW w:w="29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(511)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(364)</w:t>
            </w: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87</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(788)</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(553)</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(751)</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449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(855)</w:t>
            </w:r>
          </w:p>
        </w:tc>
      </w:tr>
      <w:tr>
        <w:trPr>
          <w:trHeight w:val="121"/>
        </w:trPr>
        <w:tc>
          <w:tcPr>
            <w:tcW w:w="3120" w:type="dxa"/>
            <w:vAlign w:val="bottom"/>
            <w:gridSpan w:val="2"/>
          </w:tcPr>
          <w:p>
            <w:pPr>
              <w:ind w:left="40"/>
              <w:spacing w:after="0"/>
              <w:rPr>
                <w:sz w:val="20"/>
                <w:szCs w:val="20"/>
                <w:color w:val="auto"/>
              </w:rPr>
            </w:pPr>
            <w:r>
              <w:rPr>
                <w:rFonts w:ascii="Arial" w:cs="Arial" w:eastAsia="Arial" w:hAnsi="Arial"/>
                <w:sz w:val="9"/>
                <w:szCs w:val="9"/>
                <w:b w:val="1"/>
                <w:bCs w:val="1"/>
                <w:color w:val="auto"/>
              </w:rPr>
              <w:t>Net cash (used in) investing activities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55"/>
              <w:spacing w:after="0"/>
              <w:rPr>
                <w:sz w:val="20"/>
                <w:szCs w:val="20"/>
                <w:color w:val="auto"/>
              </w:rPr>
            </w:pPr>
            <w:r>
              <w:rPr>
                <w:rFonts w:ascii="Arial" w:cs="Arial" w:eastAsia="Arial" w:hAnsi="Arial"/>
                <w:sz w:val="9"/>
                <w:szCs w:val="9"/>
                <w:color w:val="auto"/>
              </w:rPr>
              <w:t>(1,853)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(14,022)</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1,952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(13,923)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(1,508)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ind w:right="35"/>
              <w:spacing w:after="0"/>
              <w:rPr>
                <w:sz w:val="20"/>
                <w:szCs w:val="20"/>
                <w:color w:val="auto"/>
              </w:rPr>
            </w:pPr>
            <w:r>
              <w:rPr>
                <w:rFonts w:ascii="Arial" w:cs="Arial" w:eastAsia="Arial" w:hAnsi="Arial"/>
                <w:sz w:val="9"/>
                <w:szCs w:val="9"/>
                <w:color w:val="auto"/>
              </w:rPr>
              <w:t>(11,756)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55"/>
              <w:spacing w:after="0"/>
              <w:rPr>
                <w:sz w:val="20"/>
                <w:szCs w:val="20"/>
                <w:color w:val="auto"/>
              </w:rPr>
            </w:pPr>
            <w:r>
              <w:rPr>
                <w:rFonts w:ascii="Arial" w:cs="Arial" w:eastAsia="Arial" w:hAnsi="Arial"/>
                <w:sz w:val="9"/>
                <w:szCs w:val="9"/>
                <w:color w:val="auto"/>
              </w:rPr>
              <w:t>925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5"/>
              <w:spacing w:after="0"/>
              <w:rPr>
                <w:sz w:val="20"/>
                <w:szCs w:val="20"/>
                <w:color w:val="auto"/>
              </w:rPr>
            </w:pPr>
            <w:r>
              <w:rPr>
                <w:rFonts w:ascii="Arial" w:cs="Arial" w:eastAsia="Arial" w:hAnsi="Arial"/>
                <w:sz w:val="9"/>
                <w:szCs w:val="9"/>
                <w:color w:val="auto"/>
              </w:rPr>
              <w:t>(12,339)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Cash flows from financing activities</w:t>
      </w:r>
    </w:p>
    <w:p>
      <w:pPr>
        <w:sectPr>
          <w:pgSz w:w="11900" w:h="16838" w:orient="portrait"/>
          <w:cols w:equalWidth="0" w:num="1">
            <w:col w:w="11420"/>
          </w:cols>
          <w:pgMar w:left="240" w:top="576" w:right="239" w:bottom="1440" w:gutter="0" w:footer="0" w:header="0"/>
        </w:sectPr>
      </w:pPr>
    </w:p>
    <w:p>
      <w:pPr>
        <w:spacing w:after="0" w:line="177" w:lineRule="exact"/>
        <w:rPr>
          <w:sz w:val="20"/>
          <w:szCs w:val="20"/>
          <w:color w:val="auto"/>
        </w:rPr>
      </w:pPr>
    </w:p>
    <w:p>
      <w:pPr>
        <w:ind w:left="180"/>
        <w:spacing w:after="0"/>
        <w:rPr>
          <w:sz w:val="20"/>
          <w:szCs w:val="20"/>
          <w:color w:val="auto"/>
        </w:rPr>
      </w:pPr>
      <w:r>
        <w:rPr>
          <w:rFonts w:ascii="Arial" w:cs="Arial" w:eastAsia="Arial" w:hAnsi="Arial"/>
          <w:sz w:val="9"/>
          <w:szCs w:val="9"/>
          <w:color w:val="auto"/>
        </w:rPr>
        <w:t>Net increase (decrease) in short-term debt</w:t>
      </w:r>
    </w:p>
    <w:p>
      <w:pPr>
        <w:spacing w:after="0" w:line="167" w:lineRule="exact"/>
        <w:rPr>
          <w:sz w:val="20"/>
          <w:szCs w:val="20"/>
          <w:color w:val="auto"/>
        </w:rPr>
      </w:pPr>
    </w:p>
    <w:p>
      <w:pPr>
        <w:ind w:left="340" w:right="120" w:hanging="161"/>
        <w:spacing w:after="0" w:line="234" w:lineRule="auto"/>
        <w:rPr>
          <w:sz w:val="20"/>
          <w:szCs w:val="20"/>
          <w:color w:val="auto"/>
        </w:rPr>
      </w:pPr>
      <w:r>
        <w:rPr>
          <w:rFonts w:ascii="Arial" w:cs="Arial" w:eastAsia="Arial" w:hAnsi="Arial"/>
          <w:sz w:val="9"/>
          <w:szCs w:val="9"/>
          <w:color w:val="auto"/>
        </w:rPr>
        <w:t>Proceeds from issuance of debt (original maturities greater than three months)</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9"/>
          <w:szCs w:val="9"/>
          <w:color w:val="auto"/>
        </w:rPr>
        <w:t>Payments on debt (original maturities greater than three months)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9"/>
          <w:szCs w:val="9"/>
          <w:color w:val="auto"/>
        </w:rPr>
        <w:t>Payments to purchase common stock</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9"/>
          <w:szCs w:val="9"/>
          <w:color w:val="auto"/>
        </w:rPr>
        <w:t>Dividends paid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9"/>
          <w:szCs w:val="9"/>
          <w:color w:val="auto"/>
        </w:rPr>
        <w:t>Other financing activities</w:t>
      </w:r>
    </w:p>
    <w:p>
      <w:pPr>
        <w:spacing w:after="0" w:line="167" w:lineRule="exact"/>
        <w:rPr>
          <w:sz w:val="20"/>
          <w:szCs w:val="20"/>
          <w:color w:val="auto"/>
        </w:rPr>
      </w:pPr>
    </w:p>
    <w:p>
      <w:pPr>
        <w:ind w:left="180" w:right="400"/>
        <w:spacing w:after="0" w:line="234" w:lineRule="auto"/>
        <w:rPr>
          <w:sz w:val="20"/>
          <w:szCs w:val="20"/>
          <w:color w:val="auto"/>
        </w:rPr>
      </w:pPr>
      <w:r>
        <w:rPr>
          <w:rFonts w:ascii="Arial" w:cs="Arial" w:eastAsia="Arial" w:hAnsi="Arial"/>
          <w:sz w:val="9"/>
          <w:szCs w:val="9"/>
          <w:color w:val="auto"/>
        </w:rPr>
        <w:t>Net cash provided by (used in) financing activities – continuing operations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9"/>
          <w:szCs w:val="9"/>
          <w:color w:val="auto"/>
        </w:rPr>
        <w:t>Net cash (used in) financing activities – discontinued operations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Net cash provided by (used in) financing activities</w:t>
      </w:r>
    </w:p>
    <w:p>
      <w:pPr>
        <w:spacing w:after="0" w:line="55" w:lineRule="exact"/>
        <w:rPr>
          <w:sz w:val="20"/>
          <w:szCs w:val="20"/>
          <w:color w:val="auto"/>
        </w:rPr>
      </w:pPr>
    </w:p>
    <w:p>
      <w:pPr>
        <w:ind w:left="340" w:right="360" w:hanging="161"/>
        <w:spacing w:after="0" w:line="234" w:lineRule="auto"/>
        <w:rPr>
          <w:sz w:val="20"/>
          <w:szCs w:val="20"/>
          <w:color w:val="auto"/>
        </w:rPr>
      </w:pPr>
      <w:r>
        <w:rPr>
          <w:rFonts w:ascii="Arial" w:cs="Arial" w:eastAsia="Arial" w:hAnsi="Arial"/>
          <w:sz w:val="9"/>
          <w:szCs w:val="9"/>
          <w:color w:val="auto"/>
        </w:rPr>
        <w:t>Effect of exchange rate changes on cash, cash equivalents and restricted cash</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9"/>
          <w:szCs w:val="9"/>
          <w:color w:val="auto"/>
        </w:rPr>
        <w:t>Net transactions with Automotive/GM Financial(b)</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9"/>
          <w:szCs w:val="9"/>
          <w:color w:val="auto"/>
        </w:rPr>
        <w:t>Net increase (decrease) in cash, cash equivalents and restricted cash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60" w:type="dxa"/>
            <w:vAlign w:val="bottom"/>
          </w:tcPr>
          <w:p>
            <w:pPr>
              <w:ind w:left="40"/>
              <w:spacing w:after="0"/>
              <w:rPr>
                <w:sz w:val="20"/>
                <w:szCs w:val="20"/>
                <w:color w:val="auto"/>
              </w:rPr>
            </w:pPr>
            <w:r>
              <w:rPr>
                <w:rFonts w:ascii="Arial" w:cs="Arial" w:eastAsia="Arial" w:hAnsi="Arial"/>
                <w:sz w:val="9"/>
                <w:szCs w:val="9"/>
                <w:color w:val="auto"/>
              </w:rPr>
              <w:t>Cash, cash equivalents and restricted cash at beginning of period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9"/>
                <w:szCs w:val="9"/>
                <w:b w:val="1"/>
                <w:bCs w:val="1"/>
                <w:color w:val="auto"/>
              </w:rPr>
              <w:t>Cash, cash equivalents and restricted cash at end of period</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rPr>
                <w:sz w:val="20"/>
                <w:szCs w:val="20"/>
                <w:color w:val="auto"/>
              </w:rPr>
            </w:pPr>
            <w:r>
              <w:rPr>
                <w:rFonts w:ascii="Arial" w:cs="Arial" w:eastAsia="Arial" w:hAnsi="Arial"/>
                <w:sz w:val="9"/>
                <w:szCs w:val="9"/>
                <w:color w:val="auto"/>
              </w:rPr>
              <w:t>Cash, cash equivalents and restricted cash – continuing operations 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60" w:type="dxa"/>
            <w:vAlign w:val="bottom"/>
          </w:tcPr>
          <w:p>
            <w:pPr>
              <w:ind w:left="200"/>
              <w:spacing w:after="0"/>
              <w:rPr>
                <w:sz w:val="20"/>
                <w:szCs w:val="20"/>
                <w:color w:val="auto"/>
              </w:rPr>
            </w:pPr>
            <w:r>
              <w:rPr>
                <w:rFonts w:ascii="Arial" w:cs="Arial" w:eastAsia="Arial" w:hAnsi="Arial"/>
                <w:sz w:val="9"/>
                <w:szCs w:val="9"/>
                <w:color w:val="auto"/>
              </w:rPr>
              <w:t>end of period</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960" w:type="dxa"/>
            <w:vAlign w:val="bottom"/>
          </w:tcPr>
          <w:p>
            <w:pPr>
              <w:ind w:left="40"/>
              <w:spacing w:after="0"/>
              <w:rPr>
                <w:sz w:val="20"/>
                <w:szCs w:val="20"/>
                <w:color w:val="auto"/>
              </w:rPr>
            </w:pPr>
            <w:r>
              <w:rPr>
                <w:rFonts w:ascii="Arial" w:cs="Arial" w:eastAsia="Arial" w:hAnsi="Arial"/>
                <w:sz w:val="9"/>
                <w:szCs w:val="9"/>
                <w:color w:val="auto"/>
              </w:rPr>
              <w:t>Cash, cash equivalents and restricted cash – discontinued operations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60" w:type="dxa"/>
            <w:vAlign w:val="bottom"/>
          </w:tcPr>
          <w:p>
            <w:pPr>
              <w:ind w:left="200"/>
              <w:spacing w:after="0"/>
              <w:rPr>
                <w:sz w:val="20"/>
                <w:szCs w:val="20"/>
                <w:color w:val="auto"/>
              </w:rPr>
            </w:pPr>
            <w:r>
              <w:rPr>
                <w:rFonts w:ascii="Arial" w:cs="Arial" w:eastAsia="Arial" w:hAnsi="Arial"/>
                <w:sz w:val="9"/>
                <w:szCs w:val="9"/>
                <w:color w:val="auto"/>
              </w:rPr>
              <w:t>end of period</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960" w:type="dxa"/>
            <w:vAlign w:val="bottom"/>
          </w:tcPr>
          <w:p>
            <w:pPr>
              <w:spacing w:after="0"/>
              <w:rPr>
                <w:sz w:val="20"/>
                <w:szCs w:val="20"/>
                <w:color w:val="auto"/>
              </w:rPr>
            </w:pPr>
            <w:r>
              <w:rPr>
                <w:rFonts w:ascii="Arial" w:cs="Arial" w:eastAsia="Arial" w:hAnsi="Arial"/>
                <w:sz w:val="11"/>
                <w:szCs w:val="11"/>
                <w:color w:val="auto"/>
              </w:rPr>
              <w:t>_________</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7"/>
        </w:trPr>
        <w:tc>
          <w:tcPr>
            <w:tcW w:w="520" w:type="dxa"/>
            <w:vAlign w:val="bottom"/>
          </w:tcPr>
          <w:p>
            <w:pPr>
              <w:jc w:val="right"/>
              <w:ind w:right="175"/>
              <w:spacing w:after="0"/>
              <w:rPr>
                <w:sz w:val="20"/>
                <w:szCs w:val="20"/>
                <w:color w:val="auto"/>
              </w:rPr>
            </w:pPr>
            <w:r>
              <w:rPr>
                <w:rFonts w:ascii="Arial" w:cs="Arial" w:eastAsia="Arial" w:hAnsi="Arial"/>
                <w:sz w:val="9"/>
                <w:szCs w:val="9"/>
                <w:color w:val="auto"/>
              </w:rPr>
              <w:t>(62)</w:t>
            </w:r>
          </w:p>
        </w:tc>
        <w:tc>
          <w:tcPr>
            <w:tcW w:w="160" w:type="dxa"/>
            <w:vAlign w:val="bottom"/>
          </w:tcPr>
          <w:p>
            <w:pPr>
              <w:spacing w:after="0"/>
              <w:rPr>
                <w:sz w:val="9"/>
                <w:szCs w:val="9"/>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(351)</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(413)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26</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ind w:right="35"/>
              <w:spacing w:after="0"/>
              <w:rPr>
                <w:sz w:val="20"/>
                <w:szCs w:val="20"/>
                <w:color w:val="auto"/>
              </w:rPr>
            </w:pPr>
            <w:r>
              <w:rPr>
                <w:rFonts w:ascii="Arial" w:cs="Arial" w:eastAsia="Arial" w:hAnsi="Arial"/>
                <w:sz w:val="9"/>
                <w:szCs w:val="9"/>
                <w:color w:val="auto"/>
              </w:rPr>
              <w:t>(320)</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(294)</w:t>
            </w:r>
          </w:p>
        </w:tc>
      </w:tr>
      <w:tr>
        <w:trPr>
          <w:trHeight w:val="270"/>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428</w:t>
            </w:r>
          </w:p>
        </w:tc>
        <w:tc>
          <w:tcPr>
            <w:tcW w:w="160" w:type="dxa"/>
            <w:vAlign w:val="bottom"/>
          </w:tcPr>
          <w:p>
            <w:pPr>
              <w:spacing w:after="0"/>
              <w:rPr>
                <w:sz w:val="23"/>
                <w:szCs w:val="23"/>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26,703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27,131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2,048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19,452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21,500</w:t>
            </w:r>
          </w:p>
        </w:tc>
      </w:tr>
      <w:tr>
        <w:trPr>
          <w:trHeight w:val="270"/>
        </w:trPr>
        <w:tc>
          <w:tcPr>
            <w:tcW w:w="520" w:type="dxa"/>
            <w:vAlign w:val="bottom"/>
          </w:tcPr>
          <w:p>
            <w:pPr>
              <w:jc w:val="right"/>
              <w:ind w:right="175"/>
              <w:spacing w:after="0"/>
              <w:rPr>
                <w:sz w:val="20"/>
                <w:szCs w:val="20"/>
                <w:color w:val="auto"/>
              </w:rPr>
            </w:pPr>
            <w:r>
              <w:rPr>
                <w:rFonts w:ascii="Arial" w:cs="Arial" w:eastAsia="Arial" w:hAnsi="Arial"/>
                <w:sz w:val="9"/>
                <w:szCs w:val="9"/>
                <w:color w:val="auto"/>
              </w:rPr>
              <w:t>(456)</w:t>
            </w:r>
          </w:p>
        </w:tc>
        <w:tc>
          <w:tcPr>
            <w:tcW w:w="160" w:type="dxa"/>
            <w:vAlign w:val="bottom"/>
          </w:tcPr>
          <w:p>
            <w:pPr>
              <w:spacing w:after="0"/>
              <w:rPr>
                <w:sz w:val="23"/>
                <w:szCs w:val="23"/>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(12,891)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jc w:val="right"/>
              <w:ind w:right="75"/>
              <w:spacing w:after="0"/>
              <w:rPr>
                <w:sz w:val="20"/>
                <w:szCs w:val="20"/>
                <w:color w:val="auto"/>
              </w:rPr>
            </w:pPr>
            <w:r>
              <w:rPr>
                <w:rFonts w:ascii="Arial" w:cs="Arial" w:eastAsia="Arial" w:hAnsi="Arial"/>
                <w:sz w:val="9"/>
                <w:szCs w:val="9"/>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(13,331)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35"/>
              <w:spacing w:after="0"/>
              <w:rPr>
                <w:sz w:val="20"/>
                <w:szCs w:val="20"/>
                <w:color w:val="auto"/>
              </w:rPr>
            </w:pPr>
            <w:r>
              <w:rPr>
                <w:rFonts w:ascii="Arial" w:cs="Arial" w:eastAsia="Arial" w:hAnsi="Arial"/>
                <w:sz w:val="9"/>
                <w:szCs w:val="9"/>
                <w:color w:val="auto"/>
              </w:rPr>
              <w:t>(147)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35"/>
              <w:spacing w:after="0"/>
              <w:rPr>
                <w:sz w:val="20"/>
                <w:szCs w:val="20"/>
                <w:color w:val="auto"/>
              </w:rPr>
            </w:pPr>
            <w:r>
              <w:rPr>
                <w:rFonts w:ascii="Arial" w:cs="Arial" w:eastAsia="Arial" w:hAnsi="Arial"/>
                <w:sz w:val="9"/>
                <w:szCs w:val="9"/>
                <w:color w:val="auto"/>
              </w:rPr>
              <w:t>(10,226)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(10,373)</w:t>
            </w:r>
          </w:p>
        </w:tc>
      </w:tr>
      <w:tr>
        <w:trPr>
          <w:trHeight w:val="270"/>
        </w:trPr>
        <w:tc>
          <w:tcPr>
            <w:tcW w:w="520" w:type="dxa"/>
            <w:vAlign w:val="bottom"/>
          </w:tcPr>
          <w:p>
            <w:pPr>
              <w:jc w:val="right"/>
              <w:ind w:right="175"/>
              <w:spacing w:after="0"/>
              <w:rPr>
                <w:sz w:val="20"/>
                <w:szCs w:val="20"/>
                <w:color w:val="auto"/>
              </w:rPr>
            </w:pPr>
            <w:r>
              <w:rPr>
                <w:rFonts w:ascii="Arial" w:cs="Arial" w:eastAsia="Arial" w:hAnsi="Arial"/>
                <w:sz w:val="9"/>
                <w:szCs w:val="9"/>
                <w:color w:val="auto"/>
                <w:w w:val="98"/>
              </w:rPr>
              <w:t>(1,496)</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(1,496)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35"/>
              <w:spacing w:after="0"/>
              <w:rPr>
                <w:sz w:val="20"/>
                <w:szCs w:val="20"/>
                <w:color w:val="auto"/>
              </w:rPr>
            </w:pPr>
            <w:r>
              <w:rPr>
                <w:rFonts w:ascii="Arial" w:cs="Arial" w:eastAsia="Arial" w:hAnsi="Arial"/>
                <w:sz w:val="9"/>
                <w:szCs w:val="9"/>
                <w:color w:val="auto"/>
              </w:rPr>
              <w:t>(300)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23"/>
                <w:szCs w:val="23"/>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(300)</w:t>
            </w:r>
          </w:p>
        </w:tc>
      </w:tr>
      <w:tr>
        <w:trPr>
          <w:trHeight w:val="270"/>
        </w:trPr>
        <w:tc>
          <w:tcPr>
            <w:tcW w:w="520" w:type="dxa"/>
            <w:vAlign w:val="bottom"/>
          </w:tcPr>
          <w:p>
            <w:pPr>
              <w:jc w:val="right"/>
              <w:ind w:right="175"/>
              <w:spacing w:after="0"/>
              <w:rPr>
                <w:sz w:val="20"/>
                <w:szCs w:val="20"/>
                <w:color w:val="auto"/>
              </w:rPr>
            </w:pPr>
            <w:r>
              <w:rPr>
                <w:rFonts w:ascii="Arial" w:cs="Arial" w:eastAsia="Arial" w:hAnsi="Arial"/>
                <w:sz w:val="9"/>
                <w:szCs w:val="9"/>
                <w:color w:val="auto"/>
                <w:w w:val="98"/>
              </w:rPr>
              <w:t>(1,145)</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(1,145)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35"/>
              <w:spacing w:after="0"/>
              <w:rPr>
                <w:sz w:val="20"/>
                <w:szCs w:val="20"/>
                <w:color w:val="auto"/>
              </w:rPr>
            </w:pPr>
            <w:r>
              <w:rPr>
                <w:rFonts w:ascii="Arial" w:cs="Arial" w:eastAsia="Arial" w:hAnsi="Arial"/>
                <w:sz w:val="9"/>
                <w:szCs w:val="9"/>
                <w:color w:val="auto"/>
              </w:rPr>
              <w:t>(1,188)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23"/>
                <w:szCs w:val="23"/>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(1,188)</w:t>
            </w:r>
          </w:p>
        </w:tc>
      </w:tr>
      <w:tr>
        <w:trPr>
          <w:trHeight w:val="278"/>
        </w:trPr>
        <w:tc>
          <w:tcPr>
            <w:tcW w:w="520" w:type="dxa"/>
            <w:vAlign w:val="bottom"/>
          </w:tcPr>
          <w:p>
            <w:pPr>
              <w:jc w:val="right"/>
              <w:ind w:right="175"/>
              <w:spacing w:after="0"/>
              <w:rPr>
                <w:sz w:val="20"/>
                <w:szCs w:val="20"/>
                <w:color w:val="auto"/>
              </w:rPr>
            </w:pPr>
            <w:r>
              <w:rPr>
                <w:rFonts w:ascii="Arial" w:cs="Arial" w:eastAsia="Arial" w:hAnsi="Arial"/>
                <w:sz w:val="9"/>
                <w:szCs w:val="9"/>
                <w:color w:val="auto"/>
              </w:rPr>
              <w:t>(142)</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(95)</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(237)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(90)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(78)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(168)</w:t>
            </w:r>
          </w:p>
        </w:tc>
      </w:tr>
      <w:tr>
        <w:trPr>
          <w:trHeight w:val="310"/>
        </w:trPr>
        <w:tc>
          <w:tcPr>
            <w:tcW w:w="520" w:type="dxa"/>
            <w:vAlign w:val="bottom"/>
          </w:tcPr>
          <w:p>
            <w:pPr>
              <w:jc w:val="right"/>
              <w:ind w:right="175"/>
              <w:spacing w:after="0"/>
              <w:rPr>
                <w:sz w:val="20"/>
                <w:szCs w:val="20"/>
                <w:color w:val="auto"/>
              </w:rPr>
            </w:pPr>
            <w:r>
              <w:rPr>
                <w:rFonts w:ascii="Arial" w:cs="Arial" w:eastAsia="Arial" w:hAnsi="Arial"/>
                <w:sz w:val="9"/>
                <w:szCs w:val="9"/>
                <w:color w:val="auto"/>
                <w:w w:val="98"/>
              </w:rPr>
              <w:t>(2,873)</w:t>
            </w:r>
          </w:p>
        </w:tc>
        <w:tc>
          <w:tcPr>
            <w:tcW w:w="160" w:type="dxa"/>
            <w:vAlign w:val="bottom"/>
          </w:tcPr>
          <w:p>
            <w:pPr>
              <w:spacing w:after="0"/>
              <w:rPr>
                <w:sz w:val="24"/>
                <w:szCs w:val="24"/>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13,366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ind w:right="75"/>
              <w:spacing w:after="0"/>
              <w:rPr>
                <w:sz w:val="20"/>
                <w:szCs w:val="20"/>
                <w:color w:val="auto"/>
              </w:rPr>
            </w:pPr>
            <w:r>
              <w:rPr>
                <w:rFonts w:ascii="Arial" w:cs="Arial" w:eastAsia="Arial" w:hAnsi="Arial"/>
                <w:sz w:val="9"/>
                <w:szCs w:val="9"/>
                <w:color w:val="auto"/>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10,509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349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8,828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9,177</w:t>
            </w:r>
          </w:p>
        </w:tc>
      </w:tr>
      <w:tr>
        <w:trPr>
          <w:trHeight w:val="278"/>
        </w:trPr>
        <w:tc>
          <w:tcPr>
            <w:tcW w:w="520" w:type="dxa"/>
            <w:vAlign w:val="bottom"/>
          </w:tcPr>
          <w:p>
            <w:pPr>
              <w:jc w:val="right"/>
              <w:ind w:right="175"/>
              <w:spacing w:after="0"/>
              <w:rPr>
                <w:sz w:val="20"/>
                <w:szCs w:val="20"/>
                <w:color w:val="auto"/>
              </w:rPr>
            </w:pPr>
            <w:r>
              <w:rPr>
                <w:rFonts w:ascii="Arial" w:cs="Arial" w:eastAsia="Arial" w:hAnsi="Arial"/>
                <w:sz w:val="9"/>
                <w:szCs w:val="9"/>
                <w:color w:val="auto"/>
              </w:rPr>
              <w:t>(131)</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65</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97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850</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850</w:t>
            </w:r>
          </w:p>
        </w:tc>
      </w:tr>
      <w:tr>
        <w:trPr>
          <w:trHeight w:val="242"/>
        </w:trPr>
        <w:tc>
          <w:tcPr>
            <w:tcW w:w="520" w:type="dxa"/>
            <w:vAlign w:val="bottom"/>
          </w:tcPr>
          <w:p>
            <w:pPr>
              <w:jc w:val="right"/>
              <w:ind w:right="175"/>
              <w:spacing w:after="0"/>
              <w:rPr>
                <w:sz w:val="20"/>
                <w:szCs w:val="20"/>
                <w:color w:val="auto"/>
              </w:rPr>
            </w:pPr>
            <w:r>
              <w:rPr>
                <w:rFonts w:ascii="Arial" w:cs="Arial" w:eastAsia="Arial" w:hAnsi="Arial"/>
                <w:sz w:val="9"/>
                <w:szCs w:val="9"/>
                <w:color w:val="auto"/>
                <w:w w:val="98"/>
              </w:rPr>
              <w:t>(3,004)</w:t>
            </w:r>
          </w:p>
        </w:tc>
        <w:tc>
          <w:tcPr>
            <w:tcW w:w="160" w:type="dxa"/>
            <w:vAlign w:val="bottom"/>
          </w:tcPr>
          <w:p>
            <w:pPr>
              <w:spacing w:after="0"/>
              <w:rPr>
                <w:sz w:val="21"/>
                <w:szCs w:val="21"/>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13,431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9"/>
                <w:szCs w:val="9"/>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10,540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9,678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1"/>
                <w:szCs w:val="21"/>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10,027</w:t>
            </w:r>
          </w:p>
        </w:tc>
      </w:tr>
      <w:tr>
        <w:trPr>
          <w:trHeight w:val="270"/>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131</w:t>
            </w:r>
          </w:p>
        </w:tc>
        <w:tc>
          <w:tcPr>
            <w:tcW w:w="160" w:type="dxa"/>
            <w:vAlign w:val="bottom"/>
          </w:tcPr>
          <w:p>
            <w:pPr>
              <w:spacing w:after="0"/>
              <w:rPr>
                <w:sz w:val="23"/>
                <w:szCs w:val="23"/>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78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35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55</w:t>
            </w:r>
          </w:p>
        </w:tc>
      </w:tr>
      <w:tr>
        <w:trPr>
          <w:trHeight w:val="278"/>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419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(419)</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w:t>
            </w:r>
          </w:p>
        </w:tc>
      </w:tr>
      <w:tr>
        <w:trPr>
          <w:trHeight w:val="250"/>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1,567</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2,818</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4,385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3,606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156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3,762</w:t>
            </w:r>
          </w:p>
        </w:tc>
      </w:tr>
      <w:tr>
        <w:trPr>
          <w:trHeight w:val="250"/>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9,858</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5,302</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15,160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12,390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4,942</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17,332</w:t>
            </w:r>
          </w:p>
        </w:tc>
      </w:tr>
      <w:tr>
        <w:trPr>
          <w:trHeight w:val="237"/>
        </w:trPr>
        <w:tc>
          <w:tcPr>
            <w:tcW w:w="520" w:type="dxa"/>
            <w:vAlign w:val="bottom"/>
          </w:tcPr>
          <w:p>
            <w:pPr>
              <w:jc w:val="right"/>
              <w:ind w:right="215"/>
              <w:spacing w:after="0"/>
              <w:rPr>
                <w:sz w:val="20"/>
                <w:szCs w:val="20"/>
                <w:color w:val="auto"/>
              </w:rPr>
            </w:pPr>
            <w:r>
              <w:rPr>
                <w:rFonts w:ascii="Arial" w:cs="Arial" w:eastAsia="Arial" w:hAnsi="Arial"/>
                <w:sz w:val="9"/>
                <w:szCs w:val="9"/>
                <w:color w:val="auto"/>
                <w:w w:val="87"/>
              </w:rPr>
              <w:t>11,425</w:t>
            </w: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8,120</w:t>
            </w:r>
          </w:p>
        </w:tc>
        <w:tc>
          <w:tcPr>
            <w:tcW w:w="120" w:type="dxa"/>
            <w:vAlign w:val="bottom"/>
          </w:tcPr>
          <w:p>
            <w:pPr>
              <w:spacing w:after="0"/>
              <w:rPr>
                <w:sz w:val="20"/>
                <w:szCs w:val="20"/>
                <w:color w:val="auto"/>
              </w:rPr>
            </w:pPr>
          </w:p>
        </w:tc>
        <w:tc>
          <w:tcPr>
            <w:tcW w:w="560" w:type="dxa"/>
            <w:vAlign w:val="bottom"/>
          </w:tcPr>
          <w:p>
            <w:pPr>
              <w:jc w:val="right"/>
              <w:ind w:right="435"/>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19,545</w:t>
            </w:r>
          </w:p>
        </w:tc>
        <w:tc>
          <w:tcPr>
            <w:tcW w:w="100" w:type="dxa"/>
            <w:vAlign w:val="bottom"/>
          </w:tcPr>
          <w:p>
            <w:pPr>
              <w:spacing w:after="0"/>
              <w:rPr>
                <w:sz w:val="20"/>
                <w:szCs w:val="20"/>
                <w:color w:val="auto"/>
              </w:rPr>
            </w:pPr>
          </w:p>
        </w:tc>
        <w:tc>
          <w:tcPr>
            <w:tcW w:w="300" w:type="dxa"/>
            <w:vAlign w:val="bottom"/>
          </w:tcPr>
          <w:p>
            <w:pPr>
              <w:jc w:val="right"/>
              <w:ind w:right="175"/>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15,996</w:t>
            </w:r>
          </w:p>
        </w:tc>
        <w:tc>
          <w:tcPr>
            <w:tcW w:w="100" w:type="dxa"/>
            <w:vAlign w:val="bottom"/>
          </w:tcPr>
          <w:p>
            <w:pPr>
              <w:spacing w:after="0"/>
              <w:rPr>
                <w:sz w:val="20"/>
                <w:szCs w:val="20"/>
                <w:color w:val="auto"/>
              </w:rPr>
            </w:pPr>
          </w:p>
        </w:tc>
        <w:tc>
          <w:tcPr>
            <w:tcW w:w="18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5,098</w:t>
            </w:r>
          </w:p>
        </w:tc>
        <w:tc>
          <w:tcPr>
            <w:tcW w:w="100" w:type="dxa"/>
            <w:vAlign w:val="bottom"/>
          </w:tcPr>
          <w:p>
            <w:pPr>
              <w:spacing w:after="0"/>
              <w:rPr>
                <w:sz w:val="20"/>
                <w:szCs w:val="20"/>
                <w:color w:val="auto"/>
              </w:rPr>
            </w:pP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21,094</w:t>
            </w:r>
          </w:p>
        </w:tc>
      </w:tr>
      <w:tr>
        <w:trPr>
          <w:trHeight w:val="20"/>
        </w:trPr>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20" w:type="dxa"/>
            <w:vAlign w:val="bottom"/>
          </w:tcPr>
          <w:p>
            <w:pPr>
              <w:jc w:val="right"/>
              <w:ind w:right="215"/>
              <w:spacing w:after="0"/>
              <w:rPr>
                <w:sz w:val="20"/>
                <w:szCs w:val="20"/>
                <w:color w:val="auto"/>
              </w:rPr>
            </w:pPr>
            <w:r>
              <w:rPr>
                <w:rFonts w:ascii="Arial" w:cs="Arial" w:eastAsia="Arial" w:hAnsi="Arial"/>
                <w:sz w:val="9"/>
                <w:szCs w:val="9"/>
                <w:color w:val="auto"/>
                <w:w w:val="87"/>
              </w:rPr>
              <w:t>11,423</w:t>
            </w: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7,497</w:t>
            </w:r>
          </w:p>
        </w:tc>
        <w:tc>
          <w:tcPr>
            <w:tcW w:w="120" w:type="dxa"/>
            <w:vAlign w:val="bottom"/>
          </w:tcPr>
          <w:p>
            <w:pPr>
              <w:spacing w:after="0"/>
              <w:rPr>
                <w:sz w:val="18"/>
                <w:szCs w:val="18"/>
                <w:color w:val="auto"/>
              </w:rPr>
            </w:pPr>
          </w:p>
        </w:tc>
        <w:tc>
          <w:tcPr>
            <w:tcW w:w="560" w:type="dxa"/>
            <w:vAlign w:val="bottom"/>
          </w:tcPr>
          <w:p>
            <w:pPr>
              <w:jc w:val="right"/>
              <w:ind w:right="435"/>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18,920</w:t>
            </w:r>
          </w:p>
        </w:tc>
        <w:tc>
          <w:tcPr>
            <w:tcW w:w="100" w:type="dxa"/>
            <w:vAlign w:val="bottom"/>
          </w:tcPr>
          <w:p>
            <w:pPr>
              <w:spacing w:after="0"/>
              <w:rPr>
                <w:sz w:val="18"/>
                <w:szCs w:val="18"/>
                <w:color w:val="auto"/>
              </w:rPr>
            </w:pPr>
          </w:p>
        </w:tc>
        <w:tc>
          <w:tcPr>
            <w:tcW w:w="300" w:type="dxa"/>
            <w:vAlign w:val="bottom"/>
          </w:tcPr>
          <w:p>
            <w:pPr>
              <w:jc w:val="right"/>
              <w:ind w:right="175"/>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15,994</w:t>
            </w:r>
          </w:p>
        </w:tc>
        <w:tc>
          <w:tcPr>
            <w:tcW w:w="100" w:type="dxa"/>
            <w:vAlign w:val="bottom"/>
          </w:tcPr>
          <w:p>
            <w:pPr>
              <w:spacing w:after="0"/>
              <w:rPr>
                <w:sz w:val="18"/>
                <w:szCs w:val="18"/>
                <w:color w:val="auto"/>
              </w:rPr>
            </w:pPr>
          </w:p>
        </w:tc>
        <w:tc>
          <w:tcPr>
            <w:tcW w:w="18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4,371</w:t>
            </w:r>
          </w:p>
        </w:tc>
        <w:tc>
          <w:tcPr>
            <w:tcW w:w="100" w:type="dxa"/>
            <w:vAlign w:val="bottom"/>
          </w:tcPr>
          <w:p>
            <w:pPr>
              <w:spacing w:after="0"/>
              <w:rPr>
                <w:sz w:val="18"/>
                <w:szCs w:val="18"/>
                <w:color w:val="auto"/>
              </w:rPr>
            </w:pP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20,365</w:t>
            </w:r>
          </w:p>
        </w:tc>
      </w:tr>
      <w:tr>
        <w:trPr>
          <w:trHeight w:val="270"/>
        </w:trPr>
        <w:tc>
          <w:tcPr>
            <w:tcW w:w="52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623</w:t>
            </w:r>
          </w:p>
        </w:tc>
        <w:tc>
          <w:tcPr>
            <w:tcW w:w="120" w:type="dxa"/>
            <w:vAlign w:val="bottom"/>
          </w:tcPr>
          <w:p>
            <w:pPr>
              <w:spacing w:after="0"/>
              <w:rPr>
                <w:sz w:val="23"/>
                <w:szCs w:val="23"/>
                <w:color w:val="auto"/>
              </w:rPr>
            </w:pPr>
          </w:p>
        </w:tc>
        <w:tc>
          <w:tcPr>
            <w:tcW w:w="560" w:type="dxa"/>
            <w:vAlign w:val="bottom"/>
          </w:tcPr>
          <w:p>
            <w:pPr>
              <w:jc w:val="right"/>
              <w:ind w:right="435"/>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625</w:t>
            </w:r>
          </w:p>
        </w:tc>
        <w:tc>
          <w:tcPr>
            <w:tcW w:w="100" w:type="dxa"/>
            <w:vAlign w:val="bottom"/>
          </w:tcPr>
          <w:p>
            <w:pPr>
              <w:spacing w:after="0"/>
              <w:rPr>
                <w:sz w:val="23"/>
                <w:szCs w:val="23"/>
                <w:color w:val="auto"/>
              </w:rPr>
            </w:pPr>
          </w:p>
        </w:tc>
        <w:tc>
          <w:tcPr>
            <w:tcW w:w="300" w:type="dxa"/>
            <w:vAlign w:val="bottom"/>
          </w:tcPr>
          <w:p>
            <w:pPr>
              <w:jc w:val="right"/>
              <w:ind w:right="175"/>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2</w:t>
            </w:r>
          </w:p>
        </w:tc>
        <w:tc>
          <w:tcPr>
            <w:tcW w:w="100" w:type="dxa"/>
            <w:vAlign w:val="bottom"/>
          </w:tcPr>
          <w:p>
            <w:pPr>
              <w:spacing w:after="0"/>
              <w:rPr>
                <w:sz w:val="23"/>
                <w:szCs w:val="23"/>
                <w:color w:val="auto"/>
              </w:rPr>
            </w:pPr>
          </w:p>
        </w:tc>
        <w:tc>
          <w:tcPr>
            <w:tcW w:w="18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727</w:t>
            </w:r>
          </w:p>
        </w:tc>
        <w:tc>
          <w:tcPr>
            <w:tcW w:w="100" w:type="dxa"/>
            <w:vAlign w:val="bottom"/>
          </w:tcPr>
          <w:p>
            <w:pPr>
              <w:spacing w:after="0"/>
              <w:rPr>
                <w:sz w:val="23"/>
                <w:szCs w:val="23"/>
                <w:color w:val="auto"/>
              </w:rPr>
            </w:pP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72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-2606040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-2262505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-1919605</wp:posOffset>
            </wp:positionV>
            <wp:extent cx="7246620" cy="1929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060" w:space="460"/>
            <w:col w:w="7900"/>
          </w:cols>
          <w:pgMar w:left="240" w:top="576" w:right="239" w:bottom="1440" w:gutter="0" w:footer="0" w:header="0"/>
          <w:type w:val="continuous"/>
        </w:sectPr>
      </w:pPr>
    </w:p>
    <w:p>
      <w:pPr>
        <w:ind w:left="340" w:hanging="332"/>
        <w:spacing w:after="0" w:line="230"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Reclassifications of $1,685 million and $476 million in the six months ended June 30, 2017 and 2016 for purchases/collections of wholesale finance receivables resulting from vehicles sold by GM to dealers that have arranged their inventory floor plan financing through GM Financial.</w:t>
      </w: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Amounts loaned from GM Financial to Automotive for commercial loans to dealers we consolidate.</w:t>
      </w:r>
    </w:p>
    <w:p>
      <w:pPr>
        <w:sectPr>
          <w:pgSz w:w="11900" w:h="16838" w:orient="portrait"/>
          <w:cols w:equalWidth="0" w:num="1">
            <w:col w:w="11420"/>
          </w:cols>
          <w:pgMar w:left="240" w:top="576" w:right="239" w:bottom="144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2019-12-07T11:13:47Z</dcterms:created>
  <dcterms:modified xsi:type="dcterms:W3CDTF">2019-12-07T11:13:47Z</dcterms:modified>
</cp:coreProperties>
</file>