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9"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(Exact Name of Company as Specified in its Charter)</w:t>
      </w:r>
    </w:p>
    <w:p>
      <w:pPr>
        <w:sectPr>
          <w:pgSz w:w="11900" w:h="16838" w:orient="portrait"/>
          <w:cols w:equalWidth="0" w:num="1">
            <w:col w:w="10740"/>
          </w:cols>
          <w:pgMar w:left="240" w:top="416" w:right="919" w:bottom="1440" w:gutter="0" w:footer="0" w:header="0"/>
        </w:sectPr>
      </w:pPr>
    </w:p>
    <w:p>
      <w:pPr>
        <w:spacing w:after="0" w:line="173"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26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27-03832222</w:t>
      </w:r>
    </w:p>
    <w:p>
      <w:pPr>
        <w:spacing w:after="0" w:line="37" w:lineRule="exact"/>
        <w:rPr>
          <w:sz w:val="24"/>
          <w:szCs w:val="24"/>
          <w:color w:val="auto"/>
        </w:rPr>
      </w:pPr>
    </w:p>
    <w:p>
      <w:pPr>
        <w:sectPr>
          <w:pgSz w:w="11900" w:h="16838" w:orient="portrait"/>
          <w:cols w:equalWidth="0" w:num="3">
            <w:col w:w="4520" w:space="720"/>
            <w:col w:w="3620" w:space="720"/>
            <w:col w:w="1160"/>
          </w:cols>
          <w:pgMar w:left="240" w:top="416" w:right="919" w:bottom="1440" w:gutter="0" w:footer="0" w:header="0"/>
          <w:type w:val="continuous"/>
        </w:sectPr>
      </w:pPr>
    </w:p>
    <w:p>
      <w:pPr>
        <w:spacing w:after="0" w:line="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240" w:space="720"/>
            <w:col w:w="3840" w:space="720"/>
            <w:col w:w="1220"/>
          </w:cols>
          <w:pgMar w:left="240" w:top="416" w:right="91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7440" w:space="720"/>
            <w:col w:w="2580"/>
          </w:cols>
          <w:pgMar w:left="240" w:top="416" w:right="91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540" w:space="720"/>
            <w:col w:w="2480"/>
          </w:cols>
          <w:pgMar w:left="240" w:top="416" w:right="919" w:bottom="1440" w:gutter="0" w:footer="0" w:header="0"/>
          <w:type w:val="continuous"/>
        </w:sect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(313) 556-5000</w:t>
      </w:r>
    </w:p>
    <w:p>
      <w:pPr>
        <w:spacing w:after="0" w:line="2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(Company’s telephone number, including area code)</w:t>
      </w:r>
    </w:p>
    <w:p>
      <w:pPr>
        <w:spacing w:after="0" w:line="13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416" w:right="91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6"/>
          <w:szCs w:val="16"/>
          <w:b w:val="1"/>
          <w:bCs w:val="1"/>
          <w:color w:val="auto"/>
        </w:rPr>
        <w:t>Termination of a Material Agreement.</w:t>
      </w:r>
    </w:p>
    <w:p>
      <w:pPr>
        <w:spacing w:after="0" w:line="92" w:lineRule="exact"/>
        <w:rPr>
          <w:sz w:val="20"/>
          <w:szCs w:val="20"/>
          <w:color w:val="auto"/>
        </w:rPr>
      </w:pPr>
    </w:p>
    <w:p>
      <w:pPr>
        <w:ind w:right="340" w:firstLine="456"/>
        <w:spacing w:after="0" w:line="256" w:lineRule="auto"/>
        <w:rPr>
          <w:sz w:val="20"/>
          <w:szCs w:val="20"/>
          <w:color w:val="auto"/>
        </w:rPr>
      </w:pPr>
      <w:r>
        <w:rPr>
          <w:rFonts w:ascii="Times New Roman" w:cs="Times New Roman" w:eastAsia="Times New Roman" w:hAnsi="Times New Roman"/>
          <w:sz w:val="18"/>
          <w:szCs w:val="18"/>
          <w:color w:val="auto"/>
        </w:rPr>
        <w:t>On June 1, 2009 in connection with the bankruptcy of Delphi Corporation (“Delphi”), General Motors Corporation (currently Motors Liquidation Company referred to herein as “MLC”), which sold substantially all of its assets to General Motors Company (“GM”) on July 10, 2009, entered into a Master Disposition Agreement (“MDA”) that provided that it would acquire Delphi’s global steering business and its facilities in Kokomo, Indiana, Rochester, New York, Lockport, New York, and Grand Rapids, Michigan and form a company with Parnassus Holdings II, LLC (an affiliate of Platinum Equity) to acquire substantially all of Delphi’s remaining assets (the “Assets”). On August 10, 2009, the MDA was terminated.</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previously disclosed in MLC’s Form 8-K filed June 5, 2009, MLC (solely with respect to certain provisions), Delphi, GM Components Holdings, LLC, Parnassus Holdings II, LLC, and the other sellers and other buyers that are parties thereto entered into the MDA. On June 16, 2009, the U.S. Bankruptcy Court for the Southern District of New York (the “Bankruptcy Court”) entered an order directing Delphi to conduct an auction process to allow bids from other parties, including the lenders of Delphi’s debtor-in-possession (“DIP”) financing (“DIP Lenders”) to purchase the Assets. On July 26, 2009, a new Master Disposition Agreement (the “New MDA”) relating to the Assets was entered into with the DIP Lenders on similar terms and conditions as the MDA. The New MDA, among Delphi, GM Components Holdings, LLC, GM (solely with respect to certain provisions), DIP Holdco 3, LLC, and the other sellers and other buyers was previously disclosed in GM’s Form 8-K filed July 30, 2009. The Bankruptcy Court entered an order approving the transaction with the DIP Lenders on July 30, 2009.</w:t>
      </w:r>
    </w:p>
    <w:p>
      <w:pPr>
        <w:spacing w:after="0" w:line="138"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Certain of the parties to the MDA and the New MDA entered into a letter agreement on July 31, 2009 that provided that the MDA would automatically terminate ten days after the entry of the Bankruptcy Court order approving the new MDA so long as that order was not stayed. Since no stay was granted during the ten days after the order, the MDA terminated automatically on August 10, 2009.</w:t>
      </w:r>
    </w:p>
    <w:p>
      <w:pPr>
        <w:sectPr>
          <w:pgSz w:w="11900" w:h="16838" w:orient="portrait"/>
          <w:cols w:equalWidth="0" w:num="1">
            <w:col w:w="11420"/>
          </w:cols>
          <w:pgMar w:left="240" w:top="27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228"/>
        </w:trPr>
        <w:tc>
          <w:tcPr>
            <w:tcW w:w="3760" w:type="dxa"/>
            <w:vAlign w:val="bottom"/>
          </w:tcPr>
          <w:p>
            <w:pPr>
              <w:spacing w:after="0"/>
              <w:rPr>
                <w:sz w:val="19"/>
                <w:szCs w:val="19"/>
                <w:color w:val="auto"/>
              </w:rPr>
            </w:pPr>
          </w:p>
        </w:tc>
        <w:tc>
          <w:tcPr>
            <w:tcW w:w="76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(Company)</w:t>
            </w:r>
          </w:p>
        </w:tc>
      </w:tr>
      <w:tr>
        <w:trPr>
          <w:trHeight w:val="44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2009</w:t>
            </w: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NICK S. CYPRUS</w:t>
            </w:r>
          </w:p>
        </w:tc>
      </w:tr>
      <w:tr>
        <w:trPr>
          <w:trHeight w:val="196"/>
        </w:trPr>
        <w:tc>
          <w:tcPr>
            <w:tcW w:w="3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4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(Nick S. Cyprus</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Controller and Chief Accounting</w:t>
            </w:r>
          </w:p>
        </w:tc>
      </w:tr>
      <w:tr>
        <w:trPr>
          <w:trHeight w:val="228"/>
        </w:trPr>
        <w:tc>
          <w:tcPr>
            <w:tcW w:w="3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2019-12-15T16:11:31Z</dcterms:created>
  <dcterms:modified xsi:type="dcterms:W3CDTF">2019-12-15T16:11:31Z</dcterms:modified>
</cp:coreProperties>
</file>