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-744855</wp:posOffset>
            </wp:positionV>
            <wp:extent cx="6732905" cy="5345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534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100" w:space="460"/>
            <w:col w:w="8000"/>
          </w:cols>
          <w:pgMar w:left="660" w:top="556" w:right="680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Jacobson Paul A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300 RENAISSANCE CENTER M/C: 482-C24-A68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48265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02/06/2024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Executive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Rule 10b5-1(c) Transaction Indication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00" w:right="22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980" w:space="720"/>
            <w:col w:w="6860"/>
          </w:cols>
          <w:pgMar w:left="660" w:top="556" w:right="680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61,136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02/06/2024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61,136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61,136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1">
            <w:col w:w="10560"/>
          </w:cols>
          <w:pgMar w:left="660" w:top="556" w:right="68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Restricted Stock Units ("RSUs") are awarded pursuant to the Company's 2020 Long-Term Incentive Plan.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Of these RSUs, one-third will vest on February 6, 2025, one-third will vest on February 6, 2026, and one-third will vest on February 6, 2027.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RSUs do not have a date on which they will expire. They will be fully settled on February 6, 2027.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/s/ Tia Y. Turk,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5080</wp:posOffset>
            </wp:positionV>
            <wp:extent cx="125793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Mr. Jacobson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-20320</wp:posOffset>
            </wp:positionV>
            <wp:extent cx="67056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02/08/2024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5080</wp:posOffset>
            </wp:positionV>
            <wp:extent cx="44958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8340" w:space="120"/>
            <w:col w:w="2100"/>
          </w:cols>
          <w:pgMar w:left="660" w:top="556" w:right="68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543655" TargetMode="External"/><Relationship Id="rId11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2024-02-08T19:20:40Z</dcterms:created>
  <dcterms:modified xsi:type="dcterms:W3CDTF">2024-02-08T19:20:40Z</dcterms:modified>
</cp:coreProperties>
</file>