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69780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SPECIALIZED DISCLOSURE REPORT</w:t>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6980" w:type="dxa"/>
            <w:vAlign w:val="bottom"/>
            <w:tcBorders>
              <w:bottom w:val="single" w:sz="8" w:color="auto"/>
            </w:tcBorders>
          </w:tcPr>
          <w:p>
            <w:pPr>
              <w:jc w:val="center"/>
              <w:ind w:left="412"/>
              <w:spacing w:after="0"/>
              <w:rPr>
                <w:sz w:val="20"/>
                <w:szCs w:val="20"/>
                <w:color w:val="auto"/>
              </w:rPr>
            </w:pPr>
            <w:r>
              <w:rPr>
                <w:rFonts w:ascii="Arial" w:cs="Arial" w:eastAsia="Arial" w:hAnsi="Arial"/>
                <w:sz w:val="22"/>
                <w:szCs w:val="22"/>
                <w:b w:val="1"/>
                <w:bCs w:val="1"/>
                <w:color w:val="auto"/>
                <w:w w:val="95"/>
              </w:rPr>
              <w:t>STATE OF DELAWARE</w:t>
            </w:r>
          </w:p>
        </w:tc>
        <w:tc>
          <w:tcPr>
            <w:tcW w:w="4260" w:type="dxa"/>
            <w:vAlign w:val="bottom"/>
            <w:tcBorders>
              <w:bottom w:val="single" w:sz="8" w:color="auto"/>
            </w:tcBorders>
          </w:tcPr>
          <w:p>
            <w:pPr>
              <w:jc w:val="right"/>
              <w:ind w:right="1292"/>
              <w:spacing w:after="0"/>
              <w:rPr>
                <w:sz w:val="20"/>
                <w:szCs w:val="20"/>
                <w:color w:val="auto"/>
              </w:rPr>
            </w:pPr>
            <w:r>
              <w:rPr>
                <w:rFonts w:ascii="Arial" w:cs="Arial" w:eastAsia="Arial" w:hAnsi="Arial"/>
                <w:sz w:val="22"/>
                <w:szCs w:val="22"/>
                <w:b w:val="1"/>
                <w:bCs w:val="1"/>
                <w:color w:val="auto"/>
              </w:rPr>
              <w:t>001-34960</w:t>
            </w:r>
          </w:p>
        </w:tc>
      </w:tr>
      <w:tr>
        <w:trPr>
          <w:trHeight w:val="270"/>
        </w:trPr>
        <w:tc>
          <w:tcPr>
            <w:tcW w:w="6980" w:type="dxa"/>
            <w:vAlign w:val="bottom"/>
          </w:tcPr>
          <w:p>
            <w:pPr>
              <w:jc w:val="center"/>
              <w:ind w:left="412"/>
              <w:spacing w:after="0"/>
              <w:rPr>
                <w:sz w:val="20"/>
                <w:szCs w:val="20"/>
                <w:color w:val="auto"/>
              </w:rPr>
            </w:pPr>
            <w:r>
              <w:rPr>
                <w:rFonts w:ascii="Arial" w:cs="Arial" w:eastAsia="Arial" w:hAnsi="Arial"/>
                <w:sz w:val="22"/>
                <w:szCs w:val="22"/>
                <w:i w:val="1"/>
                <w:iCs w:val="1"/>
                <w:color w:val="auto"/>
                <w:w w:val="92"/>
              </w:rPr>
              <w:t>(State or other jurisdiction of incorporation)</w:t>
            </w:r>
          </w:p>
        </w:tc>
        <w:tc>
          <w:tcPr>
            <w:tcW w:w="4260" w:type="dxa"/>
            <w:vAlign w:val="bottom"/>
          </w:tcPr>
          <w:p>
            <w:pPr>
              <w:jc w:val="center"/>
              <w:ind w:left="412"/>
              <w:spacing w:after="0"/>
              <w:rPr>
                <w:sz w:val="20"/>
                <w:szCs w:val="20"/>
                <w:color w:val="auto"/>
              </w:rPr>
            </w:pPr>
            <w:r>
              <w:rPr>
                <w:rFonts w:ascii="Arial" w:cs="Arial" w:eastAsia="Arial" w:hAnsi="Arial"/>
                <w:sz w:val="22"/>
                <w:szCs w:val="22"/>
                <w:i w:val="1"/>
                <w:iCs w:val="1"/>
                <w:color w:val="auto"/>
                <w:w w:val="90"/>
              </w:rPr>
              <w:t>(Commission file number)</w:t>
            </w:r>
          </w:p>
        </w:tc>
      </w:tr>
      <w:tr>
        <w:trPr>
          <w:trHeight w:val="534"/>
        </w:trPr>
        <w:tc>
          <w:tcPr>
            <w:tcW w:w="6980" w:type="dxa"/>
            <w:vAlign w:val="bottom"/>
            <w:tcBorders>
              <w:bottom w:val="single" w:sz="8" w:color="auto"/>
            </w:tcBorders>
          </w:tcPr>
          <w:p>
            <w:pPr>
              <w:jc w:val="center"/>
              <w:ind w:left="412"/>
              <w:spacing w:after="0"/>
              <w:rPr>
                <w:sz w:val="20"/>
                <w:szCs w:val="20"/>
                <w:color w:val="auto"/>
              </w:rPr>
            </w:pPr>
            <w:r>
              <w:rPr>
                <w:rFonts w:ascii="Arial" w:cs="Arial" w:eastAsia="Arial" w:hAnsi="Arial"/>
                <w:sz w:val="22"/>
                <w:szCs w:val="22"/>
                <w:b w:val="1"/>
                <w:bCs w:val="1"/>
                <w:color w:val="auto"/>
                <w:w w:val="88"/>
              </w:rPr>
              <w:t>300 Renaissance Center, Detroit, Michigan</w:t>
            </w:r>
          </w:p>
        </w:tc>
        <w:tc>
          <w:tcPr>
            <w:tcW w:w="4260" w:type="dxa"/>
            <w:vAlign w:val="bottom"/>
            <w:tcBorders>
              <w:bottom w:val="single" w:sz="8" w:color="auto"/>
            </w:tcBorders>
          </w:tcPr>
          <w:p>
            <w:pPr>
              <w:jc w:val="right"/>
              <w:ind w:right="1252"/>
              <w:spacing w:after="0"/>
              <w:rPr>
                <w:sz w:val="20"/>
                <w:szCs w:val="20"/>
                <w:color w:val="auto"/>
              </w:rPr>
            </w:pPr>
            <w:r>
              <w:rPr>
                <w:rFonts w:ascii="Arial" w:cs="Arial" w:eastAsia="Arial" w:hAnsi="Arial"/>
                <w:sz w:val="22"/>
                <w:szCs w:val="22"/>
                <w:b w:val="1"/>
                <w:bCs w:val="1"/>
                <w:color w:val="auto"/>
              </w:rPr>
              <w:t>48265-3000</w:t>
            </w:r>
          </w:p>
        </w:tc>
      </w:tr>
      <w:tr>
        <w:trPr>
          <w:trHeight w:val="270"/>
        </w:trPr>
        <w:tc>
          <w:tcPr>
            <w:tcW w:w="6980" w:type="dxa"/>
            <w:vAlign w:val="bottom"/>
          </w:tcPr>
          <w:p>
            <w:pPr>
              <w:jc w:val="center"/>
              <w:ind w:left="412"/>
              <w:spacing w:after="0"/>
              <w:rPr>
                <w:sz w:val="20"/>
                <w:szCs w:val="20"/>
                <w:color w:val="auto"/>
              </w:rPr>
            </w:pPr>
            <w:r>
              <w:rPr>
                <w:rFonts w:ascii="Arial" w:cs="Arial" w:eastAsia="Arial" w:hAnsi="Arial"/>
                <w:sz w:val="22"/>
                <w:szCs w:val="22"/>
                <w:i w:val="1"/>
                <w:iCs w:val="1"/>
                <w:color w:val="auto"/>
                <w:w w:val="89"/>
              </w:rPr>
              <w:t>(Address of principal executive offices)</w:t>
            </w:r>
          </w:p>
        </w:tc>
        <w:tc>
          <w:tcPr>
            <w:tcW w:w="4260" w:type="dxa"/>
            <w:vAlign w:val="bottom"/>
          </w:tcPr>
          <w:p>
            <w:pPr>
              <w:jc w:val="center"/>
              <w:ind w:left="412"/>
              <w:spacing w:after="0"/>
              <w:rPr>
                <w:sz w:val="20"/>
                <w:szCs w:val="20"/>
                <w:color w:val="auto"/>
              </w:rPr>
            </w:pPr>
            <w:r>
              <w:rPr>
                <w:rFonts w:ascii="Arial" w:cs="Arial" w:eastAsia="Arial" w:hAnsi="Arial"/>
                <w:sz w:val="22"/>
                <w:szCs w:val="22"/>
                <w:i w:val="1"/>
                <w:iCs w:val="1"/>
                <w:color w:val="auto"/>
                <w:w w:val="90"/>
              </w:rPr>
              <w:t>(Zip code)</w:t>
            </w:r>
          </w:p>
        </w:tc>
      </w:tr>
    </w:tbl>
    <w:p>
      <w:pPr>
        <w:spacing w:after="0" w:line="26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Doug L. Parks - Executive Vice President, Global Product Development, Purchasing and Supply Chain (313) 556-5000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(Name and telephone number, including area code, of the person to contact in connection with this report.)</w:t>
      </w:r>
    </w:p>
    <w:p>
      <w:pPr>
        <w:spacing w:after="0" w:line="382"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indicate the rule pursuant to which this form is being filed:</w:t>
      </w:r>
    </w:p>
    <w:p>
      <w:pPr>
        <w:spacing w:after="0" w:line="152" w:lineRule="exact"/>
        <w:rPr>
          <w:sz w:val="24"/>
          <w:szCs w:val="24"/>
          <w:color w:val="auto"/>
        </w:rPr>
      </w:pPr>
    </w:p>
    <w:p>
      <w:pPr>
        <w:ind w:left="500" w:right="1060" w:hanging="6"/>
        <w:spacing w:after="0" w:line="232" w:lineRule="auto"/>
        <w:tabs>
          <w:tab w:leader="none" w:pos="712"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Rule 13p-1 under the Securities Exchange Act (17 CFR 240.13p-1) for the reporting period from January 1 to December 31, 2022.</w:t>
      </w:r>
    </w:p>
    <w:p>
      <w:pPr>
        <w:spacing w:after="0" w:line="172" w:lineRule="exact"/>
        <w:rPr>
          <w:sz w:val="24"/>
          <w:szCs w:val="24"/>
          <w:color w:val="auto"/>
        </w:rPr>
      </w:pPr>
    </w:p>
    <w:p>
      <w:pPr>
        <w:ind w:left="700" w:hanging="206"/>
        <w:spacing w:after="0"/>
        <w:tabs>
          <w:tab w:leader="none" w:pos="700" w:val="left"/>
        </w:tabs>
        <w:numPr>
          <w:ilvl w:val="0"/>
          <w:numId w:val="2"/>
        </w:numPr>
        <w:rPr>
          <w:rFonts w:ascii="MS PGothic" w:cs="MS PGothic" w:eastAsia="MS PGothic" w:hAnsi="MS PGothic"/>
          <w:sz w:val="18"/>
          <w:szCs w:val="18"/>
          <w:color w:val="auto"/>
          <w:shd w:val="clear" w:color="auto" w:fill="363940"/>
        </w:rPr>
      </w:pPr>
      <w:r>
        <w:rPr>
          <w:rFonts w:ascii="Arial" w:cs="Arial" w:eastAsia="Arial" w:hAnsi="Arial"/>
          <w:sz w:val="22"/>
          <w:szCs w:val="22"/>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69780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000"/>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 Conflict Minerals Report is filed as Exhibit 1.01 and is also publicly available at the following Internet website: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https://investor.gm.com/sec-filings.</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Conflict Minerals Report required by Item 1.01 and 1.02 is filed as Exhibit 1.01 to this Form SD.</w:t>
      </w:r>
    </w:p>
    <w:p>
      <w:pPr>
        <w:spacing w:after="0" w:line="30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 * * * * * *</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Resource Extraction Issuer Disclosure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Resource Extraction Issuer Disclosure and Report</w:t>
      </w:r>
    </w:p>
    <w:p>
      <w:pPr>
        <w:spacing w:after="0" w:line="30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Not applicable</w:t>
      </w:r>
    </w:p>
    <w:p>
      <w:pPr>
        <w:spacing w:after="0" w:line="36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 * * * * * *</w:t>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 Exhibits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3.01 Exhibits</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Exhibit 1.01 – </w:t>
      </w:r>
      <w:r>
        <w:rPr>
          <w:rFonts w:ascii="Arial" w:cs="Arial" w:eastAsia="Arial" w:hAnsi="Arial"/>
          <w:sz w:val="22"/>
          <w:szCs w:val="22"/>
          <w:u w:val="single" w:color="auto"/>
          <w:color w:val="0000FF"/>
        </w:rPr>
        <w:t>Conflict Minerals Report</w:t>
      </w:r>
    </w:p>
    <w:p>
      <w:pPr>
        <w:spacing w:after="0" w:line="31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 * * * * * *</w:t>
      </w:r>
    </w:p>
    <w:p>
      <w:pPr>
        <w:sectPr>
          <w:pgSz w:w="11900" w:h="16838" w:orient="portrait"/>
          <w:cols w:equalWidth="0" w:num="1">
            <w:col w:w="10139"/>
          </w:cols>
          <w:pgMar w:left="320" w:top="94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374" w:lineRule="exact"/>
        <w:rPr>
          <w:sz w:val="20"/>
          <w:szCs w:val="20"/>
          <w:color w:val="auto"/>
        </w:rPr>
      </w:pPr>
    </w:p>
    <w:p>
      <w:pPr>
        <w:ind w:firstLine="162"/>
        <w:spacing w:after="0" w:line="379"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22"/>
          <w:szCs w:val="22"/>
          <w:u w:val="single" w:color="auto"/>
          <w:color w:val="auto"/>
        </w:rPr>
        <w:t>GENERAL MOTORS COMPANY</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22"/>
          <w:szCs w:val="22"/>
          <w:color w:val="auto"/>
        </w:rPr>
        <w:t>(Registrant)</w:t>
      </w:r>
    </w:p>
    <w:p>
      <w:pPr>
        <w:spacing w:after="0" w:line="269" w:lineRule="exact"/>
        <w:rPr>
          <w:sz w:val="20"/>
          <w:szCs w:val="20"/>
          <w:color w:val="auto"/>
        </w:rPr>
      </w:pPr>
    </w:p>
    <w:p>
      <w:pPr>
        <w:ind w:left="740"/>
        <w:spacing w:after="0"/>
        <w:tabs>
          <w:tab w:leader="none" w:pos="6140" w:val="left"/>
        </w:tabs>
        <w:rPr>
          <w:sz w:val="20"/>
          <w:szCs w:val="20"/>
          <w:color w:val="auto"/>
        </w:rPr>
      </w:pPr>
      <w:r>
        <w:rPr>
          <w:rFonts w:ascii="Arial" w:cs="Arial" w:eastAsia="Arial" w:hAnsi="Arial"/>
          <w:sz w:val="22"/>
          <w:szCs w:val="22"/>
          <w:color w:val="auto"/>
        </w:rPr>
        <w:t>/s/ Doug L. Parks</w:t>
      </w:r>
      <w:r>
        <w:rPr>
          <w:sz w:val="20"/>
          <w:szCs w:val="20"/>
          <w:color w:val="auto"/>
        </w:rPr>
        <w:tab/>
      </w:r>
      <w:r>
        <w:rPr>
          <w:rFonts w:ascii="Arial" w:cs="Arial" w:eastAsia="Arial" w:hAnsi="Arial"/>
          <w:sz w:val="19"/>
          <w:szCs w:val="19"/>
          <w:color w:val="auto"/>
        </w:rPr>
        <w:t>Date: May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15875</wp:posOffset>
            </wp:positionV>
            <wp:extent cx="3137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240"/>
        <w:spacing w:after="0"/>
        <w:tabs>
          <w:tab w:leader="none" w:pos="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Doug L. Parks, Executive Vice President, Global</w:t>
      </w:r>
    </w:p>
    <w:p>
      <w:pPr>
        <w:ind w:left="740"/>
        <w:spacing w:after="0"/>
        <w:rPr>
          <w:sz w:val="20"/>
          <w:szCs w:val="20"/>
          <w:color w:val="auto"/>
        </w:rPr>
      </w:pPr>
      <w:r>
        <w:rPr>
          <w:rFonts w:ascii="Arial" w:cs="Arial" w:eastAsia="Arial" w:hAnsi="Arial"/>
          <w:sz w:val="22"/>
          <w:szCs w:val="22"/>
          <w:color w:val="auto"/>
        </w:rPr>
        <w:t>Product Development, Purchasing and Supply Chain</w:t>
      </w:r>
    </w:p>
    <w:p>
      <w:pPr>
        <w:sectPr>
          <w:pgSz w:w="11900" w:h="16838" w:orient="portrait"/>
          <w:cols w:equalWidth="0" w:num="1">
            <w:col w:w="11240"/>
          </w:cols>
          <w:pgMar w:left="320" w:top="949"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1.01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Report</w:t>
      </w:r>
    </w:p>
    <w:p>
      <w:pPr>
        <w:spacing w:after="0" w:line="212"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This Conflict Minerals Report (CMR) of General Motors Company is for calendar year 2022 in accordance with Rule 13p-1 under the Securities Exchange Act of 1934, as amended (SEC Rule). The SEC Rule was adopted by the Securities and Exchange Commission (SEC) to implement reporting requirements related to conflict minerals as directed by the Dodd-Frank Wall Street Reform and Consumer Protection Act of 2010 (Dodd-Frank Act). The SEC Rule imposes certain reporting obligations on SEC registrants whose manufactured products contain conflict minerals that are necessary to the functionality or production of said products.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or an adjoining country (Covered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 this CMR, references to General Motors, GM, our, us, or we refer to General Motors Company.</w:t>
      </w:r>
    </w:p>
    <w:p>
      <w:pPr>
        <w:spacing w:after="0" w:line="268" w:lineRule="exact"/>
        <w:rPr>
          <w:sz w:val="20"/>
          <w:szCs w:val="20"/>
          <w:color w:val="auto"/>
        </w:rPr>
      </w:pPr>
    </w:p>
    <w:p>
      <w:pPr>
        <w:ind w:left="360" w:hanging="352"/>
        <w:spacing w:after="0"/>
        <w:tabs>
          <w:tab w:leader="none" w:pos="3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Company and Supply Chain Overview</w:t>
      </w:r>
    </w:p>
    <w:p>
      <w:pPr>
        <w:spacing w:after="0" w:line="293"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We, through our direct and indirect subsidiaries, design, build, and sell trucks, crossovers, cars, and automobile parts worldwide. Our supply chain is a complex global network of tiered suppliers that directly or indirectly supply raw materials, components, and services to our global facilities.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With respect to the 3TG in our products, generally there are multiple tiers of supplier manufacturers between the smelters or refiners (SORs) that process 3TG and the first-tier suppliers that deliver parts to us. We do not have a direct business relationship with any SORs of 3TG. We rely on the suppliers with whom we have direct contracts to provide information on the origin of, and the facilities used to process, the 3TG contained in the components and materials supplied to us.</w:t>
      </w:r>
    </w:p>
    <w:p>
      <w:pPr>
        <w:spacing w:after="0" w:line="233" w:lineRule="exact"/>
        <w:rPr>
          <w:sz w:val="20"/>
          <w:szCs w:val="20"/>
          <w:color w:val="auto"/>
        </w:rPr>
      </w:pPr>
    </w:p>
    <w:p>
      <w:pPr>
        <w:ind w:left="440" w:hanging="432"/>
        <w:spacing w:after="0"/>
        <w:tabs>
          <w:tab w:leader="none" w:pos="44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Reasonable Country of Origin Inquiry</w:t>
      </w:r>
    </w:p>
    <w:p>
      <w:pPr>
        <w:spacing w:after="0" w:line="212"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For our reasonable country of origin inquiry (RCOI), we rely on our tiered suppliers’ engagement as a critical piece in our RCOI process. We developed a targeted list of our first-tier suppliers of original equipment and aftermarket parts that we believe provide products that may contain 3TG which are necessary to the functionality or production of our product portfolio. We identified these suppliers based on information in the International Material Data System (IMDS) and from information previously provided by suppliers regarding conflict minerals. From that list, we incorporated only those suppliers who shipped part(s) to GM during the 2022 calendar year. In addition, we also surveyed employees whose function may provide relevant information regarding the source of potential 3TG within our supply chain.</w:t>
      </w:r>
    </w:p>
    <w:p>
      <w:pPr>
        <w:spacing w:after="0" w:line="191"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We then used the Conflict Minerals Reporting Template (CMRT), a standardized industry reporting template developed by the Responsible Minerals Initiative (RMI), to obtain information from these suppliers regarding the facilities used to process the necessary 3TG and the country of origin of such minerals. To obtain information for GM’s products, we requested that our direct suppliers cascade these CMRT reporting requirements down through their supply chains. Given the complex supply chain we have, some suppliers were only able to report at a company-wide level, and therefore, we cannot definitively determine if the identified SORs are actually in our supply chain.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For the 2022 calendar year, we received completed CMRTs from 90% of the 2,764 supplier locations that we believe supply components that contain 3TG to GM. The CMRT responses identified 343 total SORs. Of those, 22 SORs were identified to have sourced, or are sourcing from a Covered Country. All 22 SORs that have sourced or are sourcing from a covered country are identified by RMI to be conformant to the Responsible Minerals Assurance Process (RMAP) as of March 1, 2023.</w:t>
      </w:r>
    </w:p>
    <w:p>
      <w:pPr>
        <w:spacing w:after="0" w:line="17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 reasonable country of origin inquiry and due diligence process was performed on the source and chain of custody of 3TG contained in the components and material supplied to us. We have reason to believe that some of the 3TG in our products may have originated in a Covered Country and may not have all come from recycled</w:t>
      </w:r>
    </w:p>
    <w:p>
      <w:pPr>
        <w:sectPr>
          <w:pgSz w:w="11900" w:h="16838" w:orient="portrait"/>
          <w:cols w:equalWidth="0" w:num="1">
            <w:col w:w="11240"/>
          </w:cols>
          <w:pgMar w:left="320" w:top="747" w:right="339" w:bottom="1440" w:gutter="0" w:footer="0" w:header="0"/>
        </w:sectPr>
      </w:pPr>
    </w:p>
    <w:bookmarkStart w:id="4" w:name="page5"/>
    <w:bookmarkEnd w:id="4"/>
    <w:p>
      <w:pPr>
        <w:spacing w:after="0" w:line="232" w:lineRule="auto"/>
        <w:rPr>
          <w:sz w:val="20"/>
          <w:szCs w:val="20"/>
          <w:color w:val="auto"/>
        </w:rPr>
      </w:pPr>
      <w:r>
        <w:rPr>
          <w:rFonts w:ascii="Arial" w:cs="Arial" w:eastAsia="Arial" w:hAnsi="Arial"/>
          <w:sz w:val="22"/>
          <w:szCs w:val="22"/>
          <w:color w:val="auto"/>
        </w:rPr>
        <w:t>or scrap sources. Therefore, we undertook due diligence measures on the source and chain of custody related to the conflict minerals in our supply chain.</w:t>
      </w:r>
    </w:p>
    <w:p>
      <w:pPr>
        <w:spacing w:after="0" w:line="247" w:lineRule="exact"/>
        <w:rPr>
          <w:sz w:val="20"/>
          <w:szCs w:val="20"/>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Design of Due Diligence Process</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To obtain information regarding the source and chain of custody of 3TG, we conducted due diligence through our direct suppliers based on the OECD Due Diligence Guidance for Responsible Supply Chains of Minerals from Conflict-Affected and High-Risk Areas (OECD Guidance) published by the Organisation for Economic Co-operation and Development (OECD). The OECD Guidance provides an internationally recognized framework for conflict minerals due diligence.</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19"/>
          <w:szCs w:val="19"/>
          <w:b w:val="1"/>
          <w:bCs w:val="1"/>
          <w:color w:val="auto"/>
        </w:rPr>
        <w:t>Due Diligence Measures Performed</w:t>
      </w:r>
    </w:p>
    <w:p>
      <w:pPr>
        <w:spacing w:after="0" w:line="247" w:lineRule="exact"/>
        <w:rPr>
          <w:sz w:val="20"/>
          <w:szCs w:val="20"/>
          <w:color w:val="auto"/>
        </w:rPr>
      </w:pPr>
    </w:p>
    <w:p>
      <w:pPr>
        <w:ind w:left="720"/>
        <w:spacing w:after="0"/>
        <w:tabs>
          <w:tab w:leader="none" w:pos="1540" w:val="left"/>
        </w:tabs>
        <w:rPr>
          <w:sz w:val="20"/>
          <w:szCs w:val="20"/>
          <w:color w:val="auto"/>
        </w:rPr>
      </w:pPr>
      <w:r>
        <w:rPr>
          <w:rFonts w:ascii="Arial" w:cs="Arial" w:eastAsia="Arial" w:hAnsi="Arial"/>
          <w:sz w:val="22"/>
          <w:szCs w:val="22"/>
          <w:b w:val="1"/>
          <w:bCs w:val="1"/>
          <w:color w:val="auto"/>
        </w:rPr>
        <w:t>Step 1.</w:t>
      </w:r>
      <w:r>
        <w:rPr>
          <w:sz w:val="20"/>
          <w:szCs w:val="20"/>
          <w:color w:val="auto"/>
        </w:rPr>
        <w:tab/>
      </w:r>
      <w:r>
        <w:rPr>
          <w:rFonts w:ascii="Arial" w:cs="Arial" w:eastAsia="Arial" w:hAnsi="Arial"/>
          <w:sz w:val="19"/>
          <w:szCs w:val="19"/>
          <w:b w:val="1"/>
          <w:bCs w:val="1"/>
          <w:color w:val="auto"/>
        </w:rPr>
        <w:t>Establish Strong Company Management Systems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 Company Conflict Minerals Policy</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GM’s policies and practices, including its Conflict Minerals Policy, reflect our commitment to responsible sourcing strategies that mitigate negative social and environmental impacts. Through our Supplier Code of Conduct, we expect similar commitments and efforts from our suppliers to source responsibly within their supply chains, including sourcing 3TG. Our Conflict Minerals Policy can be found at https://www.gmsustainability.com/_pdf/policies/GM_Conflict_Minerals_Policy.pdf. We also communicate this policy to our suppliers through our supplier portal.</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 to Sourcing Responsibly</w:t>
      </w:r>
    </w:p>
    <w:p>
      <w:pPr>
        <w:spacing w:after="0" w:line="212"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General Motors is committed to upholding human rights across our network of suppliers that support our global operations. Part of that commitment is found in our Supplier Code of Conduct and our Human Rights Policy. GM understands that long-term success starts with a company’s value system and a principled approach to doing business. These documents clearly communicate how we define, approach, govern, and support universal human rights and the dignity of people throughout our operations, the communities in which we operate, and our global supply chain. GM is also a signatory to the UN Global Compact and a member of RMI.</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Internal Management Team</w:t>
      </w:r>
    </w:p>
    <w:p>
      <w:pPr>
        <w:spacing w:after="0" w:line="14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We have created a compliance group within our Global Purchasing and Supply Chain function that is responsible for, among other things, overseeing and enhancing our sustainability and compliance efforts, including conflict minerals, supplier awareness programs, trade restrictions, and similar efforts. By consolidating these efforts under the guidance of a single senior leader, we seek to implement our sustainability policies and achieve our goals.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Within this compliance-focused group, we have a team to lead our conflict minerals compliance program. To support this team, we organized a Conflict Minerals Compliance Committee, composed of representatives from the following functional areas: Global Purchasing and Supply Chain, Legal, Finance, Sustainability, SEC Reporting, and GM Audit Services. The Conflict Minerals Compliance Committee provides cross functional expertise for our conflict minerals compliance program. The Executive Steering Committee exercises oversight over the conflict minerals compliance program.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3. System of Supply Chain Controls and Transparency</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We rely on our first-tier suppliers to solicit information from the suppliers lower in our supply chain regarding the facilities that process the necessary 3TG, including the country of origin of such minerals, and to provide that information in their responses to our request for conflict minerals information. We review our first-tier suppliers’ responses for completeness and consistency and work with them to improve the accuracy of the information we receive, if necessary.</w:t>
      </w:r>
    </w:p>
    <w:p>
      <w:pPr>
        <w:sectPr>
          <w:pgSz w:w="11900" w:h="16838" w:orient="portrait"/>
          <w:cols w:equalWidth="0" w:num="1">
            <w:col w:w="11240"/>
          </w:cols>
          <w:pgMar w:left="320" w:top="753" w:right="339" w:bottom="1440" w:gutter="0" w:footer="0" w:header="0"/>
        </w:sectPr>
      </w:pPr>
    </w:p>
    <w:bookmarkStart w:id="5" w:name="page6"/>
    <w:bookmarkEnd w:id="5"/>
    <w:p>
      <w:pPr>
        <w:ind w:left="1220"/>
        <w:spacing w:after="0"/>
        <w:rPr>
          <w:sz w:val="20"/>
          <w:szCs w:val="20"/>
          <w:color w:val="auto"/>
        </w:rPr>
      </w:pPr>
      <w:r>
        <w:rPr>
          <w:rFonts w:ascii="Arial" w:cs="Arial" w:eastAsia="Arial" w:hAnsi="Arial"/>
          <w:sz w:val="22"/>
          <w:szCs w:val="22"/>
          <w:b w:val="1"/>
          <w:bCs w:val="1"/>
          <w:color w:val="auto"/>
        </w:rPr>
        <w:t>4. Supplier Engagement</w:t>
      </w:r>
    </w:p>
    <w:p>
      <w:pPr>
        <w:spacing w:after="0" w:line="212"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We engage with our suppliers to assist them in building their capabilities to improve their chain of custody declarations and increase the transparency of 3TG in our global supply chain. We communicate our conflict minerals reporting requirements to suppliers through various mechanisms, including teleconferences, emails, publications, and webinars. We have also established a direct email address (conflictminerals@gm.com) to provide our suppliers a streamlined path of communication relating to conflict minerals. We make conflict minerals reference documents available through our supplier portal. Some of the documents we have created and provide are frequently asked questions, CMRT completion instructions, webinar presentations, and leadership messages related to conflict minerals.</w:t>
      </w:r>
    </w:p>
    <w:p>
      <w:pPr>
        <w:spacing w:after="0" w:line="185"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auto"/>
        </w:rPr>
        <w:t>5. Grievance Mechanism</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We maintain procedures for reporting potential safety concerns, potential misconduct, and concerns about potential ethical violations, including concerns regarding conflict minerals. One of those methods is the “Awareline,” which allows employees, suppliers, and others to report concerns about us, our management, supervisors, employees, or agents. Reports can be made to the Awareline in over a dozen different languages 24 hours per day, 7 days per week by phone, Internet, or email. Individuals filing reports on the Awareline may remain anonymous as permitted by law. Information about the Awareline is found at: awareline.com.</w:t>
      </w:r>
    </w:p>
    <w:p>
      <w:pPr>
        <w:spacing w:after="0" w:line="180" w:lineRule="exact"/>
        <w:rPr>
          <w:sz w:val="20"/>
          <w:szCs w:val="20"/>
          <w:color w:val="auto"/>
        </w:rPr>
      </w:pPr>
    </w:p>
    <w:p>
      <w:pPr>
        <w:ind w:left="720"/>
        <w:spacing w:after="0"/>
        <w:tabs>
          <w:tab w:leader="none" w:pos="1600" w:val="left"/>
        </w:tabs>
        <w:rPr>
          <w:sz w:val="20"/>
          <w:szCs w:val="20"/>
          <w:color w:val="auto"/>
        </w:rPr>
      </w:pPr>
      <w:r>
        <w:rPr>
          <w:rFonts w:ascii="Arial" w:cs="Arial" w:eastAsia="Arial" w:hAnsi="Arial"/>
          <w:sz w:val="22"/>
          <w:szCs w:val="22"/>
          <w:b w:val="1"/>
          <w:bCs w:val="1"/>
          <w:color w:val="auto"/>
        </w:rPr>
        <w:t>Step 2.</w:t>
      </w:r>
      <w:r>
        <w:rPr>
          <w:sz w:val="20"/>
          <w:szCs w:val="20"/>
          <w:color w:val="auto"/>
        </w:rPr>
        <w:tab/>
      </w:r>
      <w:r>
        <w:rPr>
          <w:rFonts w:ascii="Arial" w:cs="Arial" w:eastAsia="Arial" w:hAnsi="Arial"/>
          <w:sz w:val="19"/>
          <w:szCs w:val="19"/>
          <w:b w:val="1"/>
          <w:bCs w:val="1"/>
          <w:color w:val="auto"/>
        </w:rPr>
        <w:t>Identify and Assess Risk in the Supply Chain</w:t>
      </w:r>
    </w:p>
    <w:p>
      <w:pPr>
        <w:spacing w:after="0" w:line="212"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We analyzed our suppliers’ CMRT responses for completeness and consistency. In addition to identifying all the SORs of 3TG in their supply chains, we required our suppliers to identify the country where the minerals were mined (the country of origin). Although we requested that our suppliers include this information in their responses, not all suppliers provided responses with country of origin information. We continue to educate our suppliers on the importance of determining the mine or location of origin with the greatest possible specificity.</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 xml:space="preserve">Through our membership in RMI (ID #GMOT), we obtained a list of SORs who are in conformance with the RMAP as well as some of their country of origin sourcing information as noted above. </w:t>
      </w:r>
      <w:r>
        <w:rPr>
          <w:rFonts w:ascii="Arial" w:cs="Arial" w:eastAsia="Arial" w:hAnsi="Arial"/>
          <w:sz w:val="19"/>
          <w:szCs w:val="19"/>
          <w:color w:val="auto"/>
          <w:highlight w:val="white"/>
        </w:rPr>
        <w:t>The RMAP uses an independent third-party assessment of</w:t>
      </w:r>
      <w:r>
        <w:rPr>
          <w:rFonts w:ascii="Arial" w:cs="Arial" w:eastAsia="Arial" w:hAnsi="Arial"/>
          <w:sz w:val="19"/>
          <w:szCs w:val="19"/>
          <w:color w:val="auto"/>
        </w:rPr>
        <w:t xml:space="preserve"> </w:t>
      </w:r>
      <w:r>
        <w:rPr>
          <w:rFonts w:ascii="Arial" w:cs="Arial" w:eastAsia="Arial" w:hAnsi="Arial"/>
          <w:sz w:val="19"/>
          <w:szCs w:val="19"/>
          <w:color w:val="auto"/>
          <w:highlight w:val="white"/>
        </w:rPr>
        <w:t>the management systems and sourcing practices of the SORs to validate conformance with the RMAP standards.</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We used the RMI smelter and refiner conformant list internally to analyze the SOR lists provided to us from our suppliers’ CMRT submissions. We also utilized RMI member resources to identify those high risk SORs that were listed in our suppliers’ CMRTs as sourcing from the Covered Countries and not listed as conformant to the RMAP.</w:t>
      </w:r>
    </w:p>
    <w:p>
      <w:pPr>
        <w:spacing w:after="0" w:line="186"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Our team provided individual smelter analysis to specific suppliers that identified SORs in their CMRTs that are not yet in the RMAP. This analysis also identified entities that did not meet the definition of an eligible SOR. By providing the smelter analyses to our suppliers, we are empowering our suppliers to inform their supply chains of the identity of non-RMAP-conformant SORs. We requested our suppliers to send letters encouraging SORs to join the RMAP. We also requested our suppliers improve the accuracy of their smelter lists by eliminating the SORs that are no longer in operation and removing those entities that did not meet the definition of eligible SORs.</w:t>
      </w:r>
    </w:p>
    <w:p>
      <w:pPr>
        <w:spacing w:after="0" w:line="180" w:lineRule="exact"/>
        <w:rPr>
          <w:sz w:val="20"/>
          <w:szCs w:val="20"/>
          <w:color w:val="auto"/>
        </w:rPr>
      </w:pPr>
    </w:p>
    <w:p>
      <w:pPr>
        <w:ind w:left="720"/>
        <w:spacing w:after="0"/>
        <w:tabs>
          <w:tab w:leader="none" w:pos="1540" w:val="left"/>
        </w:tabs>
        <w:rPr>
          <w:sz w:val="20"/>
          <w:szCs w:val="20"/>
          <w:color w:val="auto"/>
        </w:rPr>
      </w:pPr>
      <w:r>
        <w:rPr>
          <w:rFonts w:ascii="Arial" w:cs="Arial" w:eastAsia="Arial" w:hAnsi="Arial"/>
          <w:sz w:val="22"/>
          <w:szCs w:val="22"/>
          <w:b w:val="1"/>
          <w:bCs w:val="1"/>
          <w:color w:val="auto"/>
        </w:rPr>
        <w:t>Step 3.</w:t>
      </w:r>
      <w:r>
        <w:rPr>
          <w:sz w:val="20"/>
          <w:szCs w:val="20"/>
          <w:color w:val="auto"/>
        </w:rPr>
        <w:tab/>
      </w:r>
      <w:r>
        <w:rPr>
          <w:rFonts w:ascii="Arial" w:cs="Arial" w:eastAsia="Arial" w:hAnsi="Arial"/>
          <w:sz w:val="19"/>
          <w:szCs w:val="19"/>
          <w:b w:val="1"/>
          <w:bCs w:val="1"/>
          <w:color w:val="auto"/>
        </w:rPr>
        <w:t>Design and Implement a Strategy to Respond to Identified Risk</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As previously described, we review each supplier CMRT response to (i) provide feedback to our suppliers and (ii) identify risks in our supply chain related to the use of 3TG. Some key factors in our CMRT analysis were supplier sub-tier response rates, the percentage of non-conformant SORs listed in each supplier’s smelter list, IMDS inconsistency (i.e., when the supplier’s 3TG declaration does not match the IMDS records), and SOR sourcing information.</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We also have established a formal escalation process for resolving concerns regarding the use of 3TG in our supply chain. Specifically, when our conflict minerals team identifies defects, inconsistencies, or other problems in a supplier’s CMRT response (including a failure to respond), we first attempt to work directly with the supplier to resolve the issue. If our conflict minerals team does not receive an acceptable response from the supplier, the issue is escalated to the appropriate leadership and eventually to the Conflict Minerals Executive</w:t>
      </w:r>
    </w:p>
    <w:p>
      <w:pPr>
        <w:sectPr>
          <w:pgSz w:w="11900" w:h="16838" w:orient="portrait"/>
          <w:cols w:equalWidth="0" w:num="1">
            <w:col w:w="11240"/>
          </w:cols>
          <w:pgMar w:left="320" w:top="747"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Steering Committee. If necessary, we may preclude a supplier from receiving future business if the concern is not resolved.</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SOR outreach and certification process are also important risk mitigation components of our conflict minerals program. To increase the number of RMAP-conformant SORs, specifically during the 2022 reporting year, GM conducted outreach to 46 eligible 3TG SORs by sending letters to encourage them to join the RMAP. We also encourage our tier 1 suppliers to send outreach letters to the SORs in their smelter lists who are not determined to be RMAP conformant by RMI.</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results of our monitoring and outreach efforts are reported to the Conflict Minerals Executive Steering Committee at regular, periodic meetings and tracked against the prior year’s results.</w:t>
      </w:r>
    </w:p>
    <w:p>
      <w:pPr>
        <w:spacing w:after="0" w:line="180" w:lineRule="exact"/>
        <w:rPr>
          <w:sz w:val="20"/>
          <w:szCs w:val="20"/>
          <w:color w:val="auto"/>
        </w:rPr>
      </w:pPr>
    </w:p>
    <w:p>
      <w:pPr>
        <w:ind w:left="720"/>
        <w:spacing w:after="0"/>
        <w:tabs>
          <w:tab w:leader="none" w:pos="1600" w:val="left"/>
        </w:tabs>
        <w:rPr>
          <w:sz w:val="20"/>
          <w:szCs w:val="20"/>
          <w:color w:val="auto"/>
        </w:rPr>
      </w:pPr>
      <w:r>
        <w:rPr>
          <w:rFonts w:ascii="Arial" w:cs="Arial" w:eastAsia="Arial" w:hAnsi="Arial"/>
          <w:sz w:val="22"/>
          <w:szCs w:val="22"/>
          <w:b w:val="1"/>
          <w:bCs w:val="1"/>
          <w:color w:val="auto"/>
        </w:rPr>
        <w:t>Step 4.</w:t>
      </w:r>
      <w:r>
        <w:rPr>
          <w:sz w:val="20"/>
          <w:szCs w:val="20"/>
          <w:color w:val="auto"/>
        </w:rPr>
        <w:tab/>
      </w:r>
      <w:r>
        <w:rPr>
          <w:rFonts w:ascii="Arial" w:cs="Arial" w:eastAsia="Arial" w:hAnsi="Arial"/>
          <w:sz w:val="19"/>
          <w:szCs w:val="19"/>
          <w:b w:val="1"/>
          <w:bCs w:val="1"/>
          <w:color w:val="auto"/>
        </w:rPr>
        <w:t>Carry Out Independent Third-Party Audit of Supply Chain Due Diligence</w:t>
      </w:r>
    </w:p>
    <w:p>
      <w:pPr>
        <w:spacing w:after="0" w:line="212"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 xml:space="preserve">Since we do not source directly from SORs, we rely on information from industry involvement and information available through our membership in RMI. We actively support industry-wide initiatives to improve both reporting and knowledge regarding the SORs supplying 3TG for our products. One key initiative that we supported financially is RMI’s Audit Fund for RMAP participating SORs. </w:t>
      </w:r>
      <w:r>
        <w:rPr>
          <w:rFonts w:ascii="Arial" w:cs="Arial" w:eastAsia="Arial" w:hAnsi="Arial"/>
          <w:sz w:val="22"/>
          <w:szCs w:val="22"/>
          <w:color w:val="333333"/>
          <w:highlight w:val="white"/>
        </w:rPr>
        <w:t>The Audit Fund is designed to encourage RMAP-eligible SOR’s to undergo an independent third-party</w:t>
      </w:r>
      <w:r>
        <w:rPr>
          <w:rFonts w:ascii="Arial" w:cs="Arial" w:eastAsia="Arial" w:hAnsi="Arial"/>
          <w:sz w:val="22"/>
          <w:szCs w:val="22"/>
          <w:color w:val="auto"/>
        </w:rPr>
        <w:t xml:space="preserve"> </w:t>
      </w:r>
      <w:r>
        <w:rPr>
          <w:rFonts w:ascii="Arial" w:cs="Arial" w:eastAsia="Arial" w:hAnsi="Arial"/>
          <w:sz w:val="22"/>
          <w:szCs w:val="22"/>
          <w:color w:val="333333"/>
          <w:highlight w:val="white"/>
        </w:rPr>
        <w:t>responsible sourcing assessment.</w:t>
      </w:r>
    </w:p>
    <w:p>
      <w:pPr>
        <w:spacing w:after="0" w:line="179" w:lineRule="exact"/>
        <w:rPr>
          <w:sz w:val="20"/>
          <w:szCs w:val="20"/>
          <w:color w:val="auto"/>
        </w:rPr>
      </w:pPr>
    </w:p>
    <w:p>
      <w:pPr>
        <w:ind w:left="720"/>
        <w:spacing w:after="0"/>
        <w:tabs>
          <w:tab w:leader="none" w:pos="1540" w:val="left"/>
        </w:tabs>
        <w:rPr>
          <w:sz w:val="20"/>
          <w:szCs w:val="20"/>
          <w:color w:val="auto"/>
        </w:rPr>
      </w:pPr>
      <w:r>
        <w:rPr>
          <w:rFonts w:ascii="Arial" w:cs="Arial" w:eastAsia="Arial" w:hAnsi="Arial"/>
          <w:sz w:val="22"/>
          <w:szCs w:val="22"/>
          <w:b w:val="1"/>
          <w:bCs w:val="1"/>
          <w:color w:val="auto"/>
        </w:rPr>
        <w:t>Step 5.</w:t>
      </w:r>
      <w:r>
        <w:rPr>
          <w:sz w:val="20"/>
          <w:szCs w:val="20"/>
          <w:color w:val="auto"/>
        </w:rPr>
        <w:tab/>
      </w:r>
      <w:r>
        <w:rPr>
          <w:rFonts w:ascii="Arial" w:cs="Arial" w:eastAsia="Arial" w:hAnsi="Arial"/>
          <w:sz w:val="19"/>
          <w:szCs w:val="19"/>
          <w:b w:val="1"/>
          <w:bCs w:val="1"/>
          <w:color w:val="auto"/>
        </w:rPr>
        <w:t>Report on Supply Chain Due Diligence</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 file the Specialized Disclosure Form (Form SD), including the Conflict Minerals Report, annually with the SEC as directed by the Dodd-Frank Act. Our Form SD and CMR are available on our website at investor.gm.com/sec-filings.</w:t>
      </w:r>
    </w:p>
    <w:p>
      <w:pPr>
        <w:spacing w:after="0" w:line="172" w:lineRule="exact"/>
        <w:rPr>
          <w:sz w:val="20"/>
          <w:szCs w:val="20"/>
          <w:color w:val="auto"/>
        </w:rPr>
      </w:pPr>
    </w:p>
    <w:p>
      <w:pPr>
        <w:ind w:firstLine="8"/>
        <w:spacing w:after="0" w:line="235" w:lineRule="auto"/>
        <w:tabs>
          <w:tab w:leader="none" w:pos="526"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Steps We Have Taken or Will Take to Mitigate the Risk that Conflict Minerals in Our Products Benefit Armed Groups, Including Improving Due Diligence</w:t>
      </w:r>
    </w:p>
    <w:p>
      <w:pPr>
        <w:spacing w:after="0" w:line="186"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We are continuing to work with our suppliers to gather more information through the supply chain. Through emails, webinars, and our Conflict Minerals Policy, we are encouraging our suppliers to work with their supply chains to source responsibly, including utilizing conformant SORs.</w:t>
      </w:r>
    </w:p>
    <w:p>
      <w:pPr>
        <w:spacing w:after="0" w:line="186" w:lineRule="exact"/>
        <w:rPr>
          <w:sz w:val="20"/>
          <w:szCs w:val="20"/>
          <w:color w:val="auto"/>
        </w:rPr>
      </w:pPr>
    </w:p>
    <w:p>
      <w:pPr>
        <w:jc w:val="both"/>
        <w:spacing w:after="0" w:line="209" w:lineRule="auto"/>
        <w:rPr>
          <w:sz w:val="20"/>
          <w:szCs w:val="20"/>
          <w:color w:val="auto"/>
        </w:rPr>
      </w:pPr>
      <w:r>
        <w:rPr>
          <w:rFonts w:ascii="Arial" w:cs="Arial" w:eastAsia="Arial" w:hAnsi="Arial"/>
          <w:sz w:val="22"/>
          <w:szCs w:val="22"/>
          <w:color w:val="auto"/>
        </w:rPr>
        <w:t>We will continue to work with the Automotive Industry Action Group (AIAG) to further educate suppliers and utilize common methods to determine the origin of 3TG in our products. Through this group, we will continue to develop and participate in AIAG training and other 3TG initiatives. We also actively participate in the AIAG Smelter Engagement Team (SET) and the RMI SET to prioritize and conduct outreach and visits to SORs.</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As a member company of RMI, we are further developing a reliable SOR list by assisting RMI in identifying eligible SORs through our participation in RMI’s smelter/refiner disposition team. In addition, through our active participation in the RMI and AIAG SET, we are sending letters to SORs and holding virtual meetings with them to engage or continue their RMAP participation. We believe that increasing the participation of SORs in this program will not only expand the availability of conflict-free 3TG but will also enhance the ability of our supply base to reliably source 3TG from RMAP Conformant SORs.</w:t>
      </w:r>
    </w:p>
    <w:p>
      <w:pPr>
        <w:spacing w:after="0" w:line="24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19"/>
          <w:szCs w:val="19"/>
          <w:b w:val="1"/>
          <w:bCs w:val="1"/>
          <w:color w:val="auto"/>
        </w:rPr>
        <w:t>Product Determination</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Based on the results of our RCOI and due diligence, the complexity of our supply chain, and the inherent imprecision of reporting information through our supply chain, we cannot confirm whether the 3TG reported to us by our suppliers, some of which may have been sourced from a Covered Country, are in our products. However, we have not identified any instances where 3TG in our products are directly or indirectly financing or benefiting armed groups in the Covered Countries.</w:t>
      </w:r>
    </w:p>
    <w:p>
      <w:pPr>
        <w:spacing w:after="0" w:line="24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19"/>
          <w:szCs w:val="19"/>
          <w:b w:val="1"/>
          <w:bCs w:val="1"/>
          <w:color w:val="auto"/>
        </w:rPr>
        <w:t>Appendix</w:t>
      </w:r>
    </w:p>
    <w:p>
      <w:pPr>
        <w:spacing w:after="0" w:line="239"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Utilizing the information provided by our first-tier suppliers in their CMRT submissions, we compiled a list of SORs that may provide 3TG used in our products. The SOR list is provided as an appendix in this report.</w:t>
      </w:r>
    </w:p>
    <w:p>
      <w:pPr>
        <w:sectPr>
          <w:pgSz w:w="11900" w:h="16838" w:orient="portrait"/>
          <w:cols w:equalWidth="0" w:num="1">
            <w:col w:w="11240"/>
          </w:cols>
          <w:pgMar w:left="320" w:top="753" w:right="339" w:bottom="1440" w:gutter="0" w:footer="0" w:header="0"/>
        </w:sectPr>
      </w:pPr>
    </w:p>
    <w:bookmarkStart w:id="7" w:name="page8"/>
    <w:bookmarkEnd w:id="7"/>
    <w:p>
      <w:pPr>
        <w:spacing w:after="0" w:line="264" w:lineRule="auto"/>
        <w:rPr>
          <w:sz w:val="20"/>
          <w:szCs w:val="20"/>
          <w:color w:val="auto"/>
        </w:rPr>
      </w:pPr>
      <w:r>
        <w:rPr>
          <w:rFonts w:ascii="Arial" w:cs="Arial" w:eastAsia="Arial" w:hAnsi="Arial"/>
          <w:sz w:val="21"/>
          <w:szCs w:val="21"/>
          <w:color w:val="auto"/>
        </w:rPr>
        <w:t>However, because certain of our suppliers reported 3TG usage at a company-wide level, the information provided by our suppliers, including the identity of the SORs included in the appendix, may relate to non-GM products. In addition, not all our suppliers provided the SOR identity and country of origin information for 3TG. Further, we understand that SORs generally commingle minerals from different mine sources, which may further impair our suppliers’ ability to track the source of 3TG. Accordingly, we cannot confirm the accuracy or completeness of the attached appendix of potential SORs, and we cannot definitively determine the origin of all the 3TG we utilize in our products.</w:t>
      </w:r>
    </w:p>
    <w:p>
      <w:pPr>
        <w:sectPr>
          <w:pgSz w:w="11900" w:h="16838" w:orient="portrait"/>
          <w:cols w:equalWidth="0" w:num="1">
            <w:col w:w="10920"/>
          </w:cols>
          <w:pgMar w:left="320" w:top="780" w:right="65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u w:val="single" w:color="auto"/>
          <w:color w:val="auto"/>
        </w:rPr>
        <w:t>Appendix</w:t>
      </w:r>
    </w:p>
    <w:p>
      <w:pPr>
        <w:spacing w:after="0" w:line="206" w:lineRule="exact"/>
        <w:rPr>
          <w:sz w:val="20"/>
          <w:szCs w:val="20"/>
          <w:color w:val="auto"/>
        </w:rPr>
      </w:pPr>
    </w:p>
    <w:p>
      <w:pPr>
        <w:ind w:right="400"/>
        <w:spacing w:after="0" w:line="235" w:lineRule="auto"/>
        <w:rPr>
          <w:sz w:val="20"/>
          <w:szCs w:val="20"/>
          <w:color w:val="auto"/>
        </w:rPr>
      </w:pPr>
      <w:r>
        <w:rPr>
          <w:rFonts w:ascii="Arial" w:cs="Arial" w:eastAsia="Arial" w:hAnsi="Arial"/>
          <w:sz w:val="22"/>
          <w:szCs w:val="22"/>
          <w:b w:val="1"/>
          <w:bCs w:val="1"/>
          <w:u w:val="single" w:color="auto"/>
          <w:color w:val="auto"/>
        </w:rPr>
        <w:t>All Smelters or Refiners with an "**" below are conformant to the RMAP assessment, or were actively engaged in the program as of March 1, 2023</w:t>
      </w: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136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25"/>
                <w:szCs w:val="25"/>
                <w:b w:val="1"/>
                <w:bCs w:val="1"/>
                <w:color w:val="auto"/>
              </w:rPr>
              <w:t>Metal</w:t>
            </w:r>
          </w:p>
        </w:tc>
        <w:tc>
          <w:tcPr>
            <w:tcW w:w="652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25"/>
                <w:szCs w:val="25"/>
                <w:b w:val="1"/>
                <w:bCs w:val="1"/>
                <w:color w:val="auto"/>
              </w:rPr>
              <w:t>Standard Smelter Name</w:t>
            </w:r>
          </w:p>
        </w:tc>
        <w:tc>
          <w:tcPr>
            <w:tcW w:w="336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25"/>
                <w:szCs w:val="25"/>
                <w:b w:val="1"/>
                <w:bCs w:val="1"/>
                <w:color w:val="auto"/>
              </w:rPr>
              <w:t>Country Locaton</w:t>
            </w:r>
          </w:p>
        </w:tc>
      </w:tr>
      <w:tr>
        <w:trPr>
          <w:trHeight w:val="40"/>
        </w:trPr>
        <w:tc>
          <w:tcPr>
            <w:tcW w:w="1360" w:type="dxa"/>
            <w:vAlign w:val="bottom"/>
            <w:tcBorders>
              <w:left w:val="single" w:sz="8" w:color="auto"/>
              <w:bottom w:val="single" w:sz="8" w:color="auto"/>
              <w:right w:val="single" w:sz="8" w:color="auto"/>
            </w:tcBorders>
          </w:tcPr>
          <w:p>
            <w:pPr>
              <w:spacing w:after="0"/>
              <w:rPr>
                <w:sz w:val="3"/>
                <w:szCs w:val="3"/>
                <w:color w:val="auto"/>
              </w:rPr>
            </w:pPr>
          </w:p>
        </w:tc>
        <w:tc>
          <w:tcPr>
            <w:tcW w:w="6520" w:type="dxa"/>
            <w:vAlign w:val="bottom"/>
            <w:tcBorders>
              <w:bottom w:val="single" w:sz="8" w:color="auto"/>
              <w:right w:val="single" w:sz="8" w:color="auto"/>
            </w:tcBorders>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AMG Brasil**</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Changsha South Tantalum Niobium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 Block Metals, LLC**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F&amp;X Electro-Materials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FIR Metals &amp; Resource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Global Advanced Metals Aizu**</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Global Advanced Metals Boyertown**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Materion Newton Inc.**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Hengyang King Xing Lifeng New Materials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Jiangxi Dinghai Tantalum &amp; Niobium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Jiangxi Tuohong New Raw Material**</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JiuJiang JinXin Nonferrous Metals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Jiujiang Tanbre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Jiujiang Zhongao Tantalum &amp; Niobium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KEMET de Mexico**</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MEXICO</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Metallurgical Products India Pvt.,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Mineracao Taboca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Mitsui Mining and Smeltng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Ningxia Orient Tantalum Industry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QuantumClean**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RFH Yancheng Jinye New Material Technology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Resind Industria e Comercio Ltda.**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Solikamsk Magnesium Works OAO</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TANIOBIS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THAILAND</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Taki Chemical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Telex Metals**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Ulba Metallurgical Plant JSC**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KAZAKHSTAN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XIMEI RESOURCES (GUANGDONG) LIMITED**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XinXing HaoRong Electronic Material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NPM Silmet AS**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ESTONIA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Yanling Jincheng Tantalum &amp; Niobium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TANIOBIS GmbH**</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TANIOBIS Japan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TANIOBIS Smeltng GmbH &amp; Co. KG**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5D Producton OU</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ESTONIA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Alpha**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An Vinh Joint Stock Mineral Processing Company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VIET NAM</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Aurubis Beerse**</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BELGIUM</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Aurubis Berango**</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SPAIN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40"/>
          </w:cols>
          <w:pgMar w:left="320" w:top="747"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Chenzhou Yunxiang Mining and Metallurgy Co., Ltd.**</w:t>
            </w:r>
          </w:p>
        </w:tc>
        <w:tc>
          <w:tcPr>
            <w:tcW w:w="3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Chifeng Dajingzi Tin Industry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 Tin Group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25"/>
        </w:trPr>
        <w:tc>
          <w:tcPr>
            <w:tcW w:w="1360" w:type="dxa"/>
            <w:vAlign w:val="bottom"/>
            <w:tcBorders>
              <w:left w:val="single" w:sz="8" w:color="auto"/>
              <w:right w:val="single" w:sz="8" w:color="auto"/>
            </w:tcBorders>
          </w:tcPr>
          <w:p>
            <w:pPr>
              <w:spacing w:after="0"/>
              <w:rPr>
                <w:sz w:val="19"/>
                <w:szCs w:val="19"/>
                <w:color w:val="auto"/>
              </w:rPr>
            </w:pPr>
          </w:p>
        </w:tc>
        <w:tc>
          <w:tcPr>
            <w:tcW w:w="6520" w:type="dxa"/>
            <w:vAlign w:val="bottom"/>
            <w:tcBorders>
              <w:right w:val="single" w:sz="8" w:color="auto"/>
            </w:tcBorders>
          </w:tcPr>
          <w:p>
            <w:pPr>
              <w:ind w:left="60"/>
              <w:spacing w:after="0" w:line="225" w:lineRule="exact"/>
              <w:rPr>
                <w:sz w:val="20"/>
                <w:szCs w:val="20"/>
                <w:color w:val="auto"/>
              </w:rPr>
            </w:pPr>
            <w:r>
              <w:rPr>
                <w:rFonts w:ascii="Arial" w:cs="Arial" w:eastAsia="Arial" w:hAnsi="Arial"/>
                <w:sz w:val="20"/>
                <w:szCs w:val="20"/>
                <w:color w:val="auto"/>
                <w:w w:val="92"/>
              </w:rPr>
              <w:t>CRM Fundicao De Metais E Comercio De Equipamentos Eletronicos Do Brasil</w:t>
            </w:r>
          </w:p>
        </w:tc>
        <w:tc>
          <w:tcPr>
            <w:tcW w:w="3360" w:type="dxa"/>
            <w:vAlign w:val="bottom"/>
            <w:tcBorders>
              <w:right w:val="single" w:sz="8" w:color="auto"/>
            </w:tcBorders>
          </w:tcPr>
          <w:p>
            <w:pPr>
              <w:spacing w:after="0"/>
              <w:rPr>
                <w:sz w:val="19"/>
                <w:szCs w:val="19"/>
                <w:color w:val="auto"/>
              </w:rPr>
            </w:pPr>
          </w:p>
        </w:tc>
      </w:tr>
      <w:tr>
        <w:trPr>
          <w:trHeight w:val="250"/>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Ltda**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71"/>
        </w:trPr>
        <w:tc>
          <w:tcPr>
            <w:tcW w:w="1360" w:type="dxa"/>
            <w:vAlign w:val="bottom"/>
            <w:tcBorders>
              <w:left w:val="single" w:sz="8" w:color="auto"/>
              <w:bottom w:val="single" w:sz="8" w:color="auto"/>
              <w:right w:val="single" w:sz="8" w:color="auto"/>
            </w:tcBorders>
          </w:tcPr>
          <w:p>
            <w:pPr>
              <w:spacing w:after="0"/>
              <w:rPr>
                <w:sz w:val="6"/>
                <w:szCs w:val="6"/>
                <w:color w:val="auto"/>
              </w:rPr>
            </w:pPr>
          </w:p>
        </w:tc>
        <w:tc>
          <w:tcPr>
            <w:tcW w:w="6520" w:type="dxa"/>
            <w:vAlign w:val="bottom"/>
            <w:tcBorders>
              <w:bottom w:val="single" w:sz="8" w:color="auto"/>
              <w:right w:val="single" w:sz="8" w:color="auto"/>
            </w:tcBorders>
          </w:tcPr>
          <w:p>
            <w:pPr>
              <w:spacing w:after="0"/>
              <w:rPr>
                <w:sz w:val="6"/>
                <w:szCs w:val="6"/>
                <w:color w:val="auto"/>
              </w:rPr>
            </w:pPr>
          </w:p>
        </w:tc>
        <w:tc>
          <w:tcPr>
            <w:tcW w:w="3360" w:type="dxa"/>
            <w:vAlign w:val="bottom"/>
            <w:tcBorders>
              <w:bottom w:val="single" w:sz="8" w:color="auto"/>
              <w:right w:val="single" w:sz="8" w:color="auto"/>
            </w:tcBorders>
          </w:tcPr>
          <w:p>
            <w:pPr>
              <w:spacing w:after="0"/>
              <w:rPr>
                <w:sz w:val="6"/>
                <w:szCs w:val="6"/>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CRM Synergies**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SPAIN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CV Ayi Jaya**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CV Venus Int Perkasa**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Dongguan CiEXPO Environmental Engineering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Dowa**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DS Myanmar**</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MYANMAR</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25"/>
        </w:trPr>
        <w:tc>
          <w:tcPr>
            <w:tcW w:w="1360" w:type="dxa"/>
            <w:vAlign w:val="bottom"/>
            <w:tcBorders>
              <w:left w:val="single" w:sz="8" w:color="auto"/>
              <w:right w:val="single" w:sz="8" w:color="auto"/>
            </w:tcBorders>
          </w:tcPr>
          <w:p>
            <w:pPr>
              <w:spacing w:after="0"/>
              <w:rPr>
                <w:sz w:val="19"/>
                <w:szCs w:val="19"/>
                <w:color w:val="auto"/>
              </w:rPr>
            </w:pPr>
          </w:p>
        </w:tc>
        <w:tc>
          <w:tcPr>
            <w:tcW w:w="6520" w:type="dxa"/>
            <w:vAlign w:val="bottom"/>
            <w:tcBorders>
              <w:right w:val="single" w:sz="8" w:color="auto"/>
            </w:tcBorders>
          </w:tcPr>
          <w:p>
            <w:pPr>
              <w:ind w:left="60"/>
              <w:spacing w:after="0" w:line="225" w:lineRule="exact"/>
              <w:rPr>
                <w:sz w:val="20"/>
                <w:szCs w:val="20"/>
                <w:color w:val="auto"/>
              </w:rPr>
            </w:pPr>
            <w:r>
              <w:rPr>
                <w:rFonts w:ascii="Arial" w:cs="Arial" w:eastAsia="Arial" w:hAnsi="Arial"/>
                <w:sz w:val="20"/>
                <w:szCs w:val="20"/>
                <w:color w:val="auto"/>
                <w:w w:val="93"/>
              </w:rPr>
              <w:t>Electro-Mechanical Facility of the Cao Bang Minerals &amp; Metallurgy Joint Stock</w:t>
            </w:r>
          </w:p>
        </w:tc>
        <w:tc>
          <w:tcPr>
            <w:tcW w:w="3360" w:type="dxa"/>
            <w:vAlign w:val="bottom"/>
            <w:tcBorders>
              <w:right w:val="single" w:sz="8" w:color="auto"/>
            </w:tcBorders>
          </w:tcPr>
          <w:p>
            <w:pPr>
              <w:spacing w:after="0"/>
              <w:rPr>
                <w:sz w:val="19"/>
                <w:szCs w:val="19"/>
                <w:color w:val="auto"/>
              </w:rPr>
            </w:pPr>
          </w:p>
        </w:tc>
      </w:tr>
      <w:tr>
        <w:trPr>
          <w:trHeight w:val="250"/>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Company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VIET NAM</w:t>
            </w:r>
          </w:p>
        </w:tc>
      </w:tr>
      <w:tr>
        <w:trPr>
          <w:trHeight w:val="58"/>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EM Vinto**</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0"/>
              </w:rPr>
              <w:t>BOLIVIA (PLURINATIONAL STATE OF)</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Estanho de Rondonia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Fabrica Auricchio Industria e Comercio Ltda.**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Fenix Metals**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POLAND</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Gejiu City Fuxiang Industry and Trade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Gejiu Kai Meng Industry and Trade LLC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Gejiu Non-Ferrous Metal Processing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Gejiu Yunxin Nonferrous Electrolysis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Gejiu Zili Mining And Metallurgy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Guangdong Hanhe Non-Ferrous Metal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Jiangxi New Nanshan Technology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Luna Smelter,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RWANDA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Magnu's Minerais Metais e Ligas Ltda.**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Malaysia Smeltng Corporaton (MSC)**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MALAYSIA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Melt Metais e Ligas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Metallic Resources, Inc.**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Mineracao Taboca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Minsur**</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PERU</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Mitsubishi Materials Corporaton**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Modeltech Sdn Bhd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MALAYSIA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Nghe Tinh Non-Ferrous Metals Joint Stock Company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VIET NAM</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Novosibirsk Tin Combine</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O.M. Manufacturing (Thailand)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THAILAND</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O.M. Manufacturing Philippines, Inc.**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PHILIPPINES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Operaciones Metalurgicas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0"/>
              </w:rPr>
              <w:t>BOLIVIA (PLURINATIONAL STATE OF)</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Pongpipat Company Limited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MYANMAR</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Precious Minerals and Smeltng Limited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PT Aries Kencana Sejahtera**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PT Artha Cipta Langgeng**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PT ATD Makmur Mandiri Jaya**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PT Babel Int Perkasa**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40"/>
          </w:cols>
          <w:pgMar w:left="320" w:top="794"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PT Babel Surya Alam Lestari**</w:t>
            </w:r>
          </w:p>
        </w:tc>
        <w:tc>
          <w:tcPr>
            <w:tcW w:w="3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Bangka Prima Tin**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Bangka Serumpun**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Bangka Tin Industry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Belitung Industri Sejahtera**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Bukit Timah**</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Cipta Persada Mulia**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Menara Cipta Mulia**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Mitra Stania Prima**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Mitra Sukses Globalindo**</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Panca Mega Persada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Premium Tin Indonesia**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Prima Timah Utama**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Putera Sarana Shakt (PT PSS)**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Rajawali Rimba Perkasa**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Rajehan Ariq**</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Refned Bangka Tin**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Sariwiguna Binasentosa**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Stanindo Int Perkasa**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Sukses Int Makmur**</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Timah Nusantara**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Timah Tbk Kundur**</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Timah Tbk Mentok**</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Tinindo Inter Nusa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Tirus Putra Mandiri</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PT Tommy Utama**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Resind Industria e Comercio Ltda.**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Rui Da Hung**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TAIWAN, PROVINCE OF 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Super Ligas**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Thaisarco**</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THAILAND</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Tin Smeltng Branch of Yunnan Tin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Tin Technology &amp; Refning**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Tuyen Quang Non-Ferrous Metals Joint Stock Company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VIET NAM</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VQB Mineral and Trading Group JSC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VIET NAM</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White Solder Metalurgia e Mineracao Ltda.**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Yunnan Chengfeng Non-ferrous Metals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Yunnan Yunfan Non-ferrous Metals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A.L.M.T. Corp.**</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ACL Metais Eireli</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Albasteel Industria e Comercio de Ligas Para Fundicao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Artek LLC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Asia Tungsten Products Vietnam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VIET NAM</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China Molybdenum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Chongyi Zhangyuan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CNMC (Guangxi) PGMA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240"/>
          </w:cols>
          <w:pgMar w:left="320" w:top="79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Cronimet Brasil Ltda**</w:t>
            </w:r>
          </w:p>
        </w:tc>
        <w:tc>
          <w:tcPr>
            <w:tcW w:w="3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Fujian Ganmin RareMetal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Fujian Xinlu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Ganzhou Haichuang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Ganzhou Huaxing Tungsten Products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Ganzhou Jiangwu Ferrotungsten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Ganzhou Seadragon W &amp; Mo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Global Tungsten &amp; Powders Corp.**</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Guangdong Xianglu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H.C. Starck Tungsten GmbH**</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HANNAE FOR T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Hubei Green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Hunan Chenzhou Mining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Hunan Jintai New Material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25"/>
        </w:trPr>
        <w:tc>
          <w:tcPr>
            <w:tcW w:w="1360" w:type="dxa"/>
            <w:vAlign w:val="bottom"/>
            <w:tcBorders>
              <w:left w:val="single" w:sz="8" w:color="auto"/>
              <w:right w:val="single" w:sz="8" w:color="auto"/>
            </w:tcBorders>
          </w:tcPr>
          <w:p>
            <w:pPr>
              <w:spacing w:after="0"/>
              <w:rPr>
                <w:sz w:val="19"/>
                <w:szCs w:val="19"/>
                <w:color w:val="auto"/>
              </w:rPr>
            </w:pPr>
          </w:p>
        </w:tc>
        <w:tc>
          <w:tcPr>
            <w:tcW w:w="6520" w:type="dxa"/>
            <w:vAlign w:val="bottom"/>
            <w:tcBorders>
              <w:right w:val="single" w:sz="8" w:color="auto"/>
            </w:tcBorders>
          </w:tcPr>
          <w:p>
            <w:pPr>
              <w:ind w:left="60"/>
              <w:spacing w:after="0" w:line="225" w:lineRule="exact"/>
              <w:rPr>
                <w:sz w:val="20"/>
                <w:szCs w:val="20"/>
                <w:color w:val="auto"/>
              </w:rPr>
            </w:pPr>
            <w:r>
              <w:rPr>
                <w:rFonts w:ascii="Arial" w:cs="Arial" w:eastAsia="Arial" w:hAnsi="Arial"/>
                <w:sz w:val="20"/>
                <w:szCs w:val="20"/>
                <w:color w:val="auto"/>
                <w:w w:val="93"/>
              </w:rPr>
              <w:t>Hunan Shizhuyuan Nonferrous Metals Co., Ltd. Chenzhou Tungsten Products</w:t>
            </w:r>
          </w:p>
        </w:tc>
        <w:tc>
          <w:tcPr>
            <w:tcW w:w="3360" w:type="dxa"/>
            <w:vAlign w:val="bottom"/>
            <w:tcBorders>
              <w:right w:val="single" w:sz="8" w:color="auto"/>
            </w:tcBorders>
          </w:tcPr>
          <w:p>
            <w:pPr>
              <w:spacing w:after="0"/>
              <w:rPr>
                <w:sz w:val="19"/>
                <w:szCs w:val="19"/>
                <w:color w:val="auto"/>
              </w:rPr>
            </w:pPr>
          </w:p>
        </w:tc>
      </w:tr>
      <w:tr>
        <w:trPr>
          <w:trHeight w:val="250"/>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Branch**</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58"/>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Hydrometallurg, JSC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 New Metals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Jiangwu H.C. Starck Tungsten Products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Jiangxi Gan Bei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Jiangxi Minmetals Gao'an Non-ferrous Metals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Jiangxi Tonggu Non-ferrous Metallurgical &amp; Chemical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Jiangxi Xinsheng Tungsten Industry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Jiangxi Yaosheng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JSC "Kirovgrad Hard Alloys Plant"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Kennametal Fallon**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Kennametal Huntsville**</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Lianyou Metals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TAIWAN, PROVINCE OF 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LLC Vostok</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Malipo Haiyu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Masan High-Tech Materials**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VIET NAM</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Moliren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Niagara Refning LLC**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NPP Tyazhmetprom LLC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OOO “Technolom” 1</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OOO “Technolom” 2</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Philippine Chuangxin Industrial Co., Inc.**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PHILIPPINES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TANIOBIS Smeltng GmbH &amp; Co. KG**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Unecha Refractory metals plant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Wolfram Bergbau und Huten AG**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AUSTRIA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Xiamen Tungsten (H.C.)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Xiamen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YUDU ANSHENG TUNGSTEN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8853 S.p.A.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ABC Refnery Pty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240"/>
          </w:cols>
          <w:pgMar w:left="320" w:top="79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Abington Reldan Metals, LLC**</w:t>
            </w:r>
          </w:p>
        </w:tc>
        <w:tc>
          <w:tcPr>
            <w:tcW w:w="3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Advanced Chemical Company**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African Gold Refnery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UGANDA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Agosi AG**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Aida Chemical Industries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Al Ethad Gold Refnery DMCC**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ARAB EMIRATES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Albino Mountnho Lda.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PORTUGAL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Alexy Metals**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Almalyk Mining and Metallurgical Complex (AMMC)**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UZBEKISTAN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AngloGold Ashant Corrego do Sito Mineracao**</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Argor-Heraeus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Asahi Pretec Corp.**</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Asahi Refning Canada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Asahi Refning USA Inc.**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Asaka Riken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Atasay Kuyumculuk Sanayi Ve Ticaret A.S.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TURKEY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AU Traders and Refners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SOUTH AFRICA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Augmont Enterprises Private Limited**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Aurubis AG**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Bangalore Refnery**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Bangko Sentral ng Pilipinas (Central Bank of the Philippines)**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PHILIPPINES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Boliden AB**</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SWEDEN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 Hafner GmbH + Co. KG**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C.I Metales Procesados Industriales SAS**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COLOMBIA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Caridad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MEXICO</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CCR Refnery - Glencore Canada Corporaton**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Cendres + Metaux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CGR Metalloys Pvt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Chimet S.p.A.**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Chugai Mining**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Daye Non-Ferrous Metals Mining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Degussa Sonne / Mond Goldhandel GmbH</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Dijllah Gold Refnery FZC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ARAB EMIRATES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Dongwu Gold Group</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Dowa**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DSC (Do Sung Corporaton)**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Eco-System Recycling Co., Ltd. East Plant**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Eco-System Recycling Co., Ltd. North Plant**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Eco-System Recycling Co., Ltd. West Plant**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Emerald Jewel Industry India Limited (Unit 1)</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Emerald Jewel Industry India Limited (Unit 2)</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Emerald Jewel Industry India Limited (Unit 3)</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Emerald Jewel Industry India Limited (Unit 4)</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Emirates Gold DMCC**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ARAB EMIRATES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Fidelity Printers and Refners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ZIMBABWE</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240"/>
          </w:cols>
          <w:pgMar w:left="320" w:top="79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Fujairah Gold FZC</w:t>
            </w:r>
          </w:p>
        </w:tc>
        <w:tc>
          <w:tcPr>
            <w:tcW w:w="3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UNITED ARAB EMIRATES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Geib Refning Corporaton**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GGC Gujrat Gold Centre Pvt.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Gold by Gold Colombia**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COLOMBIA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Gold Coast Refnery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GHANA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Gold Refnery of Zijin Mining Group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Great Wall Precious Metals Co., Ltd. of CBPM</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Guangdong Jinding Gold Limited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Guoda Safna High-Tech Environmental Refnery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Hangzhou Fuchunjiang Smeltng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Heimerle + Meule GmbH**</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Heraeus Germany GmbH Co. KG**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Heraeus Metals Hong Kong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Hunan Chenzhou Mining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Hunan Guiyang yinxing Nonferrous Smeltng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HwaSeong CJ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Industrial Refning Company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BELGIUM</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Inner Mongolia Qiankun Gold and Silver Refnery Share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Internatonal Precious Metal Refners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ARAB EMIRATES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Ishifuku Metal Industry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Istanbul Gold Refnery**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TURKEY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Italpreziosi**</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JALAN &amp; Company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 Mint**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Jiangxi Copper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JSC Ekaterinburg Non-Ferrous Metal Processing Plant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JSC Novosibirsk Refnery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JSC Uralelectromed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JX Nippon Mining &amp; Metals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K.A. Rasmussen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NORWAY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Kalot Precious Metals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ARAB EMIRATES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Kazakhmys Smeltng LLC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KAZAKHSTAN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Kazzinc**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KAZAKHSTAN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Kennecot Utah Copper LLC**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KGHM Polska Miedz Spolka Akcyjna**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POLAND</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Kojima Chemicals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Zinc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Kundan Care Products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Kyrgyzaltyn JSC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KYRGYZSTAN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Kyshtym Copper-Electrolytc Plant ZAO</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L'azurde Company For Jewelry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SAUDI ARABIA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Lingbao Gold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Lingbao Jinyuan Tonghui Refnery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L'Orfebre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ANDORRA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LS-NIKKO Copper Inc.**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240"/>
          </w:cols>
          <w:pgMar w:left="320" w:top="79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LT Metal Ltd.**</w:t>
            </w:r>
          </w:p>
        </w:tc>
        <w:tc>
          <w:tcPr>
            <w:tcW w:w="3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Luoyang Zijin Yinhui Gold Refnery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Marsam Metals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BRAZIL</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Materion**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Matsuda Sangyo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MD Overseas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 Concentrators SA (Pty)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SOUTH AFRICA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Metallix Refning Inc.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Metalor Technologies (Hong Kong)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Metalor Technologies (Singapore) Pte.,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SINGAPORE</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Metalor Technologies (Suzhou)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Metalor Technologies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Metalor USA Refning Corporaton**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Metalurgica Met-Mex Penoles S.A. De C.V.**</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MEXICO</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Mitsubishi Materials Corporaton**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Mitsui Mining and Smeltng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MKS PAMP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MMTC-PAMP India Pvt.,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Modeltech Sdn Bhd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MALAYSIA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Morris and Watson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NEW ZEALAND</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Moscow Special Alloys Processing Plant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Nadir Metal Rafneri San. Ve Tic. A.S.**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TURKEY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Navoi Mining and Metallurgical Combinat**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UZBEKISTAN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NH Recytech Company**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Nihon Material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Ogussa Osterreichische Gold- und Silber-Scheideanstalt GmbH**</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AUSTRIA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Ohura Precious Metal Industry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88"/>
              </w:rPr>
              <w:t>OJSC "The Gulidov Krasnoyarsk Non-Ferrous Metals Plant" (OJSC Krastsvetmet)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Pease &amp; Curren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Penglai Penggang Gold Industry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Planta Recuperadora de Metales SpA**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CHILE</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Prioksky Plant of Non-Ferrous Metals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PT Aneka Tambang (Persero) Tbk**</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INDONESIA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PX Precinox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QG Refning, LLC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Rand Refnery (Pty)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SOUTH AFRICA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Refnery of Seemine Gold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REMONDIS PMR B.V.**</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NETHERLANDS</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Royal Canadian Mint**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CANADA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SAAMP**</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Sabin Metal Corp.</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Safmet S.p.A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SAFINA A.S.**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CZECHIA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Sai Refnery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40"/>
          </w:cols>
          <w:pgMar w:left="320" w:top="79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Samduck Precious Metals</w:t>
            </w:r>
          </w:p>
        </w:tc>
        <w:tc>
          <w:tcPr>
            <w:tcW w:w="3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Samwon Metals Corp.</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Sancus ZFS (L’Orfebre,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COLOMBIA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Sellem Industries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MAURITANIA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SEMPSA Joyeria Plateria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SPAIN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Shandong Gold Smeltng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Shandong Humon Smeltng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Shandong Tiancheng Biological Gold Industrial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Shandong Zhaojin Gold &amp; Silver Refnery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Shenzhen CuiLu Gold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Shenzhen Zhonghenglong Real Industry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Shirpur Gold Refnery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Sichuan Tianze Precious Metals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Singway Technology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TAIWAN, PROVINCE OF 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SOE Shyolkovsky Factory of Secondary Precious Metals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RUSSIAN FEDERATION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Solar Applied Materials Technology Corp.**</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TAIWAN, PROVINCE OF 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Sovereign Metals</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INDIA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State Research Insttute Center for Physical Sciences and Technology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LITHUANIA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Sudan Gold Refnery</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SUDAN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Sumitomo Metal Mining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SungEel HiMetal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Super Dragon Technology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TAIWAN, PROVINCE OF 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T.C.A S.p.A**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ITALY</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Tanaka Kikinzoku Kogyo K.K.**</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Tokuriki Honten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Tongling Nonferrous Metals Group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TOO Tau-Ken-Altyn**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KAZAKHSTAN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Torecom**</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KOREA, REPUBLIC OF</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Umicore Precious Metals Thailand**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THAILAND</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Umicore S.A. Business Unit Precious Metals Refning**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BELGIUM</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Precious Metal Refning, Inc.**</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UNITED STATES OF AMERICA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Valcambi S.A.**</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SWITZERLAND</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WEEEREFINING**</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FRANCE</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Western Australian Mint (T/a The Perth Mint)**</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AUSTRALIA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WIELAND Edelmetalle GmbH**</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GERMANY</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Yamakin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Yokohama Metal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JAPAN</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Yunnan Copper Industry Co., Ltd.</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47"/>
        </w:trPr>
        <w:tc>
          <w:tcPr>
            <w:tcW w:w="1360" w:type="dxa"/>
            <w:vAlign w:val="bottom"/>
            <w:tcBorders>
              <w:left w:val="single" w:sz="8" w:color="auto"/>
              <w:bottom w:val="single" w:sz="8" w:color="auto"/>
              <w:right w:val="single" w:sz="8" w:color="auto"/>
            </w:tcBorders>
          </w:tcPr>
          <w:p>
            <w:pPr>
              <w:spacing w:after="0"/>
              <w:rPr>
                <w:sz w:val="4"/>
                <w:szCs w:val="4"/>
                <w:color w:val="auto"/>
              </w:rPr>
            </w:pPr>
          </w:p>
        </w:tc>
        <w:tc>
          <w:tcPr>
            <w:tcW w:w="65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44"/>
        </w:trPr>
        <w:tc>
          <w:tcPr>
            <w:tcW w:w="13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65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Zhongyuan Gold Smelter of Zhongjin Gold Corporaton**</w:t>
            </w:r>
          </w:p>
        </w:tc>
        <w:tc>
          <w:tcPr>
            <w:tcW w:w="336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CHINA</w:t>
            </w:r>
          </w:p>
        </w:tc>
      </w:tr>
      <w:tr>
        <w:trPr>
          <w:trHeight w:val="60"/>
        </w:trPr>
        <w:tc>
          <w:tcPr>
            <w:tcW w:w="1360" w:type="dxa"/>
            <w:vAlign w:val="bottom"/>
            <w:tcBorders>
              <w:left w:val="single" w:sz="8" w:color="auto"/>
              <w:bottom w:val="single" w:sz="8" w:color="auto"/>
              <w:right w:val="single" w:sz="8" w:color="auto"/>
            </w:tcBorders>
          </w:tcPr>
          <w:p>
            <w:pPr>
              <w:spacing w:after="0"/>
              <w:rPr>
                <w:sz w:val="5"/>
                <w:szCs w:val="5"/>
                <w:color w:val="auto"/>
              </w:rPr>
            </w:pPr>
          </w:p>
        </w:tc>
        <w:tc>
          <w:tcPr>
            <w:tcW w:w="6520" w:type="dxa"/>
            <w:vAlign w:val="bottom"/>
            <w:tcBorders>
              <w:bottom w:val="single" w:sz="8" w:color="auto"/>
              <w:right w:val="single" w:sz="8" w:color="auto"/>
            </w:tcBorders>
          </w:tcPr>
          <w:p>
            <w:pPr>
              <w:spacing w:after="0"/>
              <w:rPr>
                <w:sz w:val="5"/>
                <w:szCs w:val="5"/>
                <w:color w:val="auto"/>
              </w:rPr>
            </w:pPr>
          </w:p>
        </w:tc>
        <w:tc>
          <w:tcPr>
            <w:tcW w:w="3360" w:type="dxa"/>
            <w:vAlign w:val="bottom"/>
            <w:tcBorders>
              <w:bottom w:val="single" w:sz="8" w:color="auto"/>
              <w:right w:val="single" w:sz="8" w:color="auto"/>
            </w:tcBorders>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7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9"/>
    </w:lvl>
  </w:abstractNum>
  <w:abstractNum w:abstractNumId="3">
    <w:nsid w:val="46E87CCD"/>
    <w:multiLevelType w:val="hybridMultilevel"/>
    <w:lvl w:ilvl="0">
      <w:lvlJc w:val="left"/>
      <w:lvlText w:val="%1."/>
      <w:numFmt w:val="upperLetter"/>
      <w:start w:val="35"/>
    </w:lvl>
  </w:abstractNum>
  <w:abstractNum w:abstractNumId="4">
    <w:nsid w:val="3D1B58BA"/>
    <w:multiLevelType w:val="hybridMultilevel"/>
    <w:lvl w:ilvl="0">
      <w:lvlJc w:val="left"/>
      <w:lvlText w:val="%1."/>
      <w:numFmt w:val="upperLetter"/>
      <w:start w:val="61"/>
    </w:lvl>
  </w:abstractNum>
  <w:abstractNum w:abstractNumId="5">
    <w:nsid w:val="507ED7A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2023-05-31T09:57:47Z</dcterms:created>
  <dcterms:modified xsi:type="dcterms:W3CDTF">2023-05-31T09:57:47Z</dcterms:modified>
</cp:coreProperties>
</file>