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Johnson Gerald</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940"/>
        <w:spacing w:after="0" w:line="324" w:lineRule="auto"/>
        <w:rPr>
          <w:sz w:val="20"/>
          <w:szCs w:val="20"/>
          <w:color w:val="auto"/>
        </w:rPr>
      </w:pPr>
      <w:r>
        <w:rPr>
          <w:rFonts w:ascii="Arial" w:cs="Arial" w:eastAsia="Arial" w:hAnsi="Arial"/>
          <w:sz w:val="16"/>
          <w:szCs w:val="16"/>
          <w:color w:val="0000FF"/>
        </w:rPr>
        <w:t>300 RENAISSANCE CENTER M/C: 482-C23-A68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12/14/2020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40"/>
        <w:spacing w:after="0"/>
        <w:rPr>
          <w:sz w:val="20"/>
          <w:szCs w:val="20"/>
          <w:color w:val="auto"/>
        </w:rPr>
      </w:pPr>
      <w:r>
        <w:rPr>
          <w:rFonts w:ascii="Arial" w:cs="Arial" w:eastAsia="Arial" w:hAnsi="Arial"/>
          <w:sz w:val="17"/>
          <w:szCs w:val="17"/>
          <w:color w:val="0000FF"/>
        </w:rPr>
        <w:t>Executive Vice President</w:t>
      </w:r>
    </w:p>
    <w:p>
      <w:pPr>
        <w:spacing w:after="0" w:line="43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30"/>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1"/>
          </w:tcPr>
          <w:p>
            <w:pPr>
              <w:ind w:left="30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160" w:type="dxa"/>
            <w:vAlign w:val="bottom"/>
            <w:gridSpan w:val="10"/>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95"/>
              </w:rPr>
              <w:t>MI</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48265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1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4"/>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6"/>
          </w:tcPr>
          <w:p>
            <w:pPr>
              <w:ind w:left="12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3"/>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jc w:val="right"/>
              <w:ind w:right="1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jc w:val="right"/>
              <w:ind w:right="15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12/14/2020</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Arial" w:cs="Arial" w:eastAsia="Arial" w:hAnsi="Arial"/>
                <w:sz w:val="13"/>
                <w:szCs w:val="13"/>
                <w:color w:val="0000FF"/>
              </w:rPr>
              <w:t>M</w:t>
            </w:r>
          </w:p>
        </w:tc>
        <w:tc>
          <w:tcPr>
            <w:tcW w:w="8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86"/>
              </w:rPr>
              <w:t>22,776</w:t>
            </w:r>
            <w:r>
              <w:rPr>
                <w:rFonts w:ascii="Arial" w:cs="Arial" w:eastAsia="Arial" w:hAnsi="Arial"/>
                <w:sz w:val="21"/>
                <w:szCs w:val="21"/>
                <w:color w:val="008000"/>
                <w:w w:val="86"/>
                <w:vertAlign w:val="superscript"/>
              </w:rPr>
              <w:t>(1)</w:t>
            </w:r>
          </w:p>
        </w:tc>
        <w:tc>
          <w:tcPr>
            <w:tcW w:w="540" w:type="dxa"/>
            <w:vAlign w:val="bottom"/>
            <w:tcBorders>
              <w:bottom w:val="single" w:sz="8" w:color="2C2C2C"/>
            </w:tcBorders>
          </w:tcPr>
          <w:p>
            <w:pPr>
              <w:jc w:val="right"/>
              <w:ind w:right="7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31.32</w:t>
            </w: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64,053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12/14/2020</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86"/>
              </w:rPr>
              <w:t>22,776</w:t>
            </w:r>
            <w:r>
              <w:rPr>
                <w:rFonts w:ascii="Arial" w:cs="Arial" w:eastAsia="Arial" w:hAnsi="Arial"/>
                <w:sz w:val="21"/>
                <w:szCs w:val="21"/>
                <w:color w:val="008000"/>
                <w:w w:val="86"/>
                <w:vertAlign w:val="superscript"/>
              </w:rPr>
              <w:t>(1)</w:t>
            </w:r>
          </w:p>
        </w:tc>
        <w:tc>
          <w:tcPr>
            <w:tcW w:w="540" w:type="dxa"/>
            <w:vAlign w:val="bottom"/>
            <w:tcBorders>
              <w:bottom w:val="single" w:sz="8" w:color="2C2C2C"/>
            </w:tcBorders>
          </w:tcPr>
          <w:p>
            <w:pPr>
              <w:jc w:val="right"/>
              <w:ind w:right="7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42.4</w:t>
            </w:r>
            <w:r>
              <w:rPr>
                <w:rFonts w:ascii="Arial" w:cs="Arial" w:eastAsia="Arial" w:hAnsi="Arial"/>
                <w:sz w:val="21"/>
                <w:szCs w:val="21"/>
                <w:color w:val="008000"/>
                <w:vertAlign w:val="superscript"/>
              </w:rPr>
              <w:t>(2)</w:t>
            </w: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41,277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0" w:type="dxa"/>
            <w:vAlign w:val="bottom"/>
            <w:gridSpan w:val="10"/>
          </w:tcPr>
          <w:p>
            <w:pPr>
              <w:jc w:val="center"/>
              <w:ind w:left="59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(3)</w:t>
            </w:r>
          </w:p>
        </w:tc>
        <w:tc>
          <w:tcPr>
            <w:tcW w:w="66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480" w:type="dxa"/>
            <w:vAlign w:val="bottom"/>
            <w:vMerge w:val="restart"/>
          </w:tcPr>
          <w:p>
            <w:pPr>
              <w:spacing w:after="0"/>
              <w:rPr>
                <w:sz w:val="20"/>
                <w:szCs w:val="20"/>
                <w:color w:val="auto"/>
              </w:rPr>
            </w:pPr>
            <w:r>
              <w:rPr>
                <w:rFonts w:ascii="Arial" w:cs="Arial" w:eastAsia="Arial" w:hAnsi="Arial"/>
                <w:sz w:val="17"/>
                <w:szCs w:val="17"/>
                <w:color w:val="0000FF"/>
                <w:w w:val="88"/>
              </w:rPr>
              <w:t>22,776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31.32</w:t>
            </w:r>
          </w:p>
        </w:tc>
        <w:tc>
          <w:tcPr>
            <w:tcW w:w="200" w:type="dxa"/>
            <w:vAlign w:val="bottom"/>
          </w:tcPr>
          <w:p>
            <w:pPr>
              <w:spacing w:after="0"/>
              <w:rPr>
                <w:sz w:val="10"/>
                <w:szCs w:val="10"/>
                <w:color w:val="auto"/>
              </w:rPr>
            </w:pPr>
          </w:p>
        </w:tc>
        <w:tc>
          <w:tcPr>
            <w:tcW w:w="980" w:type="dxa"/>
            <w:vAlign w:val="bottom"/>
          </w:tcPr>
          <w:p>
            <w:pPr>
              <w:ind w:left="200"/>
              <w:spacing w:after="0" w:line="125" w:lineRule="exact"/>
              <w:rPr>
                <w:sz w:val="20"/>
                <w:szCs w:val="20"/>
                <w:color w:val="auto"/>
              </w:rPr>
            </w:pPr>
            <w:r>
              <w:rPr>
                <w:rFonts w:ascii="Arial" w:cs="Arial" w:eastAsia="Arial" w:hAnsi="Arial"/>
                <w:sz w:val="13"/>
                <w:szCs w:val="13"/>
                <w:color w:val="0000FF"/>
              </w:rPr>
              <w:t>12/14/2020</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ind w:left="40"/>
              <w:spacing w:after="0" w:line="125" w:lineRule="exact"/>
              <w:rPr>
                <w:sz w:val="20"/>
                <w:szCs w:val="20"/>
                <w:color w:val="auto"/>
              </w:rPr>
            </w:pPr>
            <w:r>
              <w:rPr>
                <w:rFonts w:ascii="Arial" w:cs="Arial" w:eastAsia="Arial" w:hAnsi="Arial"/>
                <w:sz w:val="13"/>
                <w:szCs w:val="13"/>
                <w:color w:val="0000FF"/>
              </w:rPr>
              <w:t>M</w:t>
            </w:r>
          </w:p>
        </w:tc>
        <w:tc>
          <w:tcPr>
            <w:tcW w:w="960" w:type="dxa"/>
            <w:vAlign w:val="bottom"/>
          </w:tcPr>
          <w:p>
            <w:pPr>
              <w:ind w:left="460"/>
              <w:spacing w:after="0" w:line="125" w:lineRule="exact"/>
              <w:rPr>
                <w:sz w:val="20"/>
                <w:szCs w:val="20"/>
                <w:color w:val="auto"/>
              </w:rPr>
            </w:pPr>
            <w:r>
              <w:rPr>
                <w:rFonts w:ascii="Arial" w:cs="Arial" w:eastAsia="Arial" w:hAnsi="Arial"/>
                <w:sz w:val="13"/>
                <w:szCs w:val="13"/>
                <w:color w:val="0000FF"/>
              </w:rPr>
              <w:t>22,776</w:t>
            </w:r>
          </w:p>
        </w:tc>
        <w:tc>
          <w:tcPr>
            <w:tcW w:w="780" w:type="dxa"/>
            <w:vAlign w:val="bottom"/>
            <w:gridSpan w:val="2"/>
            <w:vMerge w:val="continue"/>
          </w:tcPr>
          <w:p>
            <w:pPr>
              <w:spacing w:after="0"/>
              <w:rPr>
                <w:sz w:val="10"/>
                <w:szCs w:val="10"/>
                <w:color w:val="auto"/>
              </w:rPr>
            </w:pPr>
          </w:p>
        </w:tc>
        <w:tc>
          <w:tcPr>
            <w:tcW w:w="660" w:type="dxa"/>
            <w:vAlign w:val="bottom"/>
          </w:tcPr>
          <w:p>
            <w:pPr>
              <w:spacing w:after="0" w:line="125" w:lineRule="exact"/>
              <w:rPr>
                <w:sz w:val="20"/>
                <w:szCs w:val="20"/>
                <w:color w:val="auto"/>
              </w:rPr>
            </w:pPr>
            <w:r>
              <w:rPr>
                <w:rFonts w:ascii="Arial" w:cs="Arial" w:eastAsia="Arial" w:hAnsi="Arial"/>
                <w:sz w:val="13"/>
                <w:szCs w:val="13"/>
                <w:color w:val="0000FF"/>
                <w:w w:val="98"/>
              </w:rPr>
              <w:t>07/28/2025</w:t>
            </w:r>
          </w:p>
        </w:tc>
        <w:tc>
          <w:tcPr>
            <w:tcW w:w="68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14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line="125"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50"/>
              <w:spacing w:after="0" w:line="142" w:lineRule="exact"/>
              <w:rPr>
                <w:sz w:val="20"/>
                <w:szCs w:val="20"/>
                <w:color w:val="auto"/>
              </w:rPr>
            </w:pPr>
            <w:r>
              <w:rPr>
                <w:rFonts w:ascii="Arial" w:cs="Arial" w:eastAsia="Arial" w:hAnsi="Arial"/>
                <w:sz w:val="13"/>
                <w:szCs w:val="13"/>
                <w:color w:val="0000FF"/>
                <w:w w:val="92"/>
              </w:rPr>
              <w:t>Stock</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-3348990</wp:posOffset>
            </wp:positionV>
            <wp:extent cx="7033895" cy="3488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4880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3" w:lineRule="exact"/>
        <w:rPr>
          <w:rFonts w:ascii="Arial" w:cs="Arial" w:eastAsia="Arial" w:hAnsi="Arial"/>
          <w:sz w:val="13"/>
          <w:szCs w:val="13"/>
          <w:color w:val="008000"/>
        </w:rPr>
      </w:pPr>
    </w:p>
    <w:p>
      <w:pPr>
        <w:ind w:left="40" w:right="22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$42.27 to $42.50, inclusive. The Reporting Person undertakes to provide to the SEC, GM and any security holder, upon request, full information regarding the number of shares sold at each price point within the ranges set forth in this footnote.</w:t>
      </w:r>
    </w:p>
    <w:p>
      <w:pPr>
        <w:spacing w:after="0" w:line="1" w:lineRule="exact"/>
        <w:rPr>
          <w:rFonts w:ascii="Arial" w:cs="Arial" w:eastAsia="Arial" w:hAnsi="Arial"/>
          <w:sz w:val="12"/>
          <w:szCs w:val="12"/>
          <w:color w:val="008000"/>
        </w:rPr>
      </w:pPr>
    </w:p>
    <w:p>
      <w:pPr>
        <w:ind w:left="40" w:right="3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were granted on July 28, 2015, under the Company's 2014 Long-Term Incentive Plan. Forty percent of the options became exercisable on February 15, 2017; the remaining 60% became exercisable in three equal installments on February 15, 2018, February 15, 2019, and February 15, 2020.</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Tia Y. Turk, Attorney-in-</w:t>
            </w:r>
          </w:p>
        </w:tc>
        <w:tc>
          <w:tcPr>
            <w:tcW w:w="3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12/16/2020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 for Mr. Johnson</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2226"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2020-12-15T16:32:05Z</dcterms:created>
  <dcterms:modified xsi:type="dcterms:W3CDTF">2020-12-15T16:32:05Z</dcterms:modified>
</cp:coreProperties>
</file>