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130810</wp:posOffset>
            </wp:positionH>
            <wp:positionV relativeFrom="page">
              <wp:posOffset>418465</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20549-1004</w:t>
      </w:r>
    </w:p>
    <w:p>
      <w:pPr>
        <w:spacing w:after="0" w:line="11"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50" w:lineRule="exact"/>
        <w:rPr>
          <w:sz w:val="24"/>
          <w:szCs w:val="24"/>
          <w:color w:val="auto"/>
        </w:rPr>
      </w:pPr>
    </w:p>
    <w:p>
      <w:pPr>
        <w:jc w:val="center"/>
        <w:ind w:right="-259"/>
        <w:spacing w:after="0"/>
        <w:rPr>
          <w:sz w:val="20"/>
          <w:szCs w:val="20"/>
          <w:color w:val="auto"/>
        </w:rPr>
      </w:pPr>
      <w:r>
        <w:rPr>
          <w:rFonts w:ascii="Arial" w:cs="Arial" w:eastAsia="Arial" w:hAnsi="Arial"/>
          <w:sz w:val="26"/>
          <w:szCs w:val="26"/>
          <w:b w:val="1"/>
          <w:bCs w:val="1"/>
          <w:color w:val="auto"/>
        </w:rPr>
        <w:t>FORM 8-K</w:t>
      </w:r>
    </w:p>
    <w:p>
      <w:pPr>
        <w:spacing w:after="0" w:line="34"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5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October 29, 2019</w:t>
      </w:r>
    </w:p>
    <w:p>
      <w:pPr>
        <w:spacing w:after="0" w:line="25"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___________________</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220"/>
          </w:cols>
          <w:pgMar w:left="220" w:top="941" w:right="459" w:bottom="1440" w:gutter="0" w:footer="0" w:header="0"/>
        </w:sectPr>
      </w:pPr>
    </w:p>
    <w:p>
      <w:pPr>
        <w:spacing w:after="0" w:line="125"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70" w:lineRule="exact"/>
        <w:rPr>
          <w:sz w:val="24"/>
          <w:szCs w:val="24"/>
          <w:color w:val="auto"/>
        </w:rPr>
      </w:pPr>
    </w:p>
    <w:p>
      <w:pPr>
        <w:sectPr>
          <w:pgSz w:w="11900" w:h="16838" w:orient="portrait"/>
          <w:cols w:equalWidth="0" w:num="3">
            <w:col w:w="4940" w:space="720"/>
            <w:col w:w="2840" w:space="720"/>
            <w:col w:w="2000"/>
          </w:cols>
          <w:pgMar w:left="220" w:top="941" w:right="4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0" w:lineRule="exact"/>
        <w:rPr>
          <w:sz w:val="24"/>
          <w:szCs w:val="24"/>
          <w:color w:val="auto"/>
        </w:rPr>
      </w:pPr>
    </w:p>
    <w:p>
      <w:pPr>
        <w:sectPr>
          <w:pgSz w:w="11900" w:h="16838" w:orient="portrait"/>
          <w:cols w:equalWidth="0" w:num="3">
            <w:col w:w="4460" w:space="720"/>
            <w:col w:w="2640" w:space="720"/>
            <w:col w:w="2680"/>
          </w:cols>
          <w:pgMar w:left="220" w:top="941" w:right="4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48265 -3000</w:t>
      </w:r>
    </w:p>
    <w:p>
      <w:pPr>
        <w:spacing w:after="0" w:line="70" w:lineRule="exact"/>
        <w:rPr>
          <w:sz w:val="24"/>
          <w:szCs w:val="24"/>
          <w:color w:val="auto"/>
        </w:rPr>
      </w:pPr>
    </w:p>
    <w:p>
      <w:pPr>
        <w:sectPr>
          <w:pgSz w:w="11900" w:h="16838" w:orient="portrait"/>
          <w:cols w:equalWidth="0" w:num="4">
            <w:col w:w="3100" w:space="240"/>
            <w:col w:w="480" w:space="240"/>
            <w:col w:w="3880" w:space="720"/>
            <w:col w:w="2560"/>
          </w:cols>
          <w:pgMar w:left="220" w:top="941" w:right="459" w:bottom="1440" w:gutter="0" w:footer="0" w:header="0"/>
          <w:type w:val="continuous"/>
        </w:sectPr>
      </w:pPr>
    </w:p>
    <w:p>
      <w:pPr>
        <w:ind w:left="22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8000" w:space="720"/>
            <w:col w:w="2500"/>
          </w:cols>
          <w:pgMar w:left="220" w:top="941" w:right="459" w:bottom="1440" w:gutter="0" w:footer="0" w:header="0"/>
          <w:type w:val="continuous"/>
        </w:sectPr>
      </w:pP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(313) 667-1500</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(Registrant's telephone number, including area code)</w:t>
      </w:r>
    </w:p>
    <w:p>
      <w:pPr>
        <w:spacing w:after="0" w:line="17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Not Applicable</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1" w:lineRule="exact"/>
        <w:rPr>
          <w:sz w:val="24"/>
          <w:szCs w:val="24"/>
          <w:color w:val="auto"/>
        </w:rPr>
      </w:pPr>
    </w:p>
    <w:p>
      <w:pPr>
        <w:ind w:left="4960"/>
        <w:spacing w:after="0"/>
        <w:rPr>
          <w:sz w:val="20"/>
          <w:szCs w:val="20"/>
          <w:color w:val="auto"/>
        </w:rPr>
      </w:pPr>
      <w:r>
        <w:rPr>
          <w:rFonts w:ascii="Arial" w:cs="Arial" w:eastAsia="Arial" w:hAnsi="Arial"/>
          <w:sz w:val="17"/>
          <w:szCs w:val="17"/>
          <w:color w:val="auto"/>
        </w:rPr>
        <w:t>__________________</w:t>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63"/>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20" w:type="dxa"/>
            <w:vAlign w:val="bottom"/>
            <w:gridSpan w:val="3"/>
          </w:tcPr>
          <w:p>
            <w:pPr>
              <w:jc w:val="center"/>
              <w:ind w:left="95"/>
              <w:spacing w:after="0"/>
              <w:rPr>
                <w:sz w:val="20"/>
                <w:szCs w:val="20"/>
                <w:color w:val="auto"/>
              </w:rPr>
            </w:pPr>
            <w:r>
              <w:rPr>
                <w:rFonts w:ascii="Arial" w:cs="Arial" w:eastAsia="Arial" w:hAnsi="Arial"/>
                <w:sz w:val="13"/>
                <w:szCs w:val="13"/>
                <w:color w:val="auto"/>
                <w:w w:val="90"/>
              </w:rPr>
              <w:t>Securities registered pursuant to Section 12(b) of the Act:</w:t>
            </w:r>
          </w:p>
        </w:tc>
        <w:tc>
          <w:tcPr>
            <w:tcW w:w="3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53"/>
        </w:trPr>
        <w:tc>
          <w:tcPr>
            <w:tcW w:w="360" w:type="dxa"/>
            <w:vAlign w:val="bottom"/>
          </w:tcPr>
          <w:p>
            <w:pPr>
              <w:spacing w:after="0"/>
              <w:rPr>
                <w:sz w:val="21"/>
                <w:szCs w:val="21"/>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3"/>
                <w:szCs w:val="13"/>
                <w:color w:val="auto"/>
                <w:w w:val="90"/>
              </w:rPr>
              <w:t>Title of each class</w:t>
            </w:r>
          </w:p>
        </w:tc>
        <w:tc>
          <w:tcPr>
            <w:tcW w:w="3820" w:type="dxa"/>
            <w:vAlign w:val="bottom"/>
            <w:gridSpan w:val="3"/>
          </w:tcPr>
          <w:p>
            <w:pPr>
              <w:jc w:val="center"/>
              <w:ind w:left="115"/>
              <w:spacing w:after="0"/>
              <w:rPr>
                <w:sz w:val="20"/>
                <w:szCs w:val="20"/>
                <w:color w:val="auto"/>
              </w:rPr>
            </w:pPr>
            <w:r>
              <w:rPr>
                <w:rFonts w:ascii="Arial" w:cs="Arial" w:eastAsia="Arial" w:hAnsi="Arial"/>
                <w:sz w:val="13"/>
                <w:szCs w:val="13"/>
                <w:color w:val="auto"/>
                <w:w w:val="90"/>
              </w:rPr>
              <w:t>Trading Symbol(s)</w:t>
            </w:r>
          </w:p>
        </w:tc>
        <w:tc>
          <w:tcPr>
            <w:tcW w:w="2640" w:type="dxa"/>
            <w:vAlign w:val="bottom"/>
            <w:gridSpan w:val="2"/>
          </w:tcPr>
          <w:p>
            <w:pPr>
              <w:jc w:val="center"/>
              <w:ind w:left="295"/>
              <w:spacing w:after="0"/>
              <w:rPr>
                <w:sz w:val="20"/>
                <w:szCs w:val="20"/>
                <w:color w:val="auto"/>
              </w:rPr>
            </w:pPr>
            <w:r>
              <w:rPr>
                <w:rFonts w:ascii="Arial" w:cs="Arial" w:eastAsia="Arial" w:hAnsi="Arial"/>
                <w:sz w:val="13"/>
                <w:szCs w:val="13"/>
                <w:color w:val="auto"/>
                <w:w w:val="8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12"/>
        </w:trPr>
        <w:tc>
          <w:tcPr>
            <w:tcW w:w="2160" w:type="dxa"/>
            <w:vAlign w:val="bottom"/>
            <w:gridSpan w:val="3"/>
          </w:tcPr>
          <w:p>
            <w:pPr>
              <w:jc w:val="center"/>
              <w:ind w:right="480"/>
              <w:spacing w:after="0"/>
              <w:rPr>
                <w:sz w:val="20"/>
                <w:szCs w:val="20"/>
                <w:color w:val="auto"/>
              </w:rPr>
            </w:pPr>
            <w:r>
              <w:rPr>
                <w:rFonts w:ascii="Arial" w:cs="Arial" w:eastAsia="Arial" w:hAnsi="Arial"/>
                <w:sz w:val="13"/>
                <w:szCs w:val="13"/>
                <w:color w:val="auto"/>
                <w:w w:val="90"/>
              </w:rPr>
              <w:t>Common Stock, $0.01 par value</w:t>
            </w:r>
          </w:p>
        </w:tc>
        <w:tc>
          <w:tcPr>
            <w:tcW w:w="1520" w:type="dxa"/>
            <w:vAlign w:val="bottom"/>
          </w:tcPr>
          <w:p>
            <w:pPr>
              <w:spacing w:after="0"/>
              <w:rPr>
                <w:sz w:val="18"/>
                <w:szCs w:val="18"/>
                <w:color w:val="auto"/>
              </w:rPr>
            </w:pPr>
          </w:p>
        </w:tc>
        <w:tc>
          <w:tcPr>
            <w:tcW w:w="2300" w:type="dxa"/>
            <w:vAlign w:val="bottom"/>
            <w:gridSpan w:val="2"/>
          </w:tcPr>
          <w:p>
            <w:pPr>
              <w:jc w:val="center"/>
              <w:ind w:right="1340"/>
              <w:spacing w:after="0"/>
              <w:rPr>
                <w:sz w:val="20"/>
                <w:szCs w:val="20"/>
                <w:color w:val="auto"/>
              </w:rPr>
            </w:pPr>
            <w:r>
              <w:rPr>
                <w:rFonts w:ascii="Arial" w:cs="Arial" w:eastAsia="Arial" w:hAnsi="Arial"/>
                <w:sz w:val="13"/>
                <w:szCs w:val="13"/>
                <w:color w:val="auto"/>
                <w:w w:val="95"/>
              </w:rPr>
              <w:t>GM</w:t>
            </w:r>
          </w:p>
        </w:tc>
        <w:tc>
          <w:tcPr>
            <w:tcW w:w="3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3"/>
                <w:szCs w:val="13"/>
                <w:color w:val="auto"/>
                <w:w w:val="90"/>
              </w:rPr>
              <w:t>New York Stock Exchange</w:t>
            </w:r>
          </w:p>
        </w:tc>
      </w:tr>
    </w:tbl>
    <w:p>
      <w:pPr>
        <w:spacing w:after="0" w:line="236" w:lineRule="exact"/>
        <w:rPr>
          <w:sz w:val="24"/>
          <w:szCs w:val="24"/>
          <w:color w:val="auto"/>
        </w:rPr>
      </w:pPr>
    </w:p>
    <w:p>
      <w:pPr>
        <w:ind w:right="520"/>
        <w:spacing w:after="0" w:line="164"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7"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72999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20"/>
          </w:cols>
          <w:pgMar w:left="220" w:top="941"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188" w:lineRule="exact"/>
        <w:rPr>
          <w:sz w:val="20"/>
          <w:szCs w:val="20"/>
          <w:color w:val="auto"/>
        </w:rPr>
      </w:pPr>
    </w:p>
    <w:p>
      <w:pPr>
        <w:ind w:firstLine="129"/>
        <w:spacing w:after="0" w:line="288" w:lineRule="auto"/>
        <w:rPr>
          <w:sz w:val="20"/>
          <w:szCs w:val="20"/>
          <w:color w:val="auto"/>
        </w:rPr>
      </w:pPr>
      <w:r>
        <w:rPr>
          <w:rFonts w:ascii="Arial" w:cs="Arial" w:eastAsia="Arial" w:hAnsi="Arial"/>
          <w:sz w:val="14"/>
          <w:szCs w:val="14"/>
          <w:color w:val="auto"/>
        </w:rPr>
        <w:t>On October 29, 2019 General Motors Company (GM) issued a news release and supplemental materials on the subject of its 2019 third quarter earnings. The news release and supplemental materials are attached as Exhibit 99.1 and Exhibit 99.2.</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2019 third quarter earnings release are available on GM's website at www.gm.com/investors/earnings-releases.html.</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r>
      <w:tr>
        <w:trPr>
          <w:trHeight w:val="454"/>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244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620" w:type="dxa"/>
            <w:vAlign w:val="bottom"/>
            <w:tcBorders>
              <w:top w:val="single" w:sz="8" w:color="auto"/>
            </w:tcBorders>
            <w:gridSpan w:val="2"/>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454"/>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2220" w:type="dxa"/>
            <w:vAlign w:val="bottom"/>
            <w:tcBorders>
              <w:bottom w:val="single" w:sz="8" w:color="0000FF"/>
            </w:tcBorders>
            <w:gridSpan w:val="2"/>
          </w:tcPr>
          <w:p>
            <w:pPr>
              <w:spacing w:after="0"/>
              <w:rPr>
                <w:rFonts w:ascii="Arial" w:cs="Arial" w:eastAsia="Arial" w:hAnsi="Arial"/>
                <w:sz w:val="14"/>
                <w:szCs w:val="14"/>
                <w:color w:val="0000FF"/>
                <w:w w:val="90"/>
              </w:rPr>
            </w:pPr>
            <w:hyperlink w:anchor="page4">
              <w:r>
                <w:rPr>
                  <w:rFonts w:ascii="Arial" w:cs="Arial" w:eastAsia="Arial" w:hAnsi="Arial"/>
                  <w:sz w:val="14"/>
                  <w:szCs w:val="14"/>
                  <w:color w:val="0000FF"/>
                  <w:w w:val="90"/>
                </w:rPr>
                <w:t>News Release Dated October 29, 2019</w:t>
              </w:r>
            </w:hyperlink>
          </w:p>
        </w:tc>
        <w:tc>
          <w:tcPr>
            <w:tcW w:w="2380" w:type="dxa"/>
            <w:vAlign w:val="bottom"/>
            <w:gridSpan w:val="4"/>
          </w:tcPr>
          <w:p>
            <w:pPr>
              <w:spacing w:after="0"/>
              <w:rPr>
                <w:sz w:val="24"/>
                <w:szCs w:val="24"/>
                <w:color w:val="auto"/>
              </w:rPr>
            </w:pPr>
          </w:p>
        </w:tc>
      </w:tr>
      <w:tr>
        <w:trPr>
          <w:trHeight w:val="196"/>
        </w:trPr>
        <w:tc>
          <w:tcPr>
            <w:tcW w:w="288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4600" w:type="dxa"/>
            <w:vAlign w:val="bottom"/>
            <w:gridSpan w:val="6"/>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Financial Highlights Dated October 29, 2019</w:t>
              </w:r>
            </w:hyperlink>
          </w:p>
        </w:tc>
      </w:tr>
      <w:tr>
        <w:trPr>
          <w:trHeight w:val="20"/>
        </w:trPr>
        <w:tc>
          <w:tcPr>
            <w:tcW w:w="2880" w:type="dxa"/>
            <w:vAlign w:val="bottom"/>
            <w:gridSpan w:val="2"/>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4600" w:type="dxa"/>
            <w:vAlign w:val="bottom"/>
            <w:gridSpan w:val="6"/>
          </w:tcPr>
          <w:p>
            <w:pPr>
              <w:spacing w:after="0"/>
              <w:rPr>
                <w:sz w:val="20"/>
                <w:szCs w:val="20"/>
                <w:color w:val="auto"/>
              </w:rPr>
            </w:pPr>
            <w:r>
              <w:rPr>
                <w:rFonts w:ascii="Arial" w:cs="Arial" w:eastAsia="Arial" w:hAnsi="Arial"/>
                <w:sz w:val="14"/>
                <w:szCs w:val="14"/>
                <w:color w:val="auto"/>
                <w:w w:val="93"/>
              </w:rPr>
              <w:t>Cover Page Interactive Data File (embedded within the Inline XBRL document)</w:t>
            </w:r>
          </w:p>
        </w:tc>
      </w:tr>
    </w:tbl>
    <w:p>
      <w:pPr>
        <w:sectPr>
          <w:pgSz w:w="11900" w:h="16838" w:orient="portrait"/>
          <w:cols w:equalWidth="0" w:num="1">
            <w:col w:w="11460"/>
          </w:cols>
          <w:pgMar w:left="220" w:top="491"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8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c>
          <w:tcPr>
            <w:tcW w:w="0" w:type="dxa"/>
            <w:vAlign w:val="bottom"/>
          </w:tcPr>
          <w:p>
            <w:pPr>
              <w:spacing w:after="0"/>
              <w:rPr>
                <w:sz w:val="1"/>
                <w:szCs w:val="1"/>
                <w:color w:val="auto"/>
              </w:rPr>
            </w:pPr>
          </w:p>
        </w:tc>
      </w:tr>
      <w:tr>
        <w:trPr>
          <w:trHeight w:val="560"/>
        </w:trPr>
        <w:tc>
          <w:tcPr>
            <w:tcW w:w="6180" w:type="dxa"/>
            <w:vAlign w:val="bottom"/>
          </w:tcPr>
          <w:p>
            <w:pPr>
              <w:ind w:left="5520"/>
              <w:spacing w:after="0"/>
              <w:rPr>
                <w:sz w:val="20"/>
                <w:szCs w:val="20"/>
                <w:color w:val="auto"/>
              </w:rPr>
            </w:pPr>
            <w:r>
              <w:rPr>
                <w:rFonts w:ascii="Arial" w:cs="Arial" w:eastAsia="Arial" w:hAnsi="Arial"/>
                <w:sz w:val="14"/>
                <w:szCs w:val="14"/>
                <w:color w:val="auto"/>
              </w:rPr>
              <w:t>By:</w:t>
            </w:r>
          </w:p>
        </w:tc>
        <w:tc>
          <w:tcPr>
            <w:tcW w:w="5260" w:type="dxa"/>
            <w:vAlign w:val="bottom"/>
          </w:tcPr>
          <w:p>
            <w:pPr>
              <w:ind w:left="20"/>
              <w:spacing w:after="0"/>
              <w:rPr>
                <w:sz w:val="20"/>
                <w:szCs w:val="20"/>
                <w:color w:val="auto"/>
              </w:rPr>
            </w:pPr>
            <w:r>
              <w:rPr>
                <w:rFonts w:ascii="Arial" w:cs="Arial" w:eastAsia="Arial" w:hAnsi="Arial"/>
                <w:sz w:val="14"/>
                <w:szCs w:val="14"/>
                <w:color w:val="auto"/>
              </w:rPr>
              <w:t>/s/ CHRISTOPHER T. HATTO</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Arial" w:cs="Arial" w:eastAsia="Arial" w:hAnsi="Arial"/>
                <w:sz w:val="14"/>
                <w:szCs w:val="14"/>
                <w:color w:val="auto"/>
              </w:rPr>
              <w:t>Date: October 29, 2019</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80" w:type="dxa"/>
            <w:vAlign w:val="bottom"/>
            <w:vMerge w:val="continue"/>
          </w:tcPr>
          <w:p>
            <w:pPr>
              <w:spacing w:after="0"/>
              <w:rPr>
                <w:sz w:val="15"/>
                <w:szCs w:val="15"/>
                <w:color w:val="auto"/>
              </w:rPr>
            </w:pPr>
          </w:p>
        </w:tc>
        <w:tc>
          <w:tcPr>
            <w:tcW w:w="5260" w:type="dxa"/>
            <w:vAlign w:val="bottom"/>
          </w:tcPr>
          <w:p>
            <w:pPr>
              <w:ind w:left="20"/>
              <w:spacing w:after="0"/>
              <w:rPr>
                <w:sz w:val="20"/>
                <w:szCs w:val="20"/>
                <w:color w:val="auto"/>
              </w:rPr>
            </w:pPr>
            <w:r>
              <w:rPr>
                <w:rFonts w:ascii="Arial" w:cs="Arial" w:eastAsia="Arial" w:hAnsi="Arial"/>
                <w:sz w:val="14"/>
                <w:szCs w:val="14"/>
                <w:color w:val="auto"/>
              </w:rPr>
              <w:t>Christopher T. Hatto, 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664"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jc w:val="both"/>
        <w:ind w:firstLine="129"/>
        <w:spacing w:after="0" w:line="244" w:lineRule="auto"/>
        <w:rPr>
          <w:sz w:val="20"/>
          <w:szCs w:val="20"/>
          <w:color w:val="auto"/>
        </w:rPr>
      </w:pPr>
      <w:r>
        <w:rPr>
          <w:rFonts w:ascii="Arial" w:cs="Arial" w:eastAsia="Arial" w:hAnsi="Arial"/>
          <w:sz w:val="13"/>
          <w:szCs w:val="13"/>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45" w:lineRule="exact"/>
        <w:rPr>
          <w:sz w:val="20"/>
          <w:szCs w:val="20"/>
          <w:color w:val="auto"/>
        </w:rPr>
      </w:pPr>
    </w:p>
    <w:p>
      <w:pPr>
        <w:jc w:val="both"/>
        <w:ind w:firstLine="129"/>
        <w:spacing w:after="0" w:line="243"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32" w:lineRule="exact"/>
        <w:rPr>
          <w:sz w:val="20"/>
          <w:szCs w:val="20"/>
          <w:color w:val="auto"/>
        </w:rPr>
      </w:pPr>
    </w:p>
    <w:p>
      <w:pPr>
        <w:jc w:val="both"/>
        <w:ind w:firstLine="129"/>
        <w:spacing w:after="0" w:line="249"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26"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35" w:lineRule="exact"/>
        <w:rPr>
          <w:sz w:val="20"/>
          <w:szCs w:val="20"/>
          <w:color w:val="auto"/>
        </w:rPr>
      </w:pPr>
    </w:p>
    <w:p>
      <w:pPr>
        <w:jc w:val="both"/>
        <w:ind w:firstLine="129"/>
        <w:spacing w:after="0" w:line="288"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12" w:lineRule="exact"/>
        <w:rPr>
          <w:sz w:val="20"/>
          <w:szCs w:val="20"/>
          <w:color w:val="auto"/>
        </w:rPr>
      </w:pPr>
    </w:p>
    <w:p>
      <w:pPr>
        <w:jc w:val="both"/>
        <w:ind w:firstLine="129"/>
        <w:spacing w:after="0" w:line="259"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20" w:lineRule="exact"/>
        <w:rPr>
          <w:sz w:val="20"/>
          <w:szCs w:val="20"/>
          <w:color w:val="auto"/>
        </w:rPr>
      </w:pPr>
    </w:p>
    <w:p>
      <w:pPr>
        <w:jc w:val="both"/>
        <w:ind w:firstLine="129"/>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118"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attributable to stockholders under U.S. GAAP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2019</w:t>
            </w: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2019</w:t>
            </w:r>
          </w:p>
        </w:tc>
        <w:tc>
          <w:tcPr>
            <w:tcW w:w="180" w:type="dxa"/>
            <w:vAlign w:val="bottom"/>
          </w:tcPr>
          <w:p>
            <w:pPr>
              <w:spacing w:after="0"/>
              <w:rPr>
                <w:sz w:val="17"/>
                <w:szCs w:val="17"/>
                <w:color w:val="auto"/>
              </w:rPr>
            </w:pPr>
          </w:p>
        </w:tc>
        <w:tc>
          <w:tcPr>
            <w:tcW w:w="1280" w:type="dxa"/>
            <w:vAlign w:val="bottom"/>
          </w:tcPr>
          <w:p>
            <w:pPr>
              <w:jc w:val="right"/>
              <w:ind w:right="196"/>
              <w:spacing w:after="0"/>
              <w:rPr>
                <w:sz w:val="20"/>
                <w:szCs w:val="20"/>
                <w:color w:val="auto"/>
              </w:rPr>
            </w:pPr>
            <w:r>
              <w:rPr>
                <w:rFonts w:ascii="Arial" w:cs="Arial" w:eastAsia="Arial" w:hAnsi="Arial"/>
                <w:sz w:val="10"/>
                <w:szCs w:val="10"/>
                <w:b w:val="1"/>
                <w:bCs w:val="1"/>
                <w:color w:val="auto"/>
              </w:rPr>
              <w:t>September 30, 2018</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North America (GMNA)</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7,728</w:t>
            </w:r>
          </w:p>
        </w:tc>
        <w:tc>
          <w:tcPr>
            <w:tcW w:w="0" w:type="dxa"/>
            <w:vAlign w:val="bottom"/>
          </w:tcPr>
          <w:p>
            <w:pPr>
              <w:spacing w:after="0"/>
              <w:rPr>
                <w:sz w:val="1"/>
                <w:szCs w:val="1"/>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GM International (GMI)</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Cruise</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Financial(a)</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9,142</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8,955</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Transformation activities(c)</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GM Brazil indirect tax recoveries(d)</w:t>
            </w:r>
          </w:p>
        </w:tc>
        <w:tc>
          <w:tcPr>
            <w:tcW w:w="2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GMI restructuring(e)</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208"/>
        </w:trPr>
        <w:tc>
          <w:tcPr>
            <w:tcW w:w="5160" w:type="dxa"/>
            <w:vAlign w:val="bottom"/>
          </w:tcPr>
          <w:p>
            <w:pPr>
              <w:ind w:left="140"/>
              <w:spacing w:after="0"/>
              <w:rPr>
                <w:sz w:val="20"/>
                <w:szCs w:val="20"/>
                <w:color w:val="auto"/>
              </w:rPr>
            </w:pPr>
            <w:r>
              <w:rPr>
                <w:rFonts w:ascii="Arial" w:cs="Arial" w:eastAsia="Arial" w:hAnsi="Arial"/>
                <w:sz w:val="13"/>
                <w:szCs w:val="13"/>
                <w:color w:val="auto"/>
              </w:rPr>
              <w:t>Ignition switch recall and related legal matters(f)</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2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333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expense(g)</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operations(h)</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6,040</w:t>
            </w:r>
          </w:p>
        </w:tc>
        <w:tc>
          <w:tcPr>
            <w:tcW w:w="0" w:type="dxa"/>
            <w:vAlign w:val="bottom"/>
          </w:tcPr>
          <w:p>
            <w:pPr>
              <w:spacing w:after="0"/>
              <w:rPr>
                <w:sz w:val="1"/>
                <w:szCs w:val="1"/>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Loss from discontinued operations, net of tax(i)</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2,534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5,970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earnings before income taxes-adjusted.</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Maven, legacy costs from the Opel and Vauxhall businesses and certain other assets in Europe (the Opel/Vauxhall Business), which are primarily pension costs, corporate expenditures and certain nonsegment-specific revenues and expenses are recorded centrally in Corporate.</w:t>
      </w:r>
    </w:p>
    <w:p>
      <w:pPr>
        <w:jc w:val="both"/>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pension curtailment and other charges in the three months ended September 30, 2019 and accelerated depreciation, supplier-related charges and pension curtailment and other charges in the nine months ended September 30, 2019.</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employee separation charges and asset impairments in Korea.</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Income tax expense includes an adjustment of $157 million as a result of a tax change in the three and nine months ended September 30, 2018 related to U.S. tax reform.</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47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EBIT-adjusted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0"/>
                <w:szCs w:val="10"/>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206"/>
        </w:trPr>
        <w:tc>
          <w:tcPr>
            <w:tcW w:w="4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w w:val="98"/>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stockholders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(5,151)</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Loss from discontinued operations, net of tax</w:t>
            </w:r>
          </w:p>
        </w:tc>
        <w:tc>
          <w:tcPr>
            <w:tcW w:w="1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7,896</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Automotive interest expense</w:t>
            </w:r>
          </w:p>
        </w:tc>
        <w:tc>
          <w:tcPr>
            <w:tcW w:w="180" w:type="dxa"/>
            <w:vAlign w:val="bottom"/>
          </w:tcPr>
          <w:p>
            <w:pPr>
              <w:spacing w:after="0"/>
              <w:rPr>
                <w:sz w:val="16"/>
                <w:szCs w:val="16"/>
                <w:color w:val="auto"/>
              </w:rPr>
            </w:pP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Automotive interest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11"/>
        </w:trPr>
        <w:tc>
          <w:tcPr>
            <w:tcW w:w="4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Transformation activities(a)</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160"/>
              <w:spacing w:after="0"/>
              <w:rPr>
                <w:sz w:val="20"/>
                <w:szCs w:val="20"/>
                <w:color w:val="auto"/>
              </w:rPr>
            </w:pPr>
            <w:r>
              <w:rPr>
                <w:rFonts w:ascii="Arial" w:cs="Arial" w:eastAsia="Arial" w:hAnsi="Arial"/>
                <w:sz w:val="11"/>
                <w:szCs w:val="11"/>
                <w:color w:val="auto"/>
              </w:rPr>
              <w:t>GM Brazil indirect tax recoveries(b)</w:t>
            </w:r>
          </w:p>
        </w:tc>
        <w:tc>
          <w:tcPr>
            <w:tcW w:w="18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GMI restructuring(c)</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160"/>
              <w:spacing w:after="0"/>
              <w:rPr>
                <w:sz w:val="20"/>
                <w:szCs w:val="20"/>
                <w:color w:val="auto"/>
              </w:rPr>
            </w:pPr>
            <w:r>
              <w:rPr>
                <w:rFonts w:ascii="Arial" w:cs="Arial" w:eastAsia="Arial" w:hAnsi="Arial"/>
                <w:sz w:val="11"/>
                <w:szCs w:val="11"/>
                <w:color w:val="auto"/>
              </w:rPr>
              <w:t>Ignition switch recall and related legal matters(d)</w:t>
            </w:r>
          </w:p>
        </w:tc>
        <w:tc>
          <w:tcPr>
            <w:tcW w:w="1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adjustments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1,327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1"/>
                <w:szCs w:val="11"/>
                <w:color w:val="auto"/>
              </w:rPr>
              <w:t>EBIT-adjusted</w:t>
            </w: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2,966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3,153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3,012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3,192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2,310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2,610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2,828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3,085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260" w:hanging="254"/>
        <w:spacing w:after="0" w:line="245"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pension curtailment and other charges in the three months ended September 30, 2019, supplier-related charges and accelerated depreciation in the three months ended June 30, 2019, accelerated depreciation in the three months ended March 31, 2019 and employee separation charges and accelerated depreciation in the three months ended December 31, 2018.</w:t>
      </w: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and non-cash asset impairments in Korea.</w:t>
      </w: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Nine Months Ended</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September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0"/>
                <w:szCs w:val="10"/>
                <w:b w:val="1"/>
                <w:bCs w:val="1"/>
                <w:color w:val="auto"/>
              </w:rPr>
              <w:t>September 30, 2018</w:t>
            </w: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8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6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6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7"/>
                <w:szCs w:val="17"/>
                <w:color w:val="auto"/>
              </w:rPr>
            </w:pPr>
          </w:p>
        </w:tc>
        <w:tc>
          <w:tcPr>
            <w:tcW w:w="640" w:type="dxa"/>
            <w:vAlign w:val="bottom"/>
          </w:tcPr>
          <w:p>
            <w:pPr>
              <w:jc w:val="right"/>
              <w:ind w:right="138"/>
              <w:spacing w:after="0"/>
              <w:rPr>
                <w:sz w:val="20"/>
                <w:szCs w:val="20"/>
                <w:color w:val="auto"/>
              </w:rPr>
            </w:pPr>
            <w:r>
              <w:rPr>
                <w:rFonts w:ascii="Arial" w:cs="Arial" w:eastAsia="Arial" w:hAnsi="Arial"/>
                <w:sz w:val="9"/>
                <w:szCs w:val="9"/>
                <w:b w:val="1"/>
                <w:bCs w:val="1"/>
                <w:color w:val="auto"/>
                <w:w w:val="99"/>
              </w:rPr>
              <w:t>Per Share</w:t>
            </w:r>
          </w:p>
        </w:tc>
        <w:tc>
          <w:tcPr>
            <w:tcW w:w="0" w:type="dxa"/>
            <w:vAlign w:val="bottom"/>
          </w:tcPr>
          <w:p>
            <w:pPr>
              <w:spacing w:after="0"/>
              <w:rPr>
                <w:sz w:val="1"/>
                <w:szCs w:val="1"/>
                <w:color w:val="auto"/>
              </w:rPr>
            </w:pPr>
          </w:p>
        </w:tc>
      </w:tr>
      <w:tr>
        <w:trPr>
          <w:trHeight w:val="20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2,313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2,503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6,813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4.74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5,910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Diluted loss per common share – discontinued operations</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adjustment(c)</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88"/>
        </w:trPr>
        <w:tc>
          <w:tcPr>
            <w:tcW w:w="4260" w:type="dxa"/>
            <w:vAlign w:val="bottom"/>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2,487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2,677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6,860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7,312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a tax change related to U.S. tax reform in the three and nine months ended September 30, 2018.</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470"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0"/>
                <w:szCs w:val="10"/>
                <w:b w:val="1"/>
                <w:bCs w:val="1"/>
                <w:color w:val="auto"/>
              </w:rPr>
              <w:t>Nine Months Ended</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September 30, 2019</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0"/>
                <w:szCs w:val="10"/>
                <w:b w:val="1"/>
                <w:bCs w:val="1"/>
                <w:color w:val="auto"/>
              </w:rPr>
              <w:t>September 30, 2018</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September 30, 2019</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September 30, 2018</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960" w:type="dxa"/>
            <w:vAlign w:val="bottom"/>
          </w:tcPr>
          <w:p>
            <w:pPr>
              <w:spacing w:after="0"/>
              <w:rPr>
                <w:sz w:val="8"/>
                <w:szCs w:val="8"/>
                <w:color w:val="auto"/>
              </w:rPr>
            </w:pPr>
          </w:p>
        </w:tc>
        <w:tc>
          <w:tcPr>
            <w:tcW w:w="700" w:type="dxa"/>
            <w:vAlign w:val="bottom"/>
            <w:gridSpan w:val="2"/>
          </w:tcPr>
          <w:p>
            <w:pPr>
              <w:jc w:val="right"/>
              <w:ind w:right="3"/>
              <w:spacing w:after="0"/>
              <w:rPr>
                <w:sz w:val="20"/>
                <w:szCs w:val="20"/>
                <w:color w:val="auto"/>
              </w:rPr>
            </w:pPr>
            <w:r>
              <w:rPr>
                <w:rFonts w:ascii="Arial" w:cs="Arial" w:eastAsia="Arial" w:hAnsi="Arial"/>
                <w:sz w:val="9"/>
                <w:szCs w:val="9"/>
                <w:b w:val="1"/>
                <w:bCs w:val="1"/>
                <w:color w:val="auto"/>
              </w:rPr>
              <w:t>Income before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ind w:left="20"/>
              <w:spacing w:after="0"/>
              <w:rPr>
                <w:sz w:val="20"/>
                <w:szCs w:val="20"/>
                <w:color w:val="auto"/>
              </w:rPr>
            </w:pPr>
            <w:r>
              <w:rPr>
                <w:rFonts w:ascii="Arial" w:cs="Arial" w:eastAsia="Arial" w:hAnsi="Arial"/>
                <w:sz w:val="9"/>
                <w:szCs w:val="9"/>
                <w:b w:val="1"/>
                <w:bCs w:val="1"/>
                <w:color w:val="auto"/>
              </w:rPr>
              <w:t>Income tax</w:t>
            </w: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Effective tax</w:t>
            </w: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rPr>
              <w:t>Income before</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9"/>
                <w:szCs w:val="9"/>
                <w:b w:val="1"/>
                <w:bCs w:val="1"/>
                <w:color w:val="auto"/>
                <w:w w:val="97"/>
              </w:rPr>
              <w:t>Income tax</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Effective tax</w:t>
            </w: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rPr>
              <w:t>Income before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9"/>
                <w:szCs w:val="9"/>
                <w:b w:val="1"/>
                <w:bCs w:val="1"/>
                <w:color w:val="auto"/>
              </w:rPr>
              <w:t>Income tax</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Effective tax</w:t>
            </w: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rPr>
              <w:t>Income before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tcPr>
          <w:p>
            <w:pPr>
              <w:ind w:left="20"/>
              <w:spacing w:after="0"/>
              <w:rPr>
                <w:sz w:val="20"/>
                <w:szCs w:val="20"/>
                <w:color w:val="auto"/>
              </w:rPr>
            </w:pPr>
            <w:r>
              <w:rPr>
                <w:rFonts w:ascii="Arial" w:cs="Arial" w:eastAsia="Arial" w:hAnsi="Arial"/>
                <w:sz w:val="9"/>
                <w:szCs w:val="9"/>
                <w:b w:val="1"/>
                <w:bCs w:val="1"/>
                <w:color w:val="auto"/>
              </w:rPr>
              <w:t>Income tax</w:t>
            </w:r>
          </w:p>
        </w:tc>
        <w:tc>
          <w:tcPr>
            <w:tcW w:w="620" w:type="dxa"/>
            <w:vAlign w:val="bottom"/>
          </w:tcPr>
          <w:p>
            <w:pPr>
              <w:jc w:val="right"/>
              <w:ind w:right="50"/>
              <w:spacing w:after="0"/>
              <w:rPr>
                <w:sz w:val="20"/>
                <w:szCs w:val="20"/>
                <w:color w:val="auto"/>
              </w:rPr>
            </w:pPr>
            <w:r>
              <w:rPr>
                <w:rFonts w:ascii="Arial" w:cs="Arial" w:eastAsia="Arial" w:hAnsi="Arial"/>
                <w:sz w:val="9"/>
                <w:szCs w:val="9"/>
                <w:b w:val="1"/>
                <w:bCs w:val="1"/>
                <w:color w:val="auto"/>
                <w:w w:val="94"/>
              </w:rPr>
              <w:t>Effective tax</w:t>
            </w:r>
          </w:p>
        </w:tc>
        <w:tc>
          <w:tcPr>
            <w:tcW w:w="0" w:type="dxa"/>
            <w:vAlign w:val="bottom"/>
          </w:tcPr>
          <w:p>
            <w:pPr>
              <w:spacing w:after="0"/>
              <w:rPr>
                <w:sz w:val="1"/>
                <w:szCs w:val="1"/>
                <w:color w:val="auto"/>
              </w:rPr>
            </w:pPr>
          </w:p>
        </w:tc>
      </w:tr>
      <w:tr>
        <w:trPr>
          <w:trHeight w:val="123"/>
        </w:trPr>
        <w:tc>
          <w:tcPr>
            <w:tcW w:w="19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9"/>
                <w:szCs w:val="9"/>
                <w:b w:val="1"/>
                <w:bCs w:val="1"/>
                <w:color w:val="auto"/>
              </w:rPr>
              <w:t>income taxes</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7"/>
              <w:spacing w:after="0"/>
              <w:rPr>
                <w:sz w:val="20"/>
                <w:szCs w:val="20"/>
                <w:color w:val="auto"/>
              </w:rPr>
            </w:pPr>
            <w:r>
              <w:rPr>
                <w:rFonts w:ascii="Arial" w:cs="Arial" w:eastAsia="Arial" w:hAnsi="Arial"/>
                <w:sz w:val="9"/>
                <w:szCs w:val="9"/>
                <w:b w:val="1"/>
                <w:bCs w:val="1"/>
                <w:color w:val="auto"/>
              </w:rPr>
              <w:t>expense</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9"/>
                <w:szCs w:val="9"/>
                <w:b w:val="1"/>
                <w:bCs w:val="1"/>
                <w:color w:val="auto"/>
              </w:rPr>
              <w:t>rate</w:t>
            </w:r>
          </w:p>
        </w:tc>
        <w:tc>
          <w:tcPr>
            <w:tcW w:w="1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income taxes</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67"/>
              <w:spacing w:after="0"/>
              <w:rPr>
                <w:sz w:val="20"/>
                <w:szCs w:val="20"/>
                <w:color w:val="auto"/>
              </w:rPr>
            </w:pPr>
            <w:r>
              <w:rPr>
                <w:rFonts w:ascii="Arial" w:cs="Arial" w:eastAsia="Arial" w:hAnsi="Arial"/>
                <w:sz w:val="9"/>
                <w:szCs w:val="9"/>
                <w:b w:val="1"/>
                <w:bCs w:val="1"/>
                <w:color w:val="auto"/>
                <w:w w:val="94"/>
              </w:rPr>
              <w:t>expense</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rate</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income taxes</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9"/>
                <w:szCs w:val="9"/>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rate</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income taxes</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9"/>
                <w:szCs w:val="9"/>
                <w:b w:val="1"/>
                <w:bCs w:val="1"/>
                <w:color w:val="auto"/>
              </w:rPr>
              <w:t>expense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rate</w:t>
            </w: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271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2,630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7,791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932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7,091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1,085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211"/>
        </w:trPr>
        <w:tc>
          <w:tcPr>
            <w:tcW w:w="196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440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1,619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157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157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180" w:type="dxa"/>
            <w:vAlign w:val="bottom"/>
          </w:tcPr>
          <w:p>
            <w:pPr>
              <w:jc w:val="right"/>
              <w:ind w:right="50"/>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2,850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364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6"/>
                <w:szCs w:val="16"/>
                <w:color w:val="auto"/>
              </w:rPr>
            </w:pPr>
          </w:p>
        </w:tc>
        <w:tc>
          <w:tcPr>
            <w:tcW w:w="180" w:type="dxa"/>
            <w:vAlign w:val="bottom"/>
          </w:tcPr>
          <w:p>
            <w:pPr>
              <w:jc w:val="right"/>
              <w:ind w:right="5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3,070</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7,976</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1,066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8,710</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1,331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260" w:hanging="254"/>
        <w:spacing w:after="0" w:line="245" w:lineRule="auto"/>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 Net income attributable to noncontrolling interests included for these adjustments is insignificant in the three and nine months ended September 30, 2019 and $41 million in the nine months ended September 30, 2018. The tax effect of each adjustment is determined based on the tax laws and valuation allowance status of the jurisdiction to which the adjustment relates.</w:t>
      </w:r>
    </w:p>
    <w:p>
      <w:pPr>
        <w:ind w:left="260" w:hanging="254"/>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259" w:lineRule="exact"/>
        <w:rPr>
          <w:sz w:val="20"/>
          <w:szCs w:val="20"/>
          <w:color w:val="auto"/>
        </w:rPr>
      </w:pPr>
    </w:p>
    <w:p>
      <w:pPr>
        <w:ind w:firstLine="129"/>
        <w:spacing w:after="0" w:line="251"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80" w:type="dxa"/>
            <w:vAlign w:val="bottom"/>
          </w:tcPr>
          <w:p>
            <w:pPr>
              <w:spacing w:after="0"/>
              <w:rPr>
                <w:sz w:val="12"/>
                <w:szCs w:val="12"/>
                <w:color w:val="auto"/>
              </w:rPr>
            </w:pPr>
          </w:p>
        </w:tc>
        <w:tc>
          <w:tcPr>
            <w:tcW w:w="31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0"/>
                <w:szCs w:val="10"/>
                <w:b w:val="1"/>
                <w:bCs w:val="1"/>
                <w:color w:val="auto"/>
              </w:rPr>
              <w:t>Four Quarters Ended</w:t>
            </w:r>
          </w:p>
        </w:tc>
        <w:tc>
          <w:tcPr>
            <w:tcW w:w="400" w:type="dxa"/>
            <w:vAlign w:val="bottom"/>
            <w:tcBorders>
              <w:bottom w:val="single" w:sz="8" w:color="auto"/>
            </w:tcBorders>
          </w:tcPr>
          <w:p>
            <w:pPr>
              <w:spacing w:after="0"/>
              <w:rPr>
                <w:sz w:val="12"/>
                <w:szCs w:val="12"/>
                <w:color w:val="auto"/>
              </w:rPr>
            </w:pPr>
          </w:p>
        </w:tc>
      </w:tr>
      <w:tr>
        <w:trPr>
          <w:trHeight w:val="206"/>
        </w:trPr>
        <w:tc>
          <w:tcPr>
            <w:tcW w:w="78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2018</w:t>
            </w:r>
          </w:p>
        </w:tc>
        <w:tc>
          <w:tcPr>
            <w:tcW w:w="400" w:type="dxa"/>
            <w:vAlign w:val="bottom"/>
            <w:tcBorders>
              <w:bottom w:val="single" w:sz="8" w:color="auto"/>
            </w:tcBorders>
          </w:tcPr>
          <w:p>
            <w:pPr>
              <w:spacing w:after="0"/>
              <w:rPr>
                <w:sz w:val="17"/>
                <w:szCs w:val="17"/>
                <w:color w:val="auto"/>
              </w:rPr>
            </w:pP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340" w:type="dxa"/>
            <w:vAlign w:val="bottom"/>
            <w:shd w:val="clear" w:color="auto" w:fill="CCEEFF"/>
          </w:tcPr>
          <w:p>
            <w:pPr>
              <w:jc w:val="right"/>
              <w:ind w:right="118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0.8</w:t>
            </w:r>
          </w:p>
        </w:tc>
      </w:tr>
      <w:tr>
        <w:trPr>
          <w:trHeight w:val="208"/>
        </w:trPr>
        <w:tc>
          <w:tcPr>
            <w:tcW w:w="788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340" w:type="dxa"/>
            <w:vAlign w:val="bottom"/>
          </w:tcPr>
          <w:p>
            <w:pPr>
              <w:jc w:val="right"/>
              <w:ind w:right="1183"/>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75"/>
              <w:spacing w:after="0"/>
              <w:rPr>
                <w:sz w:val="20"/>
                <w:szCs w:val="20"/>
                <w:color w:val="auto"/>
              </w:rPr>
            </w:pPr>
            <w:r>
              <w:rPr>
                <w:rFonts w:ascii="Arial" w:cs="Arial" w:eastAsia="Arial" w:hAnsi="Arial"/>
                <w:sz w:val="13"/>
                <w:szCs w:val="13"/>
                <w:color w:val="auto"/>
                <w:w w:val="94"/>
              </w:rPr>
              <w:t>42.8</w:t>
            </w:r>
          </w:p>
        </w:tc>
        <w:tc>
          <w:tcPr>
            <w:tcW w:w="100" w:type="dxa"/>
            <w:vAlign w:val="bottom"/>
          </w:tcPr>
          <w:p>
            <w:pPr>
              <w:spacing w:after="0"/>
              <w:rPr>
                <w:sz w:val="18"/>
                <w:szCs w:val="18"/>
                <w:color w:val="auto"/>
              </w:rPr>
            </w:pPr>
          </w:p>
        </w:tc>
        <w:tc>
          <w:tcPr>
            <w:tcW w:w="1340" w:type="dxa"/>
            <w:vAlign w:val="bottom"/>
          </w:tcPr>
          <w:p>
            <w:pPr>
              <w:jc w:val="right"/>
              <w:ind w:right="118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75"/>
              <w:spacing w:after="0"/>
              <w:rPr>
                <w:sz w:val="20"/>
                <w:szCs w:val="20"/>
                <w:color w:val="auto"/>
              </w:rPr>
            </w:pPr>
            <w:r>
              <w:rPr>
                <w:rFonts w:ascii="Arial" w:cs="Arial" w:eastAsia="Arial" w:hAnsi="Arial"/>
                <w:sz w:val="13"/>
                <w:szCs w:val="13"/>
                <w:color w:val="auto"/>
                <w:w w:val="94"/>
              </w:rPr>
              <w:t>36.3</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33"/>
        </w:trPr>
        <w:tc>
          <w:tcPr>
            <w:tcW w:w="7880" w:type="dxa"/>
            <w:vAlign w:val="bottom"/>
          </w:tcPr>
          <w:p>
            <w:pPr>
              <w:jc w:val="right"/>
              <w:ind w:right="7297"/>
              <w:spacing w:after="0"/>
              <w:rPr>
                <w:sz w:val="20"/>
                <w:szCs w:val="20"/>
                <w:color w:val="auto"/>
              </w:rPr>
            </w:pPr>
            <w:r>
              <w:rPr>
                <w:rFonts w:ascii="Arial" w:cs="Arial" w:eastAsia="Arial" w:hAnsi="Arial"/>
                <w:sz w:val="11"/>
                <w:szCs w:val="11"/>
                <w:color w:val="auto"/>
              </w:rPr>
              <w:t>________</w:t>
            </w: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r>
    </w:tbl>
    <w:p>
      <w:pPr>
        <w:ind w:left="260" w:hanging="254"/>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4"/>
          </w:tcPr>
          <w:p>
            <w:pPr>
              <w:jc w:val="right"/>
              <w:ind w:right="1217"/>
              <w:spacing w:after="0"/>
              <w:rPr>
                <w:sz w:val="20"/>
                <w:szCs w:val="20"/>
                <w:color w:val="auto"/>
              </w:rPr>
            </w:pPr>
            <w:r>
              <w:rPr>
                <w:rFonts w:ascii="Arial" w:cs="Arial" w:eastAsia="Arial" w:hAnsi="Arial"/>
                <w:sz w:val="10"/>
                <w:szCs w:val="10"/>
                <w:b w:val="1"/>
                <w:bCs w:val="1"/>
                <w:color w:val="auto"/>
              </w:rPr>
              <w:t>Four Quarters Ended</w:t>
            </w:r>
          </w:p>
        </w:tc>
      </w:tr>
      <w:tr>
        <w:trPr>
          <w:trHeight w:val="206"/>
        </w:trPr>
        <w:tc>
          <w:tcPr>
            <w:tcW w:w="7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2019</w:t>
            </w:r>
          </w:p>
        </w:tc>
        <w:tc>
          <w:tcPr>
            <w:tcW w:w="260" w:type="dxa"/>
            <w:vAlign w:val="bottom"/>
          </w:tcPr>
          <w:p>
            <w:pPr>
              <w:spacing w:after="0"/>
              <w:rPr>
                <w:sz w:val="17"/>
                <w:szCs w:val="17"/>
                <w:color w:val="auto"/>
              </w:rPr>
            </w:pPr>
          </w:p>
        </w:tc>
        <w:tc>
          <w:tcPr>
            <w:tcW w:w="1480" w:type="dxa"/>
            <w:vAlign w:val="bottom"/>
          </w:tcPr>
          <w:p>
            <w:pPr>
              <w:jc w:val="right"/>
              <w:ind w:right="337"/>
              <w:spacing w:after="0"/>
              <w:rPr>
                <w:sz w:val="20"/>
                <w:szCs w:val="20"/>
                <w:color w:val="auto"/>
              </w:rPr>
            </w:pPr>
            <w:r>
              <w:rPr>
                <w:rFonts w:ascii="Arial" w:cs="Arial" w:eastAsia="Arial" w:hAnsi="Arial"/>
                <w:sz w:val="10"/>
                <w:szCs w:val="10"/>
                <w:b w:val="1"/>
                <w:bCs w:val="1"/>
                <w:color w:val="auto"/>
              </w:rPr>
              <w:t>September 30, 2018</w:t>
            </w:r>
          </w:p>
        </w:tc>
      </w:tr>
      <w:tr>
        <w:trPr>
          <w:trHeight w:val="191"/>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11.1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12.0</w:t>
            </w:r>
          </w:p>
        </w:tc>
      </w:tr>
      <w:tr>
        <w:trPr>
          <w:trHeight w:val="186"/>
        </w:trPr>
        <w:tc>
          <w:tcPr>
            <w:tcW w:w="788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79"/>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6"/>
                <w:szCs w:val="16"/>
                <w:color w:val="auto"/>
              </w:rPr>
            </w:pP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36.3</w:t>
            </w: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w:t>
            </w:r>
          </w:p>
        </w:tc>
      </w:tr>
      <w:tr>
        <w:trPr>
          <w:trHeight w:val="186"/>
        </w:trPr>
        <w:tc>
          <w:tcPr>
            <w:tcW w:w="788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24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19.1</w:t>
            </w:r>
          </w:p>
        </w:tc>
      </w:tr>
      <w:tr>
        <w:trPr>
          <w:trHeight w:val="194"/>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2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(22.5)</w:t>
            </w: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ROIC-adjusted average net assets</w:t>
            </w: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50.8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47.1</w:t>
            </w:r>
          </w:p>
        </w:tc>
      </w:tr>
      <w:tr>
        <w:trPr>
          <w:trHeight w:val="169"/>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r>
      <w:tr>
        <w:trPr>
          <w:trHeight w:val="133"/>
        </w:trPr>
        <w:tc>
          <w:tcPr>
            <w:tcW w:w="7880" w:type="dxa"/>
            <w:vAlign w:val="bottom"/>
          </w:tcPr>
          <w:p>
            <w:pPr>
              <w:spacing w:after="0"/>
              <w:rPr>
                <w:sz w:val="20"/>
                <w:szCs w:val="20"/>
                <w:color w:val="auto"/>
              </w:rPr>
            </w:pPr>
            <w:r>
              <w:rPr>
                <w:rFonts w:ascii="Arial" w:cs="Arial" w:eastAsia="Arial" w:hAnsi="Arial"/>
                <w:sz w:val="11"/>
                <w:szCs w:val="11"/>
                <w:color w:val="auto"/>
              </w:rPr>
              <w:t>________</w:t>
            </w: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EBIT-adjusted.</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470"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operating activities from continuing operations under U.S. GAAP to adjusted automotive free cash flow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0"/>
                <w:szCs w:val="10"/>
                <w:b w:val="1"/>
                <w:bCs w:val="1"/>
                <w:color w:val="auto"/>
              </w:rPr>
              <w:t>Nine Months Ended</w:t>
            </w:r>
          </w:p>
        </w:tc>
      </w:tr>
      <w:tr>
        <w:trPr>
          <w:trHeight w:val="20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2019</w:t>
            </w: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2019</w:t>
            </w:r>
          </w:p>
        </w:tc>
        <w:tc>
          <w:tcPr>
            <w:tcW w:w="18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0"/>
                <w:szCs w:val="10"/>
                <w:b w:val="1"/>
                <w:bCs w:val="1"/>
                <w:color w:val="auto"/>
              </w:rPr>
              <w:t>September 30, 2018</w:t>
            </w:r>
          </w:p>
        </w:tc>
      </w:tr>
      <w:tr>
        <w:trPr>
          <w:trHeight w:val="20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5,017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2,515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6,623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5,438</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(4,779)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(6,496)</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Transformation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86"/>
        </w:trPr>
        <w:tc>
          <w:tcPr>
            <w:tcW w:w="5160" w:type="dxa"/>
            <w:vAlign w:val="bottom"/>
          </w:tcPr>
          <w:p>
            <w:pPr>
              <w:ind w:left="20"/>
              <w:spacing w:after="0"/>
              <w:rPr>
                <w:sz w:val="20"/>
                <w:szCs w:val="20"/>
                <w:color w:val="auto"/>
              </w:rPr>
            </w:pPr>
            <w:r>
              <w:rPr>
                <w:rFonts w:ascii="Arial" w:cs="Arial" w:eastAsia="Arial" w:hAnsi="Arial"/>
                <w:sz w:val="13"/>
                <w:szCs w:val="13"/>
                <w:color w:val="auto"/>
              </w:rPr>
              <w:t>Add: GMI restructuring</w:t>
            </w:r>
          </w:p>
        </w:tc>
        <w:tc>
          <w:tcPr>
            <w:tcW w:w="2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748</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90"/>
        </w:trPr>
        <w:tc>
          <w:tcPr>
            <w:tcW w:w="516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3,764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2,422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Three Months Ended September 30,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35,473</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1,122</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229</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1,351</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1,376</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1,325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3,308</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(loss)(a)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315</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Three Months Ended September 30,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4,582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32,288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35,791</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1,943</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249</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2,191</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2,211</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1,251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1,904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3,305</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8</w:t>
            </w:r>
          </w:p>
        </w:tc>
      </w:tr>
      <w:tr>
        <w:trPr>
          <w:trHeight w:val="222"/>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530</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138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Nine Months Ended September 30, 2019</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83,660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95,503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10,918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106,411</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4,091</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4,779</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4,852</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4,803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5,218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5,579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10,813</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19</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(loss)(a)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1,000</w:t>
            </w:r>
          </w:p>
        </w:tc>
      </w:tr>
      <w:tr>
        <w:trPr>
          <w:trHeight w:val="365"/>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GM</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2"/>
        </w:trPr>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GMNA</w:t>
            </w:r>
          </w:p>
        </w:tc>
        <w:tc>
          <w:tcPr>
            <w:tcW w:w="200" w:type="dxa"/>
            <w:vAlign w:val="bottom"/>
          </w:tcPr>
          <w:p>
            <w:pPr>
              <w:spacing w:after="0"/>
              <w:rPr>
                <w:sz w:val="10"/>
                <w:szCs w:val="10"/>
                <w:color w:val="auto"/>
              </w:rPr>
            </w:pPr>
          </w:p>
        </w:tc>
        <w:tc>
          <w:tcPr>
            <w:tcW w:w="740" w:type="dxa"/>
            <w:vAlign w:val="bottom"/>
            <w:gridSpan w:val="2"/>
          </w:tcPr>
          <w:p>
            <w:pPr>
              <w:ind w:left="140"/>
              <w:spacing w:after="0"/>
              <w:rPr>
                <w:sz w:val="20"/>
                <w:szCs w:val="20"/>
                <w:color w:val="auto"/>
              </w:rPr>
            </w:pPr>
            <w:r>
              <w:rPr>
                <w:rFonts w:ascii="Arial" w:cs="Arial" w:eastAsia="Arial" w:hAnsi="Arial"/>
                <w:sz w:val="9"/>
                <w:szCs w:val="9"/>
                <w:b w:val="1"/>
                <w:bCs w:val="1"/>
                <w:color w:val="auto"/>
              </w:rPr>
              <w:t>GMI</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Corporate</w:t>
            </w:r>
          </w:p>
        </w:tc>
        <w:tc>
          <w:tcPr>
            <w:tcW w:w="14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Eliminations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Automotive</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140" w:type="dxa"/>
            <w:vAlign w:val="bottom"/>
          </w:tcPr>
          <w:p>
            <w:pPr>
              <w:spacing w:after="0"/>
              <w:rPr>
                <w:sz w:val="10"/>
                <w:szCs w:val="1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7"/>
              </w:rPr>
              <w:t>Financial</w:t>
            </w:r>
          </w:p>
        </w:tc>
        <w:tc>
          <w:tcPr>
            <w:tcW w:w="220" w:type="dxa"/>
            <w:vAlign w:val="bottom"/>
          </w:tcPr>
          <w:p>
            <w:pPr>
              <w:spacing w:after="0"/>
              <w:rPr>
                <w:sz w:val="10"/>
                <w:szCs w:val="10"/>
                <w:color w:val="auto"/>
              </w:rPr>
            </w:pPr>
          </w:p>
        </w:tc>
        <w:tc>
          <w:tcPr>
            <w:tcW w:w="1160" w:type="dxa"/>
            <w:vAlign w:val="bottom"/>
            <w:gridSpan w:val="2"/>
          </w:tcPr>
          <w:p>
            <w:pPr>
              <w:ind w:left="160"/>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0"/>
                <w:szCs w:val="10"/>
                <w:color w:val="auto"/>
              </w:rPr>
            </w:pPr>
          </w:p>
        </w:tc>
        <w:tc>
          <w:tcPr>
            <w:tcW w:w="600" w:type="dxa"/>
            <w:vAlign w:val="bottom"/>
          </w:tcPr>
          <w:p>
            <w:pPr>
              <w:jc w:val="right"/>
              <w:ind w:right="251"/>
              <w:spacing w:after="0"/>
              <w:rPr>
                <w:sz w:val="20"/>
                <w:szCs w:val="20"/>
                <w:color w:val="auto"/>
              </w:rPr>
            </w:pPr>
            <w:r>
              <w:rPr>
                <w:rFonts w:ascii="Arial" w:cs="Arial" w:eastAsia="Arial" w:hAnsi="Arial"/>
                <w:sz w:val="9"/>
                <w:szCs w:val="9"/>
                <w:b w:val="1"/>
                <w:bCs w:val="1"/>
                <w:color w:val="auto"/>
              </w:rPr>
              <w:t>Total</w:t>
            </w:r>
          </w:p>
        </w:tc>
      </w:tr>
      <w:tr>
        <w:trPr>
          <w:trHeight w:val="207"/>
        </w:trPr>
        <w:tc>
          <w:tcPr>
            <w:tcW w:w="2760" w:type="dxa"/>
            <w:vAlign w:val="bottom"/>
          </w:tcPr>
          <w:p>
            <w:pPr>
              <w:ind w:left="20"/>
              <w:spacing w:after="0"/>
              <w:rPr>
                <w:sz w:val="20"/>
                <w:szCs w:val="20"/>
                <w:color w:val="auto"/>
              </w:rPr>
            </w:pPr>
            <w:r>
              <w:rPr>
                <w:rFonts w:ascii="Arial" w:cs="Arial" w:eastAsia="Arial" w:hAnsi="Arial"/>
                <w:sz w:val="9"/>
                <w:szCs w:val="9"/>
                <w:b w:val="1"/>
                <w:bCs w:val="1"/>
                <w:color w:val="auto"/>
              </w:rPr>
              <w:t>Nine Months Ended September 30, 2018</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83,969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98,312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108,650</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5,842</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640</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6,496</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51</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6,562</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3,474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9,501</w:t>
            </w:r>
          </w:p>
        </w:tc>
      </w:tr>
      <w:tr>
        <w:trPr>
          <w:trHeight w:val="166"/>
        </w:trPr>
        <w:tc>
          <w:tcPr>
            <w:tcW w:w="276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53</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463</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522</w:t>
            </w:r>
          </w:p>
        </w:tc>
        <w:tc>
          <w:tcPr>
            <w:tcW w:w="10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522</w:t>
            </w: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1,815</w:t>
            </w:r>
          </w:p>
        </w:tc>
      </w:tr>
      <w:tr>
        <w:trPr>
          <w:trHeight w:val="125"/>
        </w:trPr>
        <w:tc>
          <w:tcPr>
            <w:tcW w:w="2760" w:type="dxa"/>
            <w:vAlign w:val="bottom"/>
          </w:tcPr>
          <w:p>
            <w:pPr>
              <w:spacing w:after="0" w:line="125" w:lineRule="exact"/>
              <w:rPr>
                <w:sz w:val="20"/>
                <w:szCs w:val="20"/>
                <w:color w:val="auto"/>
              </w:rPr>
            </w:pPr>
            <w:r>
              <w:rPr>
                <w:rFonts w:ascii="Arial" w:cs="Arial" w:eastAsia="Arial" w:hAnsi="Arial"/>
                <w:sz w:val="11"/>
                <w:szCs w:val="11"/>
                <w:color w:val="auto"/>
              </w:rPr>
              <w:t>________</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bl>
    <w:p>
      <w:pPr>
        <w:ind w:left="260" w:hanging="254"/>
        <w:spacing w:after="0"/>
        <w:tabs>
          <w:tab w:leader="none" w:pos="2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Automotive China equity income of $282 million and $485 million in the three months ended September 30, 2019 and 2018 and $893 million and $1.7 billion in the nine months ended September 30, 2019 and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470"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68" w:lineRule="exact"/>
        <w:rPr>
          <w:sz w:val="20"/>
          <w:szCs w:val="20"/>
          <w:color w:val="auto"/>
        </w:rPr>
      </w:pPr>
    </w:p>
    <w:p>
      <w:pPr>
        <w:jc w:val="both"/>
        <w:ind w:firstLine="129"/>
        <w:spacing w:after="0" w:line="25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40" w:lineRule="exact"/>
        <w:rPr>
          <w:sz w:val="20"/>
          <w:szCs w:val="20"/>
          <w:color w:val="auto"/>
        </w:rPr>
      </w:pPr>
    </w:p>
    <w:p>
      <w:pPr>
        <w:jc w:val="both"/>
        <w:ind w:firstLine="129"/>
        <w:spacing w:after="0" w:line="246"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2019, 33.5% of our wholesale vehicle sales volume was generated outside the U.S. The following table summarizes wholesale vehicle sales by automotive segment (vehicles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356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352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0"/>
                <w:szCs w:val="10"/>
                <w:b w:val="1"/>
                <w:bCs w:val="1"/>
                <w:color w:val="auto"/>
              </w:rPr>
              <w:t>Nine Months Ended</w:t>
            </w:r>
          </w:p>
        </w:tc>
      </w:tr>
      <w:tr>
        <w:trPr>
          <w:trHeight w:val="196"/>
        </w:trPr>
        <w:tc>
          <w:tcPr>
            <w:tcW w:w="4260" w:type="dxa"/>
            <w:vAlign w:val="bottom"/>
          </w:tcPr>
          <w:p>
            <w:pPr>
              <w:spacing w:after="0"/>
              <w:rPr>
                <w:sz w:val="17"/>
                <w:szCs w:val="17"/>
                <w:color w:val="auto"/>
              </w:rPr>
            </w:pPr>
          </w:p>
        </w:tc>
        <w:tc>
          <w:tcPr>
            <w:tcW w:w="1840" w:type="dxa"/>
            <w:vAlign w:val="bottom"/>
            <w:gridSpan w:val="2"/>
          </w:tcPr>
          <w:p>
            <w:pPr>
              <w:ind w:left="380"/>
              <w:spacing w:after="0"/>
              <w:rPr>
                <w:sz w:val="20"/>
                <w:szCs w:val="20"/>
                <w:color w:val="auto"/>
              </w:rPr>
            </w:pPr>
            <w:r>
              <w:rPr>
                <w:rFonts w:ascii="Arial" w:cs="Arial" w:eastAsia="Arial" w:hAnsi="Arial"/>
                <w:sz w:val="10"/>
                <w:szCs w:val="10"/>
                <w:b w:val="1"/>
                <w:bCs w:val="1"/>
                <w:color w:val="auto"/>
              </w:rPr>
              <w:t>September 30, 2019</w:t>
            </w:r>
          </w:p>
        </w:tc>
        <w:tc>
          <w:tcPr>
            <w:tcW w:w="1840" w:type="dxa"/>
            <w:vAlign w:val="bottom"/>
            <w:gridSpan w:val="2"/>
          </w:tcPr>
          <w:p>
            <w:pPr>
              <w:ind w:left="380"/>
              <w:spacing w:after="0"/>
              <w:rPr>
                <w:sz w:val="20"/>
                <w:szCs w:val="20"/>
                <w:color w:val="auto"/>
              </w:rPr>
            </w:pPr>
            <w:r>
              <w:rPr>
                <w:rFonts w:ascii="Arial" w:cs="Arial" w:eastAsia="Arial" w:hAnsi="Arial"/>
                <w:sz w:val="10"/>
                <w:szCs w:val="10"/>
                <w:b w:val="1"/>
                <w:bCs w:val="1"/>
                <w:color w:val="auto"/>
              </w:rPr>
              <w:t>September 30, 2018</w:t>
            </w:r>
          </w:p>
        </w:tc>
        <w:tc>
          <w:tcPr>
            <w:tcW w:w="1820" w:type="dxa"/>
            <w:vAlign w:val="bottom"/>
            <w:gridSpan w:val="2"/>
          </w:tcPr>
          <w:p>
            <w:pPr>
              <w:ind w:left="380"/>
              <w:spacing w:after="0"/>
              <w:rPr>
                <w:sz w:val="20"/>
                <w:szCs w:val="20"/>
                <w:color w:val="auto"/>
              </w:rPr>
            </w:pPr>
            <w:r>
              <w:rPr>
                <w:rFonts w:ascii="Arial" w:cs="Arial" w:eastAsia="Arial" w:hAnsi="Arial"/>
                <w:sz w:val="10"/>
                <w:szCs w:val="10"/>
                <w:b w:val="1"/>
                <w:bCs w:val="1"/>
                <w:color w:val="auto"/>
              </w:rPr>
              <w:t>September 30, 2019</w:t>
            </w:r>
          </w:p>
        </w:tc>
        <w:tc>
          <w:tcPr>
            <w:tcW w:w="1700" w:type="dxa"/>
            <w:vAlign w:val="bottom"/>
          </w:tcPr>
          <w:p>
            <w:pPr>
              <w:jc w:val="right"/>
              <w:ind w:right="319"/>
              <w:spacing w:after="0"/>
              <w:rPr>
                <w:sz w:val="20"/>
                <w:szCs w:val="20"/>
                <w:color w:val="auto"/>
              </w:rPr>
            </w:pPr>
            <w:r>
              <w:rPr>
                <w:rFonts w:ascii="Arial" w:cs="Arial" w:eastAsia="Arial" w:hAnsi="Arial"/>
                <w:sz w:val="10"/>
                <w:szCs w:val="10"/>
                <w:b w:val="1"/>
                <w:bCs w:val="1"/>
                <w:color w:val="auto"/>
              </w:rPr>
              <w:t>September 30, 2018</w:t>
            </w:r>
          </w:p>
        </w:tc>
      </w:tr>
      <w:tr>
        <w:trPr>
          <w:trHeight w:val="191"/>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1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801</w:t>
            </w:r>
          </w:p>
        </w:tc>
        <w:tc>
          <w:tcPr>
            <w:tcW w:w="1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843</w:t>
            </w:r>
          </w:p>
        </w:tc>
        <w:tc>
          <w:tcPr>
            <w:tcW w:w="1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2,530</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2,659</w:t>
            </w:r>
          </w:p>
        </w:tc>
      </w:tr>
      <w:tr>
        <w:trPr>
          <w:trHeight w:val="18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7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289</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727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836</w:t>
            </w:r>
          </w:p>
        </w:tc>
      </w:tr>
      <w:tr>
        <w:trPr>
          <w:trHeight w:val="19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1,033</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1,132</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3,257</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3,495</w:t>
            </w:r>
          </w:p>
        </w:tc>
      </w:tr>
      <w:tr>
        <w:trPr>
          <w:trHeight w:val="20"/>
        </w:trPr>
        <w:tc>
          <w:tcPr>
            <w:tcW w:w="4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470"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5" w:lineRule="exact"/>
        <w:rPr>
          <w:sz w:val="20"/>
          <w:szCs w:val="20"/>
          <w:color w:val="auto"/>
        </w:rPr>
      </w:pPr>
    </w:p>
    <w:p>
      <w:pPr>
        <w:jc w:val="both"/>
        <w:ind w:firstLine="129"/>
        <w:spacing w:after="0" w:line="268"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312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306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0"/>
                <w:szCs w:val="10"/>
                <w:b w:val="1"/>
                <w:bCs w:val="1"/>
                <w:color w:val="auto"/>
              </w:rPr>
              <w:t>Nine Months Ended</w:t>
            </w:r>
          </w:p>
        </w:tc>
      </w:tr>
      <w:tr>
        <w:trPr>
          <w:trHeight w:val="193"/>
        </w:trPr>
        <w:tc>
          <w:tcPr>
            <w:tcW w:w="5160" w:type="dxa"/>
            <w:vAlign w:val="bottom"/>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Arial" w:cs="Arial" w:eastAsia="Arial" w:hAnsi="Arial"/>
                <w:sz w:val="10"/>
                <w:szCs w:val="10"/>
                <w:b w:val="1"/>
                <w:bCs w:val="1"/>
                <w:color w:val="auto"/>
              </w:rPr>
              <w:t>September 30, 2019</w:t>
            </w:r>
          </w:p>
        </w:tc>
        <w:tc>
          <w:tcPr>
            <w:tcW w:w="1620" w:type="dxa"/>
            <w:vAlign w:val="bottom"/>
            <w:gridSpan w:val="2"/>
          </w:tcPr>
          <w:p>
            <w:pPr>
              <w:ind w:left="280"/>
              <w:spacing w:after="0"/>
              <w:rPr>
                <w:sz w:val="20"/>
                <w:szCs w:val="20"/>
                <w:color w:val="auto"/>
              </w:rPr>
            </w:pPr>
            <w:r>
              <w:rPr>
                <w:rFonts w:ascii="Arial" w:cs="Arial" w:eastAsia="Arial" w:hAnsi="Arial"/>
                <w:sz w:val="10"/>
                <w:szCs w:val="10"/>
                <w:b w:val="1"/>
                <w:bCs w:val="1"/>
                <w:color w:val="auto"/>
              </w:rPr>
              <w:t>September 30, 2018</w:t>
            </w:r>
          </w:p>
        </w:tc>
        <w:tc>
          <w:tcPr>
            <w:tcW w:w="1580" w:type="dxa"/>
            <w:vAlign w:val="bottom"/>
            <w:gridSpan w:val="2"/>
          </w:tcPr>
          <w:p>
            <w:pPr>
              <w:ind w:left="280"/>
              <w:spacing w:after="0"/>
              <w:rPr>
                <w:sz w:val="20"/>
                <w:szCs w:val="20"/>
                <w:color w:val="auto"/>
              </w:rPr>
            </w:pPr>
            <w:r>
              <w:rPr>
                <w:rFonts w:ascii="Arial" w:cs="Arial" w:eastAsia="Arial" w:hAnsi="Arial"/>
                <w:sz w:val="10"/>
                <w:szCs w:val="10"/>
                <w:b w:val="1"/>
                <w:bCs w:val="1"/>
                <w:color w:val="auto"/>
              </w:rPr>
              <w:t>September 30, 2019</w:t>
            </w:r>
          </w:p>
        </w:tc>
        <w:tc>
          <w:tcPr>
            <w:tcW w:w="1480" w:type="dxa"/>
            <w:vAlign w:val="bottom"/>
          </w:tcPr>
          <w:p>
            <w:pPr>
              <w:jc w:val="right"/>
              <w:ind w:right="196"/>
              <w:spacing w:after="0"/>
              <w:rPr>
                <w:sz w:val="20"/>
                <w:szCs w:val="20"/>
                <w:color w:val="auto"/>
              </w:rPr>
            </w:pPr>
            <w:r>
              <w:rPr>
                <w:rFonts w:ascii="Arial" w:cs="Arial" w:eastAsia="Arial" w:hAnsi="Arial"/>
                <w:sz w:val="10"/>
                <w:szCs w:val="10"/>
                <w:b w:val="1"/>
                <w:bCs w:val="1"/>
                <w:color w:val="auto"/>
              </w:rPr>
              <w:t>September 30, 2018</w:t>
            </w:r>
          </w:p>
        </w:tc>
      </w:tr>
      <w:tr>
        <w:trPr>
          <w:trHeight w:val="208"/>
        </w:trPr>
        <w:tc>
          <w:tcPr>
            <w:tcW w:w="51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Cars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365</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Chevrolet – Trucks</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715</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 – Crossovers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Cadillac</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113</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156</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GMC</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127</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396</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United States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2,151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2,169</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124</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139</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363</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404</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North America</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863</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834</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2,514</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2,573</w:t>
            </w:r>
          </w:p>
        </w:tc>
      </w:tr>
      <w:tr>
        <w:trPr>
          <w:trHeight w:val="198"/>
        </w:trPr>
        <w:tc>
          <w:tcPr>
            <w:tcW w:w="5160" w:type="dxa"/>
            <w:vAlign w:val="bottom"/>
          </w:tcPr>
          <w:p>
            <w:pPr>
              <w:ind w:left="20"/>
              <w:spacing w:after="0"/>
              <w:rPr>
                <w:sz w:val="20"/>
                <w:szCs w:val="20"/>
                <w:color w:val="auto"/>
              </w:rPr>
            </w:pPr>
            <w:r>
              <w:rPr>
                <w:rFonts w:ascii="Arial" w:cs="Arial" w:eastAsia="Arial" w:hAnsi="Arial"/>
                <w:sz w:val="13"/>
                <w:szCs w:val="13"/>
                <w:color w:val="auto"/>
              </w:rPr>
              <w:t>Asia/Pacific, Middle East and Africa</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Chevrolet</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672</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Wuling</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776</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754</w:t>
            </w:r>
          </w:p>
        </w:tc>
      </w:tr>
      <w:tr>
        <w:trPr>
          <w:trHeight w:val="208"/>
        </w:trPr>
        <w:tc>
          <w:tcPr>
            <w:tcW w:w="5160" w:type="dxa"/>
            <w:vAlign w:val="bottom"/>
          </w:tcPr>
          <w:p>
            <w:pPr>
              <w:ind w:left="220"/>
              <w:spacing w:after="0"/>
              <w:rPr>
                <w:sz w:val="20"/>
                <w:szCs w:val="20"/>
                <w:color w:val="auto"/>
              </w:rPr>
            </w:pPr>
            <w:r>
              <w:rPr>
                <w:rFonts w:ascii="Arial" w:cs="Arial" w:eastAsia="Arial" w:hAnsi="Arial"/>
                <w:sz w:val="13"/>
                <w:szCs w:val="13"/>
                <w:color w:val="auto"/>
              </w:rPr>
              <w:t>Baojun</w:t>
            </w:r>
          </w:p>
        </w:tc>
        <w:tc>
          <w:tcPr>
            <w:tcW w:w="1500" w:type="dxa"/>
            <w:vAlign w:val="bottom"/>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8"/>
                <w:szCs w:val="18"/>
                <w:color w:val="auto"/>
              </w:rPr>
            </w:pP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8"/>
                <w:szCs w:val="18"/>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632</w:t>
            </w: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Cadillac</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w:t>
            </w:r>
          </w:p>
        </w:tc>
      </w:tr>
      <w:tr>
        <w:trPr>
          <w:trHeight w:val="208"/>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w:t>
            </w: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Asia/Pacific, Middle East and Africa</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969</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3,059</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174</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493</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506</w:t>
            </w: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1,868</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1,977</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5,682</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6,138</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r>
      <w:tr>
        <w:trPr>
          <w:trHeight w:val="19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1,869</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1,978</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5,685</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6,141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(a)</w:t>
        <w:tab/>
        <w:t>Primarily Chevrolet.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470"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6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Borders>
              <w:bottom w:val="single" w:sz="8" w:color="auto"/>
            </w:tcBorders>
            <w:gridSpan w:val="6"/>
          </w:tcPr>
          <w:p>
            <w:pPr>
              <w:ind w:left="10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gridSpan w:val="2"/>
          </w:tcPr>
          <w:p>
            <w:pPr>
              <w:spacing w:after="0"/>
              <w:rPr>
                <w:sz w:val="12"/>
                <w:szCs w:val="12"/>
                <w:color w:val="auto"/>
              </w:rPr>
            </w:pPr>
          </w:p>
        </w:tc>
        <w:tc>
          <w:tcPr>
            <w:tcW w:w="3060" w:type="dxa"/>
            <w:vAlign w:val="bottom"/>
            <w:tcBorders>
              <w:bottom w:val="single" w:sz="8" w:color="auto"/>
            </w:tcBorders>
            <w:gridSpan w:val="5"/>
          </w:tcPr>
          <w:p>
            <w:pPr>
              <w:jc w:val="right"/>
              <w:ind w:right="977"/>
              <w:spacing w:after="0"/>
              <w:rPr>
                <w:sz w:val="20"/>
                <w:szCs w:val="20"/>
                <w:color w:val="auto"/>
              </w:rPr>
            </w:pPr>
            <w:r>
              <w:rPr>
                <w:rFonts w:ascii="Arial" w:cs="Arial" w:eastAsia="Arial" w:hAnsi="Arial"/>
                <w:sz w:val="10"/>
                <w:szCs w:val="10"/>
                <w:b w:val="1"/>
                <w:bCs w:val="1"/>
                <w:color w:val="auto"/>
              </w:rPr>
              <w:t>Nine Months Ended</w:t>
            </w:r>
          </w:p>
        </w:tc>
      </w:tr>
      <w:tr>
        <w:trPr>
          <w:trHeight w:val="206"/>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4"/>
          </w:tcPr>
          <w:p>
            <w:pPr>
              <w:ind w:left="280"/>
              <w:spacing w:after="0"/>
              <w:rPr>
                <w:sz w:val="20"/>
                <w:szCs w:val="20"/>
                <w:color w:val="auto"/>
              </w:rPr>
            </w:pPr>
            <w:r>
              <w:rPr>
                <w:rFonts w:ascii="Arial" w:cs="Arial" w:eastAsia="Arial" w:hAnsi="Arial"/>
                <w:sz w:val="10"/>
                <w:szCs w:val="10"/>
                <w:b w:val="1"/>
                <w:bCs w:val="1"/>
                <w:color w:val="auto"/>
              </w:rPr>
              <w:t>September 30, 2019</w:t>
            </w:r>
          </w:p>
        </w:tc>
        <w:tc>
          <w:tcPr>
            <w:tcW w:w="1620" w:type="dxa"/>
            <w:vAlign w:val="bottom"/>
            <w:gridSpan w:val="4"/>
          </w:tcPr>
          <w:p>
            <w:pPr>
              <w:ind w:left="280"/>
              <w:spacing w:after="0"/>
              <w:rPr>
                <w:sz w:val="20"/>
                <w:szCs w:val="20"/>
                <w:color w:val="auto"/>
              </w:rPr>
            </w:pPr>
            <w:r>
              <w:rPr>
                <w:rFonts w:ascii="Arial" w:cs="Arial" w:eastAsia="Arial" w:hAnsi="Arial"/>
                <w:sz w:val="10"/>
                <w:szCs w:val="10"/>
                <w:b w:val="1"/>
                <w:bCs w:val="1"/>
                <w:color w:val="auto"/>
              </w:rPr>
              <w:t>September 30, 2018</w:t>
            </w:r>
          </w:p>
        </w:tc>
        <w:tc>
          <w:tcPr>
            <w:tcW w:w="1580" w:type="dxa"/>
            <w:vAlign w:val="bottom"/>
            <w:gridSpan w:val="4"/>
          </w:tcPr>
          <w:p>
            <w:pPr>
              <w:ind w:left="280"/>
              <w:spacing w:after="0"/>
              <w:rPr>
                <w:sz w:val="20"/>
                <w:szCs w:val="20"/>
                <w:color w:val="auto"/>
              </w:rPr>
            </w:pPr>
            <w:r>
              <w:rPr>
                <w:rFonts w:ascii="Arial" w:cs="Arial" w:eastAsia="Arial" w:hAnsi="Arial"/>
                <w:sz w:val="10"/>
                <w:szCs w:val="10"/>
                <w:b w:val="1"/>
                <w:bCs w:val="1"/>
                <w:color w:val="auto"/>
              </w:rPr>
              <w:t>September 30, 2019</w:t>
            </w:r>
          </w:p>
        </w:tc>
        <w:tc>
          <w:tcPr>
            <w:tcW w:w="1480" w:type="dxa"/>
            <w:vAlign w:val="bottom"/>
          </w:tcPr>
          <w:p>
            <w:pPr>
              <w:jc w:val="right"/>
              <w:ind w:right="197"/>
              <w:spacing w:after="0"/>
              <w:rPr>
                <w:sz w:val="20"/>
                <w:szCs w:val="20"/>
                <w:color w:val="auto"/>
              </w:rPr>
            </w:pPr>
            <w:r>
              <w:rPr>
                <w:rFonts w:ascii="Arial" w:cs="Arial" w:eastAsia="Arial" w:hAnsi="Arial"/>
                <w:sz w:val="10"/>
                <w:szCs w:val="10"/>
                <w:b w:val="1"/>
                <w:bCs w:val="1"/>
                <w:color w:val="auto"/>
              </w:rPr>
              <w:t>September 30, 2018</w:t>
            </w:r>
          </w:p>
        </w:tc>
      </w:tr>
      <w:tr>
        <w:trPr>
          <w:trHeight w:val="191"/>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348</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1,102</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1,284</w:t>
            </w:r>
          </w:p>
        </w:tc>
      </w:tr>
      <w:tr>
        <w:trPr>
          <w:trHeight w:val="174"/>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 and FAW-GM Light Duty Commercial Vehicle Co.,</w:t>
            </w: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55"/>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Ltd.</w:t>
            </w:r>
          </w:p>
        </w:tc>
        <w:tc>
          <w:tcPr>
            <w:tcW w:w="1460" w:type="dxa"/>
            <w:vAlign w:val="bottom"/>
          </w:tcPr>
          <w:p>
            <w:pPr>
              <w:jc w:val="right"/>
              <w:ind w:right="19"/>
              <w:spacing w:after="0"/>
              <w:rPr>
                <w:sz w:val="20"/>
                <w:szCs w:val="20"/>
                <w:color w:val="auto"/>
              </w:rPr>
            </w:pPr>
            <w:r>
              <w:rPr>
                <w:rFonts w:ascii="Arial" w:cs="Arial" w:eastAsia="Arial" w:hAnsi="Arial"/>
                <w:sz w:val="13"/>
                <w:szCs w:val="13"/>
                <w:color w:val="auto"/>
              </w:rPr>
              <w:t>342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ind w:left="1040"/>
              <w:spacing w:after="0"/>
              <w:rPr>
                <w:sz w:val="20"/>
                <w:szCs w:val="20"/>
                <w:color w:val="auto"/>
              </w:rPr>
            </w:pPr>
            <w:r>
              <w:rPr>
                <w:rFonts w:ascii="Arial" w:cs="Arial" w:eastAsia="Arial" w:hAnsi="Arial"/>
                <w:sz w:val="13"/>
                <w:szCs w:val="13"/>
                <w:color w:val="auto"/>
              </w:rPr>
              <w:t>1,155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1,396</w:t>
            </w:r>
          </w:p>
        </w:tc>
      </w:tr>
      <w:tr>
        <w:trPr>
          <w:trHeight w:val="505"/>
        </w:trPr>
        <w:tc>
          <w:tcPr>
            <w:tcW w:w="5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977"/>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1040"/>
              <w:spacing w:after="0"/>
              <w:rPr>
                <w:sz w:val="20"/>
                <w:szCs w:val="20"/>
                <w:color w:val="auto"/>
              </w:rPr>
            </w:pPr>
            <w:r>
              <w:rPr>
                <w:rFonts w:ascii="Arial" w:cs="Arial" w:eastAsia="Arial" w:hAnsi="Arial"/>
                <w:sz w:val="10"/>
                <w:szCs w:val="10"/>
                <w:b w:val="1"/>
                <w:bCs w:val="1"/>
                <w:color w:val="auto"/>
              </w:rPr>
              <w:t>Nine Months Ended</w:t>
            </w:r>
          </w:p>
        </w:tc>
      </w:tr>
      <w:tr>
        <w:trPr>
          <w:trHeight w:val="206"/>
        </w:trPr>
        <w:tc>
          <w:tcPr>
            <w:tcW w:w="5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September 30, 2019</w:t>
            </w:r>
          </w:p>
        </w:tc>
        <w:tc>
          <w:tcPr>
            <w:tcW w:w="1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September 30, 2019</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September 30, 2018</w:t>
            </w:r>
          </w:p>
        </w:tc>
      </w:tr>
      <w:tr>
        <w:trPr>
          <w:trHeight w:val="205"/>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3"/>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Cars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208"/>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United States – Trucks(a)</w:t>
            </w:r>
          </w:p>
        </w:tc>
        <w:tc>
          <w:tcPr>
            <w:tcW w:w="1460" w:type="dxa"/>
            <w:vAlign w:val="bottom"/>
          </w:tcPr>
          <w:p>
            <w:pPr>
              <w:jc w:val="right"/>
              <w:spacing w:after="0"/>
              <w:rPr>
                <w:sz w:val="20"/>
                <w:szCs w:val="20"/>
                <w:color w:val="auto"/>
              </w:rPr>
            </w:pPr>
            <w:r>
              <w:rPr>
                <w:rFonts w:ascii="Arial" w:cs="Arial" w:eastAsia="Arial" w:hAnsi="Arial"/>
                <w:sz w:val="13"/>
                <w:szCs w:val="13"/>
                <w:color w:val="auto"/>
              </w:rPr>
              <w:t>30.8%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32.1%</w:t>
            </w:r>
          </w:p>
        </w:tc>
      </w:tr>
      <w:tr>
        <w:trPr>
          <w:trHeight w:val="223"/>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Crossovers(a)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86"/>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Total United States</w:t>
            </w:r>
          </w:p>
        </w:tc>
        <w:tc>
          <w:tcPr>
            <w:tcW w:w="1460" w:type="dxa"/>
            <w:vAlign w:val="bottom"/>
          </w:tcPr>
          <w:p>
            <w:pPr>
              <w:jc w:val="right"/>
              <w:spacing w:after="0"/>
              <w:rPr>
                <w:sz w:val="20"/>
                <w:szCs w:val="20"/>
                <w:color w:val="auto"/>
              </w:rPr>
            </w:pPr>
            <w:r>
              <w:rPr>
                <w:rFonts w:ascii="Arial" w:cs="Arial" w:eastAsia="Arial" w:hAnsi="Arial"/>
                <w:sz w:val="13"/>
                <w:szCs w:val="13"/>
                <w:color w:val="auto"/>
              </w:rPr>
              <w:t>16.6%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86"/>
        </w:trPr>
        <w:tc>
          <w:tcPr>
            <w:tcW w:w="5160" w:type="dxa"/>
            <w:vAlign w:val="bottom"/>
            <w:gridSpan w:val="2"/>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460" w:type="dxa"/>
            <w:vAlign w:val="bottom"/>
          </w:tcPr>
          <w:p>
            <w:pPr>
              <w:jc w:val="right"/>
              <w:spacing w:after="0"/>
              <w:rPr>
                <w:sz w:val="20"/>
                <w:szCs w:val="20"/>
                <w:color w:val="auto"/>
              </w:rPr>
            </w:pPr>
            <w:r>
              <w:rPr>
                <w:rFonts w:ascii="Arial" w:cs="Arial" w:eastAsia="Arial" w:hAnsi="Arial"/>
                <w:sz w:val="13"/>
                <w:szCs w:val="13"/>
                <w:color w:val="auto"/>
              </w:rPr>
              <w:t>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South America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86"/>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1460" w:type="dxa"/>
            <w:vAlign w:val="bottom"/>
          </w:tcPr>
          <w:p>
            <w:pPr>
              <w:jc w:val="right"/>
              <w:spacing w:after="0"/>
              <w:rPr>
                <w:sz w:val="20"/>
                <w:szCs w:val="20"/>
                <w:color w:val="auto"/>
              </w:rPr>
            </w:pPr>
            <w:r>
              <w:rPr>
                <w:rFonts w:ascii="Arial" w:cs="Arial" w:eastAsia="Arial" w:hAnsi="Arial"/>
                <w:sz w:val="13"/>
                <w:szCs w:val="13"/>
                <w:color w:val="auto"/>
              </w:rPr>
              <w:t>10.7%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202"/>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29"/>
        </w:trPr>
        <w:tc>
          <w:tcPr>
            <w:tcW w:w="5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29"/>
        </w:trPr>
        <w:tc>
          <w:tcPr>
            <w:tcW w:w="5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r>
      <w:tr>
        <w:trPr>
          <w:trHeight w:val="133"/>
        </w:trPr>
        <w:tc>
          <w:tcPr>
            <w:tcW w:w="5100" w:type="dxa"/>
            <w:vAlign w:val="bottom"/>
          </w:tcPr>
          <w:p>
            <w:pPr>
              <w:spacing w:after="0"/>
              <w:rPr>
                <w:sz w:val="20"/>
                <w:szCs w:val="20"/>
                <w:color w:val="auto"/>
              </w:rPr>
            </w:pPr>
            <w:r>
              <w:rPr>
                <w:rFonts w:ascii="Arial" w:cs="Arial" w:eastAsia="Arial" w:hAnsi="Arial"/>
                <w:sz w:val="11"/>
                <w:szCs w:val="11"/>
                <w:color w:val="auto"/>
              </w:rPr>
              <w:t>________</w:t>
            </w: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ind w:left="260" w:hanging="254"/>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Certain industry vehicles have been reclassified between these vehicle segments. GM vehicles were not impacted by this change. The prior period has been recast to reflect the changes.</w:t>
      </w:r>
    </w:p>
    <w:p>
      <w:pPr>
        <w:spacing w:after="0" w:line="200" w:lineRule="exact"/>
        <w:rPr>
          <w:rFonts w:ascii="Arial" w:cs="Arial" w:eastAsia="Arial" w:hAnsi="Arial"/>
          <w:sz w:val="11"/>
          <w:szCs w:val="11"/>
          <w:color w:val="auto"/>
        </w:rPr>
      </w:pPr>
    </w:p>
    <w:p>
      <w:pPr>
        <w:spacing w:after="0" w:line="296"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3"/>
          <w:szCs w:val="13"/>
          <w:color w:val="auto"/>
        </w:rPr>
        <w:t>8</w:t>
      </w:r>
    </w:p>
    <w:p>
      <w:pPr>
        <w:sectPr>
          <w:pgSz w:w="11900" w:h="16838" w:orient="portrait"/>
          <w:cols w:equalWidth="0" w:num="1">
            <w:col w:w="11460"/>
          </w:cols>
          <w:pgMar w:left="220" w:top="470"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9"/>
                <w:szCs w:val="9"/>
                <w:b w:val="1"/>
                <w:bCs w:val="1"/>
                <w:color w:val="auto"/>
              </w:rPr>
              <w:t>Three Months Ended September 30, 2019</w:t>
            </w: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8"/>
          </w:tcPr>
          <w:p>
            <w:pPr>
              <w:ind w:left="200"/>
              <w:spacing w:after="0"/>
              <w:rPr>
                <w:sz w:val="20"/>
                <w:szCs w:val="20"/>
                <w:color w:val="auto"/>
              </w:rPr>
            </w:pPr>
            <w:r>
              <w:rPr>
                <w:rFonts w:ascii="Arial" w:cs="Arial" w:eastAsia="Arial" w:hAnsi="Arial"/>
                <w:sz w:val="9"/>
                <w:szCs w:val="9"/>
                <w:b w:val="1"/>
                <w:bCs w:val="1"/>
                <w:color w:val="auto"/>
              </w:rPr>
              <w:t>Three Months Ended September 30, 2018</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60" w:type="dxa"/>
            <w:vAlign w:val="bottom"/>
          </w:tcPr>
          <w:p>
            <w:pPr>
              <w:spacing w:after="0"/>
              <w:rPr>
                <w:sz w:val="17"/>
                <w:szCs w:val="17"/>
                <w:color w:val="auto"/>
              </w:rPr>
            </w:pPr>
          </w:p>
        </w:tc>
        <w:tc>
          <w:tcPr>
            <w:tcW w:w="420" w:type="dxa"/>
            <w:vAlign w:val="bottom"/>
          </w:tcPr>
          <w:p>
            <w:pPr>
              <w:jc w:val="right"/>
              <w:ind w:right="46"/>
              <w:spacing w:after="0"/>
              <w:rPr>
                <w:sz w:val="20"/>
                <w:szCs w:val="20"/>
                <w:color w:val="auto"/>
              </w:rPr>
            </w:pPr>
            <w:r>
              <w:rPr>
                <w:rFonts w:ascii="Arial" w:cs="Arial" w:eastAsia="Arial" w:hAnsi="Arial"/>
                <w:sz w:val="9"/>
                <w:szCs w:val="9"/>
                <w:b w:val="1"/>
                <w:bCs w:val="1"/>
                <w:color w:val="auto"/>
              </w:rPr>
              <w:t>Cruise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GM Financial</w:t>
            </w:r>
          </w:p>
        </w:tc>
        <w:tc>
          <w:tcPr>
            <w:tcW w:w="142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Combined</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4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Cruise</w:t>
            </w:r>
          </w:p>
        </w:tc>
        <w:tc>
          <w:tcPr>
            <w:tcW w:w="78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7"/>
                <w:szCs w:val="17"/>
                <w:color w:val="auto"/>
              </w:rPr>
            </w:pPr>
          </w:p>
        </w:tc>
        <w:tc>
          <w:tcPr>
            <w:tcW w:w="660" w:type="dxa"/>
            <w:vAlign w:val="bottom"/>
          </w:tcPr>
          <w:p>
            <w:pPr>
              <w:jc w:val="right"/>
              <w:ind w:right="126"/>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27"/>
        </w:trPr>
        <w:tc>
          <w:tcPr>
            <w:tcW w:w="208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31,817</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42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31,817</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32,288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CEEFF"/>
          </w:tcPr>
          <w:p>
            <w:pPr>
              <w:jc w:val="right"/>
              <w:ind w:right="50"/>
              <w:spacing w:after="0"/>
              <w:rPr>
                <w:sz w:val="20"/>
                <w:szCs w:val="20"/>
                <w:color w:val="auto"/>
              </w:rPr>
            </w:pPr>
            <w:r>
              <w:rPr>
                <w:rFonts w:ascii="Arial" w:cs="Arial" w:eastAsia="Arial" w:hAnsi="Arial"/>
                <w:sz w:val="11"/>
                <w:szCs w:val="11"/>
                <w:color w:val="auto"/>
                <w:w w:val="97"/>
              </w:rPr>
              <w:t>$</w:t>
            </w: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32,276</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420" w:type="dxa"/>
            <w:vAlign w:val="bottom"/>
            <w:gridSpan w:val="3"/>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8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6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3,659</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vMerge w:val="restart"/>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3,656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ind w:left="3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jc w:val="right"/>
              <w:ind w:right="43"/>
              <w:spacing w:after="0"/>
              <w:rPr>
                <w:sz w:val="20"/>
                <w:szCs w:val="20"/>
                <w:color w:val="auto"/>
              </w:rPr>
            </w:pPr>
            <w:r>
              <w:rPr>
                <w:rFonts w:ascii="Arial" w:cs="Arial" w:eastAsia="Arial" w:hAnsi="Arial"/>
                <w:sz w:val="11"/>
                <w:szCs w:val="11"/>
                <w:color w:val="auto"/>
              </w:rPr>
              <w:t>3,518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3,515</w:t>
            </w:r>
          </w:p>
        </w:tc>
        <w:tc>
          <w:tcPr>
            <w:tcW w:w="0" w:type="dxa"/>
            <w:vAlign w:val="bottom"/>
          </w:tcPr>
          <w:p>
            <w:pPr>
              <w:spacing w:after="0"/>
              <w:rPr>
                <w:sz w:val="1"/>
                <w:szCs w:val="1"/>
                <w:color w:val="auto"/>
              </w:rPr>
            </w:pPr>
          </w:p>
        </w:tc>
      </w:tr>
      <w:tr>
        <w:trPr>
          <w:trHeight w:val="73"/>
        </w:trPr>
        <w:tc>
          <w:tcPr>
            <w:tcW w:w="2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net sales and revenue</w:t>
            </w: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31,817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3,659</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35,473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32,288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3,518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35,791</w:t>
            </w:r>
          </w:p>
        </w:tc>
        <w:tc>
          <w:tcPr>
            <w:tcW w:w="0" w:type="dxa"/>
            <w:vAlign w:val="bottom"/>
          </w:tcPr>
          <w:p>
            <w:pPr>
              <w:spacing w:after="0"/>
              <w:rPr>
                <w:sz w:val="1"/>
                <w:szCs w:val="1"/>
                <w:color w:val="auto"/>
              </w:rPr>
            </w:pPr>
          </w:p>
        </w:tc>
      </w:tr>
      <w:tr>
        <w:trPr>
          <w:trHeight w:val="78"/>
        </w:trPr>
        <w:tc>
          <w:tcPr>
            <w:tcW w:w="2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745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Automotive and other cost of sales</w:t>
      </w:r>
    </w:p>
    <w:p>
      <w:pPr>
        <w:spacing w:after="0" w:line="101" w:lineRule="exact"/>
        <w:rPr>
          <w:sz w:val="20"/>
          <w:szCs w:val="20"/>
          <w:color w:val="auto"/>
        </w:rPr>
      </w:pPr>
    </w:p>
    <w:p>
      <w:pPr>
        <w:ind w:left="260" w:right="140" w:hanging="128"/>
        <w:spacing w:after="0" w:line="238" w:lineRule="auto"/>
        <w:rPr>
          <w:sz w:val="20"/>
          <w:szCs w:val="20"/>
          <w:color w:val="auto"/>
        </w:rPr>
      </w:pPr>
      <w:r>
        <w:rPr>
          <w:rFonts w:ascii="Arial" w:cs="Arial" w:eastAsia="Arial" w:hAnsi="Arial"/>
          <w:sz w:val="10"/>
          <w:szCs w:val="10"/>
          <w:color w:val="auto"/>
        </w:rPr>
        <w:t>GM Financial interest, operating and other expenses</w:t>
      </w:r>
    </w:p>
    <w:p>
      <w:pPr>
        <w:spacing w:after="0" w:line="31" w:lineRule="exact"/>
        <w:rPr>
          <w:sz w:val="20"/>
          <w:szCs w:val="20"/>
          <w:color w:val="auto"/>
        </w:rPr>
      </w:pPr>
    </w:p>
    <w:p>
      <w:pPr>
        <w:ind w:left="260" w:right="160" w:hanging="128"/>
        <w:spacing w:after="0" w:line="238" w:lineRule="auto"/>
        <w:rPr>
          <w:sz w:val="20"/>
          <w:szCs w:val="20"/>
          <w:color w:val="auto"/>
        </w:rPr>
      </w:pPr>
      <w:r>
        <w:rPr>
          <w:rFonts w:ascii="Arial" w:cs="Arial" w:eastAsia="Arial" w:hAnsi="Arial"/>
          <w:sz w:val="10"/>
          <w:szCs w:val="10"/>
          <w:color w:val="auto"/>
        </w:rPr>
        <w:t>Automotive and other selling, general and administrative expense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costs and expenses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0"/>
          <w:szCs w:val="10"/>
          <w:color w:val="auto"/>
        </w:rPr>
        <w:t>Operating income (loss)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0"/>
          <w:szCs w:val="10"/>
          <w:color w:val="auto"/>
        </w:rPr>
        <w:t>Automotive interest expense</w:t>
      </w:r>
    </w:p>
    <w:p>
      <w:pPr>
        <w:spacing w:after="0" w:line="101" w:lineRule="exact"/>
        <w:rPr>
          <w:sz w:val="20"/>
          <w:szCs w:val="20"/>
          <w:color w:val="auto"/>
        </w:rPr>
      </w:pPr>
    </w:p>
    <w:p>
      <w:pPr>
        <w:ind w:left="160" w:right="340" w:hanging="128"/>
        <w:spacing w:after="0" w:line="238" w:lineRule="auto"/>
        <w:rPr>
          <w:sz w:val="20"/>
          <w:szCs w:val="20"/>
          <w:color w:val="auto"/>
        </w:rPr>
      </w:pPr>
      <w:r>
        <w:rPr>
          <w:rFonts w:ascii="Arial" w:cs="Arial" w:eastAsia="Arial" w:hAnsi="Arial"/>
          <w:sz w:val="10"/>
          <w:szCs w:val="10"/>
          <w:color w:val="auto"/>
        </w:rPr>
        <w:t>Interest income and other non-operating income, net</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1820" w:type="dxa"/>
            <w:vAlign w:val="bottom"/>
          </w:tcPr>
          <w:p>
            <w:pPr>
              <w:spacing w:after="0"/>
              <w:rPr>
                <w:sz w:val="20"/>
                <w:szCs w:val="20"/>
                <w:color w:val="auto"/>
              </w:rPr>
            </w:pPr>
            <w:r>
              <w:rPr>
                <w:rFonts w:ascii="Arial" w:cs="Arial" w:eastAsia="Arial" w:hAnsi="Arial"/>
                <w:sz w:val="10"/>
                <w:szCs w:val="10"/>
                <w:color w:val="auto"/>
              </w:rPr>
              <w:t>Equity income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(loss) before income taxes</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8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20"/>
                <w:szCs w:val="20"/>
                <w:color w:val="auto"/>
              </w:rPr>
            </w:pPr>
            <w:r>
              <w:rPr>
                <w:rFonts w:ascii="Arial" w:cs="Arial" w:eastAsia="Arial" w:hAnsi="Arial"/>
                <w:sz w:val="10"/>
                <w:szCs w:val="10"/>
                <w:color w:val="auto"/>
              </w:rPr>
              <w:t>Income tax expense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from continuing operations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0" w:right="140"/>
        <w:spacing w:after="0" w:line="449" w:lineRule="auto"/>
        <w:rPr>
          <w:sz w:val="20"/>
          <w:szCs w:val="20"/>
          <w:color w:val="auto"/>
        </w:rPr>
      </w:pPr>
      <w:r>
        <w:rPr>
          <w:rFonts w:ascii="Arial" w:cs="Arial" w:eastAsia="Arial" w:hAnsi="Arial"/>
          <w:sz w:val="10"/>
          <w:szCs w:val="10"/>
          <w:color w:val="auto"/>
        </w:rPr>
        <w:t xml:space="preserve">Loss from discontinued operations, net of tax </w:t>
      </w:r>
      <w:r>
        <w:rPr>
          <w:rFonts w:ascii="Arial" w:cs="Arial" w:eastAsia="Arial" w:hAnsi="Arial"/>
          <w:sz w:val="10"/>
          <w:szCs w:val="10"/>
          <w:b w:val="1"/>
          <w:bCs w:val="1"/>
          <w:color w:val="auto"/>
        </w:rPr>
        <w:t>Net income</w:t>
      </w:r>
    </w:p>
    <w:p>
      <w:pPr>
        <w:spacing w:after="0" w:line="1" w:lineRule="exact"/>
        <w:rPr>
          <w:sz w:val="20"/>
          <w:szCs w:val="20"/>
          <w:color w:val="auto"/>
        </w:rPr>
      </w:pPr>
    </w:p>
    <w:p>
      <w:pPr>
        <w:ind w:left="160" w:right="480" w:hanging="128"/>
        <w:spacing w:after="0" w:line="238" w:lineRule="auto"/>
        <w:rPr>
          <w:sz w:val="20"/>
          <w:szCs w:val="20"/>
          <w:color w:val="auto"/>
        </w:rPr>
      </w:pPr>
      <w:r>
        <w:rPr>
          <w:rFonts w:ascii="Arial" w:cs="Arial" w:eastAsia="Arial" w:hAnsi="Arial"/>
          <w:sz w:val="10"/>
          <w:szCs w:val="10"/>
          <w:color w:val="auto"/>
        </w:rPr>
        <w:t>Net loss attributable to noncontrolling interests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27,919</w:t>
            </w:r>
          </w:p>
        </w:tc>
        <w:tc>
          <w:tcPr>
            <w:tcW w:w="220" w:type="dxa"/>
            <w:vAlign w:val="bottom"/>
          </w:tcPr>
          <w:p>
            <w:pPr>
              <w:spacing w:after="0"/>
              <w:rPr>
                <w:sz w:val="11"/>
                <w:szCs w:val="11"/>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28,174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28,337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28,533</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2,987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2,987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3,064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3,064</w:t>
            </w:r>
          </w:p>
        </w:tc>
      </w:tr>
      <w:tr>
        <w:trPr>
          <w:trHeight w:val="263"/>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1,969</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2,008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2,584</w:t>
            </w:r>
          </w:p>
        </w:tc>
      </w:tr>
      <w:tr>
        <w:trPr>
          <w:trHeight w:val="196"/>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29,888</w:t>
            </w: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2,987</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33,169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30,916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3,064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34,181</w:t>
            </w:r>
          </w:p>
        </w:tc>
      </w:tr>
      <w:tr>
        <w:trPr>
          <w:trHeight w:val="191"/>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1,929</w:t>
            </w:r>
          </w:p>
        </w:tc>
        <w:tc>
          <w:tcPr>
            <w:tcW w:w="220" w:type="dxa"/>
            <w:vAlign w:val="bottom"/>
          </w:tcPr>
          <w:p>
            <w:pPr>
              <w:spacing w:after="0"/>
              <w:rPr>
                <w:sz w:val="16"/>
                <w:szCs w:val="16"/>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672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2,304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1,372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454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1,610</w:t>
            </w:r>
          </w:p>
        </w:tc>
      </w:tr>
      <w:tr>
        <w:trPr>
          <w:trHeight w:val="216"/>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209</w:t>
            </w:r>
          </w:p>
        </w:tc>
        <w:tc>
          <w:tcPr>
            <w:tcW w:w="2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161</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128</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651</w:t>
            </w:r>
          </w:p>
        </w:tc>
      </w:tr>
      <w:tr>
        <w:trPr>
          <w:trHeight w:val="220"/>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276</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315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530</w:t>
            </w:r>
          </w:p>
        </w:tc>
      </w:tr>
      <w:tr>
        <w:trPr>
          <w:trHeight w:val="191"/>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2,124</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6"/>
                <w:szCs w:val="16"/>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2,582</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2,337</w:t>
            </w:r>
          </w:p>
        </w:tc>
        <w:tc>
          <w:tcPr>
            <w:tcW w:w="100" w:type="dxa"/>
            <w:vAlign w:val="bottom"/>
          </w:tcPr>
          <w:p>
            <w:pPr>
              <w:spacing w:after="0"/>
              <w:rPr>
                <w:sz w:val="16"/>
                <w:szCs w:val="16"/>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16"/>
                <w:szCs w:val="16"/>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86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2,630</w:t>
            </w:r>
          </w:p>
        </w:tc>
      </w:tr>
      <w:tr>
        <w:trPr>
          <w:trHeight w:val="220"/>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w:t>
            </w:r>
          </w:p>
        </w:tc>
      </w:tr>
      <w:tr>
        <w:trPr>
          <w:trHeight w:val="191"/>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2,311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2,530</w:t>
            </w:r>
          </w:p>
        </w:tc>
      </w:tr>
      <w:tr>
        <w:trPr>
          <w:trHeight w:val="220"/>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191"/>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2,311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2,530</w:t>
            </w:r>
          </w:p>
        </w:tc>
      </w:tr>
      <w:tr>
        <w:trPr>
          <w:trHeight w:val="263"/>
        </w:trPr>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w:t>
            </w:r>
          </w:p>
        </w:tc>
      </w:tr>
      <w:tr>
        <w:trPr>
          <w:trHeight w:val="185"/>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2,351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2,534</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-1874520</wp:posOffset>
            </wp:positionV>
            <wp:extent cx="7274560" cy="186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861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380"/>
            <w:col w:w="8920"/>
          </w:cols>
          <w:pgMar w:left="220" w:top="470" w:right="21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common</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2,313</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2,503</w:t>
            </w: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9"/>
                <w:szCs w:val="9"/>
                <w:b w:val="1"/>
                <w:bCs w:val="1"/>
                <w:color w:val="auto"/>
              </w:rPr>
              <w:t>Nine Months Ended September 30, 2019</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444"/>
              <w:spacing w:after="0"/>
              <w:rPr>
                <w:sz w:val="20"/>
                <w:szCs w:val="20"/>
                <w:color w:val="auto"/>
              </w:rPr>
            </w:pPr>
            <w:r>
              <w:rPr>
                <w:rFonts w:ascii="Arial" w:cs="Arial" w:eastAsia="Arial" w:hAnsi="Arial"/>
                <w:sz w:val="9"/>
                <w:szCs w:val="9"/>
                <w:b w:val="1"/>
                <w:bCs w:val="1"/>
                <w:color w:val="auto"/>
              </w:rPr>
              <w:t>Nine Months Ended September 30, 2018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40" w:type="dxa"/>
            <w:vAlign w:val="bottom"/>
          </w:tcPr>
          <w:p>
            <w:pPr>
              <w:spacing w:after="0"/>
              <w:rPr>
                <w:sz w:val="17"/>
                <w:szCs w:val="17"/>
                <w:color w:val="auto"/>
              </w:rPr>
            </w:pPr>
          </w:p>
        </w:tc>
        <w:tc>
          <w:tcPr>
            <w:tcW w:w="440" w:type="dxa"/>
            <w:vAlign w:val="bottom"/>
          </w:tcPr>
          <w:p>
            <w:pPr>
              <w:jc w:val="right"/>
              <w:ind w:right="64"/>
              <w:spacing w:after="0"/>
              <w:rPr>
                <w:sz w:val="20"/>
                <w:szCs w:val="20"/>
                <w:color w:val="auto"/>
              </w:rPr>
            </w:pPr>
            <w:r>
              <w:rPr>
                <w:rFonts w:ascii="Arial" w:cs="Arial" w:eastAsia="Arial" w:hAnsi="Arial"/>
                <w:sz w:val="9"/>
                <w:szCs w:val="9"/>
                <w:b w:val="1"/>
                <w:bCs w:val="1"/>
                <w:color w:val="auto"/>
              </w:rPr>
              <w:t>Cruise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48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94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Combined</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Automotive</w:t>
            </w:r>
          </w:p>
        </w:tc>
        <w:tc>
          <w:tcPr>
            <w:tcW w:w="14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Cruise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GM Financial</w:t>
            </w:r>
          </w:p>
        </w:tc>
        <w:tc>
          <w:tcPr>
            <w:tcW w:w="160" w:type="dxa"/>
            <w:vAlign w:val="bottom"/>
          </w:tcPr>
          <w:p>
            <w:pPr>
              <w:spacing w:after="0"/>
              <w:rPr>
                <w:sz w:val="17"/>
                <w:szCs w:val="17"/>
                <w:color w:val="auto"/>
              </w:rPr>
            </w:pPr>
          </w:p>
        </w:tc>
        <w:tc>
          <w:tcPr>
            <w:tcW w:w="760" w:type="dxa"/>
            <w:vAlign w:val="bottom"/>
          </w:tcPr>
          <w:p>
            <w:pPr>
              <w:jc w:val="right"/>
              <w:ind w:right="144"/>
              <w:spacing w:after="0"/>
              <w:rPr>
                <w:sz w:val="20"/>
                <w:szCs w:val="20"/>
                <w:color w:val="auto"/>
              </w:rPr>
            </w:pPr>
            <w:r>
              <w:rPr>
                <w:rFonts w:ascii="Arial" w:cs="Arial" w:eastAsia="Arial" w:hAnsi="Arial"/>
                <w:sz w:val="9"/>
                <w:szCs w:val="9"/>
                <w:b w:val="1"/>
                <w:bCs w:val="1"/>
                <w:color w:val="auto"/>
              </w:rPr>
              <w:t>Eliminations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4"/>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127"/>
        </w:trPr>
        <w:tc>
          <w:tcPr>
            <w:tcW w:w="188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95,503</w:t>
            </w:r>
          </w:p>
        </w:tc>
        <w:tc>
          <w:tcPr>
            <w:tcW w:w="1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320" w:type="dxa"/>
            <w:vAlign w:val="bottom"/>
            <w:gridSpan w:val="3"/>
            <w:vMerge w:val="restart"/>
            <w:shd w:val="clear" w:color="auto" w:fill="CCEEFF"/>
          </w:tcPr>
          <w:p>
            <w:pPr>
              <w:jc w:val="right"/>
              <w:ind w:right="17"/>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(75)</w:t>
            </w: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95,503</w:t>
            </w:r>
          </w:p>
        </w:tc>
        <w:tc>
          <w:tcPr>
            <w:tcW w:w="1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98,312</w:t>
            </w:r>
          </w:p>
        </w:tc>
        <w:tc>
          <w:tcPr>
            <w:tcW w:w="1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(70)</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98,242</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140"/>
              <w:spacing w:after="0"/>
              <w:rPr>
                <w:sz w:val="20"/>
                <w:szCs w:val="20"/>
                <w:color w:val="auto"/>
              </w:rPr>
            </w:pPr>
            <w:r>
              <w:rPr>
                <w:rFonts w:ascii="Arial" w:cs="Arial" w:eastAsia="Arial" w:hAnsi="Arial"/>
                <w:sz w:val="10"/>
                <w:szCs w:val="10"/>
                <w:color w:val="auto"/>
              </w:rPr>
              <w:t>GM Financial</w:t>
            </w: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43"/>
              <w:spacing w:after="0"/>
              <w:rPr>
                <w:sz w:val="20"/>
                <w:szCs w:val="20"/>
                <w:color w:val="auto"/>
              </w:rPr>
            </w:pPr>
            <w:r>
              <w:rPr>
                <w:rFonts w:ascii="Arial" w:cs="Arial" w:eastAsia="Arial" w:hAnsi="Arial"/>
                <w:sz w:val="11"/>
                <w:szCs w:val="11"/>
                <w:color w:val="auto"/>
              </w:rPr>
              <w:t>10,918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vMerge w:val="restart"/>
          </w:tcPr>
          <w:p>
            <w:pPr>
              <w:jc w:val="right"/>
              <w:ind w:right="63"/>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10,908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10,417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44"/>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color w:val="auto"/>
              </w:rPr>
              <w:t>10,408</w:t>
            </w:r>
          </w:p>
        </w:tc>
        <w:tc>
          <w:tcPr>
            <w:tcW w:w="0" w:type="dxa"/>
            <w:vAlign w:val="bottom"/>
          </w:tcPr>
          <w:p>
            <w:pPr>
              <w:spacing w:after="0"/>
              <w:rPr>
                <w:sz w:val="1"/>
                <w:szCs w:val="1"/>
                <w:color w:val="auto"/>
              </w:rPr>
            </w:pPr>
          </w:p>
        </w:tc>
      </w:tr>
      <w:tr>
        <w:trPr>
          <w:trHeight w:val="73"/>
        </w:trPr>
        <w:tc>
          <w:tcPr>
            <w:tcW w:w="18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net sales and revenue</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95,503</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10,918</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(85)</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106,411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98,312</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10,417</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(79)</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108,650</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 and other cost of sales</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83,990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84,730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88,346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514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88,788</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80" w:type="dxa"/>
            <w:vAlign w:val="bottom"/>
          </w:tcPr>
          <w:p>
            <w:pPr>
              <w:ind w:left="140"/>
              <w:spacing w:after="0"/>
              <w:rPr>
                <w:sz w:val="20"/>
                <w:szCs w:val="20"/>
                <w:color w:val="auto"/>
              </w:rPr>
            </w:pPr>
            <w:r>
              <w:rPr>
                <w:rFonts w:ascii="Arial" w:cs="Arial" w:eastAsia="Arial" w:hAnsi="Arial"/>
                <w:sz w:val="10"/>
                <w:szCs w:val="10"/>
                <w:color w:val="auto"/>
              </w:rPr>
              <w:t>GM Financial interest, operating and</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ind w:right="43"/>
              <w:spacing w:after="0"/>
              <w:rPr>
                <w:sz w:val="20"/>
                <w:szCs w:val="20"/>
                <w:color w:val="auto"/>
              </w:rPr>
            </w:pPr>
            <w:r>
              <w:rPr>
                <w:rFonts w:ascii="Arial" w:cs="Arial" w:eastAsia="Arial" w:hAnsi="Arial"/>
                <w:sz w:val="11"/>
                <w:szCs w:val="11"/>
                <w:color w:val="auto"/>
              </w:rPr>
              <w:t>9,438</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vMerge w:val="restart"/>
          </w:tcPr>
          <w:p>
            <w:pPr>
              <w:jc w:val="right"/>
              <w:ind w:right="63"/>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9,437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9,081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4"/>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color w:val="auto"/>
              </w:rPr>
              <w:t>9,074</w:t>
            </w:r>
          </w:p>
        </w:tc>
        <w:tc>
          <w:tcPr>
            <w:tcW w:w="0" w:type="dxa"/>
            <w:vAlign w:val="bottom"/>
          </w:tcPr>
          <w:p>
            <w:pPr>
              <w:spacing w:after="0"/>
              <w:rPr>
                <w:sz w:val="1"/>
                <w:szCs w:val="1"/>
                <w:color w:val="auto"/>
              </w:rPr>
            </w:pPr>
          </w:p>
        </w:tc>
      </w:tr>
      <w:tr>
        <w:trPr>
          <w:trHeight w:val="130"/>
        </w:trPr>
        <w:tc>
          <w:tcPr>
            <w:tcW w:w="1880" w:type="dxa"/>
            <w:vAlign w:val="bottom"/>
          </w:tcPr>
          <w:p>
            <w:pPr>
              <w:ind w:left="260"/>
              <w:spacing w:after="0"/>
              <w:rPr>
                <w:sz w:val="20"/>
                <w:szCs w:val="20"/>
                <w:color w:val="auto"/>
              </w:rPr>
            </w:pPr>
            <w:r>
              <w:rPr>
                <w:rFonts w:ascii="Arial" w:cs="Arial" w:eastAsia="Arial" w:hAnsi="Arial"/>
                <w:sz w:val="10"/>
                <w:szCs w:val="10"/>
                <w:color w:val="auto"/>
              </w:rPr>
              <w:t>other expenses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Automotive and other selling, general</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6,104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6,209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7,152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20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7,172</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and administrative expense</w:t>
            </w: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880" w:type="dxa"/>
            <w:vAlign w:val="bottom"/>
          </w:tcPr>
          <w:p>
            <w:pPr>
              <w:ind w:left="140"/>
              <w:spacing w:after="0"/>
              <w:rPr>
                <w:sz w:val="20"/>
                <w:szCs w:val="20"/>
                <w:color w:val="auto"/>
              </w:rPr>
            </w:pPr>
            <w:r>
              <w:rPr>
                <w:rFonts w:ascii="Arial" w:cs="Arial" w:eastAsia="Arial" w:hAnsi="Arial"/>
                <w:sz w:val="10"/>
                <w:szCs w:val="10"/>
                <w:color w:val="auto"/>
              </w:rPr>
              <w:t>Total costs and expenses</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1"/>
                <w:szCs w:val="11"/>
                <w:color w:val="auto"/>
              </w:rPr>
              <w:t>90,094</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848</w:t>
            </w: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9,438</w:t>
            </w:r>
          </w:p>
        </w:tc>
        <w:tc>
          <w:tcPr>
            <w:tcW w:w="1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63"/>
              <w:spacing w:after="0"/>
              <w:rPr>
                <w:sz w:val="20"/>
                <w:szCs w:val="20"/>
                <w:color w:val="auto"/>
              </w:rPr>
            </w:pPr>
            <w:r>
              <w:rPr>
                <w:rFonts w:ascii="Arial" w:cs="Arial" w:eastAsia="Arial" w:hAnsi="Arial"/>
                <w:sz w:val="11"/>
                <w:szCs w:val="11"/>
                <w:color w:val="auto"/>
              </w:rPr>
              <w:t>100,376</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1"/>
                <w:szCs w:val="11"/>
                <w:color w:val="auto"/>
              </w:rPr>
              <w:t>95,498</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1"/>
                <w:szCs w:val="11"/>
                <w:color w:val="auto"/>
              </w:rPr>
              <w:t>534</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9,081</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1"/>
                <w:szCs w:val="11"/>
                <w:color w:val="auto"/>
              </w:rPr>
              <w:t>(79)</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1"/>
                <w:szCs w:val="11"/>
                <w:color w:val="auto"/>
              </w:rPr>
              <w:t>105,034</w:t>
            </w:r>
          </w:p>
        </w:tc>
        <w:tc>
          <w:tcPr>
            <w:tcW w:w="0" w:type="dxa"/>
            <w:vAlign w:val="bottom"/>
          </w:tcPr>
          <w:p>
            <w:pPr>
              <w:spacing w:after="0"/>
              <w:rPr>
                <w:sz w:val="1"/>
                <w:szCs w:val="1"/>
                <w:color w:val="auto"/>
              </w:rPr>
            </w:pPr>
          </w:p>
        </w:tc>
      </w:tr>
      <w:tr>
        <w:trPr>
          <w:trHeight w:val="73"/>
        </w:trPr>
        <w:tc>
          <w:tcPr>
            <w:tcW w:w="18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00"/>
              <w:spacing w:after="0"/>
              <w:rPr>
                <w:sz w:val="20"/>
                <w:szCs w:val="20"/>
                <w:color w:val="auto"/>
              </w:rPr>
            </w:pPr>
            <w:r>
              <w:rPr>
                <w:rFonts w:ascii="Arial" w:cs="Arial" w:eastAsia="Arial" w:hAnsi="Arial"/>
                <w:sz w:val="10"/>
                <w:szCs w:val="10"/>
                <w:color w:val="auto"/>
              </w:rPr>
              <w:t>Operating income (loss)</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5,409</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1,480</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(81)</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6,035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2,814</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(534)</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1,336</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3,616</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588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00" w:type="dxa"/>
            <w:vAlign w:val="bottom"/>
            <w:vMerge w:val="restart"/>
          </w:tcPr>
          <w:p>
            <w:pPr>
              <w:jc w:val="right"/>
              <w:ind w:right="63"/>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582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475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45"/>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44"/>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73"/>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income and other non-operating</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1,216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1,338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2,121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color w:val="auto"/>
              </w:rPr>
              <w:t>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2,130</w:t>
            </w:r>
          </w:p>
        </w:tc>
        <w:tc>
          <w:tcPr>
            <w:tcW w:w="0" w:type="dxa"/>
            <w:vAlign w:val="bottom"/>
          </w:tcPr>
          <w:p>
            <w:pPr>
              <w:spacing w:after="0"/>
              <w:rPr>
                <w:sz w:val="1"/>
                <w:szCs w:val="1"/>
                <w:color w:val="auto"/>
              </w:rPr>
            </w:pPr>
          </w:p>
        </w:tc>
      </w:tr>
      <w:tr>
        <w:trPr>
          <w:trHeight w:val="134"/>
        </w:trPr>
        <w:tc>
          <w:tcPr>
            <w:tcW w:w="18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income, net</w:t>
            </w: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20"/>
              <w:spacing w:after="0"/>
              <w:rPr>
                <w:sz w:val="20"/>
                <w:szCs w:val="20"/>
                <w:color w:val="auto"/>
              </w:rPr>
            </w:pPr>
            <w:r>
              <w:rPr>
                <w:rFonts w:ascii="Arial" w:cs="Arial" w:eastAsia="Arial" w:hAnsi="Arial"/>
                <w:sz w:val="10"/>
                <w:szCs w:val="10"/>
                <w:color w:val="auto"/>
              </w:rPr>
              <w:t>Equity income</w:t>
            </w: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874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43"/>
              <w:spacing w:after="0"/>
              <w:rPr>
                <w:sz w:val="20"/>
                <w:szCs w:val="20"/>
                <w:color w:val="auto"/>
              </w:rPr>
            </w:pPr>
            <w:r>
              <w:rPr>
                <w:rFonts w:ascii="Arial" w:cs="Arial" w:eastAsia="Arial" w:hAnsi="Arial"/>
                <w:sz w:val="11"/>
                <w:szCs w:val="11"/>
                <w:color w:val="auto"/>
              </w:rPr>
              <w:t>126</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1,000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1"/>
                <w:szCs w:val="11"/>
                <w:color w:val="auto"/>
              </w:rPr>
              <w:t>1,674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141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8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color w:val="auto"/>
              </w:rPr>
              <w:t>1,815</w:t>
            </w:r>
          </w:p>
        </w:tc>
        <w:tc>
          <w:tcPr>
            <w:tcW w:w="0" w:type="dxa"/>
            <w:vAlign w:val="bottom"/>
          </w:tcPr>
          <w:p>
            <w:pPr>
              <w:spacing w:after="0"/>
              <w:rPr>
                <w:sz w:val="1"/>
                <w:szCs w:val="1"/>
                <w:color w:val="auto"/>
              </w:rPr>
            </w:pPr>
          </w:p>
        </w:tc>
      </w:tr>
      <w:tr>
        <w:trPr>
          <w:trHeight w:val="73"/>
        </w:trPr>
        <w:tc>
          <w:tcPr>
            <w:tcW w:w="18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6,911</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w:t>
            </w:r>
          </w:p>
        </w:tc>
        <w:tc>
          <w:tcPr>
            <w:tcW w:w="320" w:type="dxa"/>
            <w:vAlign w:val="bottom"/>
            <w:gridSpan w:val="3"/>
            <w:vMerge w:val="restart"/>
            <w:shd w:val="clear" w:color="auto" w:fill="CCEEFF"/>
          </w:tcPr>
          <w:p>
            <w:pPr>
              <w:jc w:val="right"/>
              <w:ind w:right="17"/>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1,606</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(14)</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7,791</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6,134</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(526)</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1,477</w:t>
            </w:r>
          </w:p>
        </w:tc>
        <w:tc>
          <w:tcPr>
            <w:tcW w:w="1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84"/>
              <w:spacing w:after="0"/>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7,091</w:t>
            </w:r>
          </w:p>
        </w:tc>
        <w:tc>
          <w:tcPr>
            <w:tcW w:w="0" w:type="dxa"/>
            <w:vAlign w:val="bottom"/>
          </w:tcPr>
          <w:p>
            <w:pPr>
              <w:spacing w:after="0"/>
              <w:rPr>
                <w:sz w:val="1"/>
                <w:szCs w:val="1"/>
                <w:color w:val="auto"/>
              </w:rPr>
            </w:pPr>
          </w:p>
        </w:tc>
      </w:tr>
      <w:tr>
        <w:trPr>
          <w:trHeight w:val="78"/>
        </w:trPr>
        <w:tc>
          <w:tcPr>
            <w:tcW w:w="18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Pr>
          <w:p>
            <w:pPr>
              <w:ind w:left="20"/>
              <w:spacing w:after="0"/>
              <w:rPr>
                <w:sz w:val="20"/>
                <w:szCs w:val="20"/>
                <w:color w:val="auto"/>
              </w:rPr>
            </w:pPr>
            <w:r>
              <w:rPr>
                <w:rFonts w:ascii="Arial" w:cs="Arial" w:eastAsia="Arial" w:hAnsi="Arial"/>
                <w:sz w:val="10"/>
                <w:szCs w:val="10"/>
                <w:color w:val="auto"/>
              </w:rPr>
              <w:t>Income tax expense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restart"/>
          </w:tcPr>
          <w:p>
            <w:pPr>
              <w:jc w:val="right"/>
              <w:ind w:right="63"/>
              <w:spacing w:after="0"/>
              <w:rPr>
                <w:sz w:val="20"/>
                <w:szCs w:val="20"/>
                <w:color w:val="auto"/>
              </w:rPr>
            </w:pPr>
            <w:r>
              <w:rPr>
                <w:rFonts w:ascii="Arial" w:cs="Arial" w:eastAsia="Arial" w:hAnsi="Arial"/>
                <w:sz w:val="11"/>
                <w:szCs w:val="11"/>
                <w:color w:val="auto"/>
              </w:rPr>
              <w:t>932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69"/>
        </w:trPr>
        <w:tc>
          <w:tcPr>
            <w:tcW w:w="1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745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color w:val="auto"/>
        </w:rPr>
        <w:t>Income from continuing operations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0"/>
          <w:szCs w:val="10"/>
          <w:color w:val="auto"/>
        </w:rPr>
        <w:t>Loss from discontinued operations, net</w:t>
      </w:r>
    </w:p>
    <w:p>
      <w:pPr>
        <w:ind w:left="160"/>
        <w:spacing w:after="0"/>
        <w:rPr>
          <w:sz w:val="20"/>
          <w:szCs w:val="20"/>
          <w:color w:val="auto"/>
        </w:rPr>
      </w:pPr>
      <w:r>
        <w:rPr>
          <w:rFonts w:ascii="Arial" w:cs="Arial" w:eastAsia="Arial" w:hAnsi="Arial"/>
          <w:sz w:val="10"/>
          <w:szCs w:val="10"/>
          <w:color w:val="auto"/>
        </w:rPr>
        <w:t>of tax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income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0"/>
          <w:szCs w:val="10"/>
          <w:color w:val="auto"/>
        </w:rPr>
        <w:t>Net loss attributable to noncontrolling</w:t>
      </w:r>
    </w:p>
    <w:p>
      <w:pPr>
        <w:ind w:left="160"/>
        <w:spacing w:after="0"/>
        <w:rPr>
          <w:sz w:val="20"/>
          <w:szCs w:val="20"/>
          <w:color w:val="auto"/>
        </w:rPr>
      </w:pPr>
      <w:r>
        <w:rPr>
          <w:rFonts w:ascii="Arial" w:cs="Arial" w:eastAsia="Arial" w:hAnsi="Arial"/>
          <w:sz w:val="10"/>
          <w:szCs w:val="10"/>
          <w:color w:val="auto"/>
        </w:rPr>
        <w:t>interests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Net income attributable to</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stockholders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1"/>
                <w:szCs w:val="11"/>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6,859</w:t>
            </w: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6,006</w:t>
            </w:r>
          </w:p>
        </w:tc>
      </w:tr>
      <w:tr>
        <w:trPr>
          <w:trHeight w:val="263"/>
        </w:trPr>
        <w:tc>
          <w:tcPr>
            <w:tcW w:w="240" w:type="dxa"/>
            <w:vAlign w:val="bottom"/>
          </w:tcPr>
          <w:p>
            <w:pPr>
              <w:spacing w:after="0"/>
              <w:rPr>
                <w:sz w:val="22"/>
                <w:szCs w:val="22"/>
                <w:color w:val="auto"/>
              </w:rPr>
            </w:pPr>
          </w:p>
        </w:tc>
        <w:tc>
          <w:tcPr>
            <w:tcW w:w="4480" w:type="dxa"/>
            <w:vAlign w:val="bottom"/>
            <w:gridSpan w:val="2"/>
          </w:tcPr>
          <w:p>
            <w:pPr>
              <w:jc w:val="right"/>
              <w:ind w:right="40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70</w:t>
            </w:r>
          </w:p>
        </w:tc>
      </w:tr>
      <w:tr>
        <w:trPr>
          <w:trHeight w:val="191"/>
        </w:trPr>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6,859</w:t>
            </w:r>
          </w:p>
        </w:tc>
        <w:tc>
          <w:tcPr>
            <w:tcW w:w="3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5,936</w:t>
            </w:r>
          </w:p>
        </w:tc>
      </w:tr>
      <w:tr>
        <w:trPr>
          <w:trHeight w:val="263"/>
        </w:trPr>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67</w:t>
            </w:r>
          </w:p>
        </w:tc>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34</w:t>
            </w:r>
          </w:p>
        </w:tc>
      </w:tr>
      <w:tr>
        <w:trPr>
          <w:trHeight w:val="228"/>
        </w:trPr>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6,926</w:t>
            </w:r>
          </w:p>
        </w:tc>
        <w:tc>
          <w:tcPr>
            <w:tcW w:w="3940" w:type="dxa"/>
            <w:vAlign w:val="bottom"/>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5,970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-478155</wp:posOffset>
            </wp:positionV>
            <wp:extent cx="72745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-177165</wp:posOffset>
            </wp:positionV>
            <wp:extent cx="7274560" cy="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6446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123190</wp:posOffset>
            </wp:positionV>
            <wp:extent cx="7274560" cy="164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6446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5260" w:space="720"/>
            <w:col w:w="5480"/>
          </w:cols>
          <w:pgMar w:left="220" w:top="470" w:right="219" w:bottom="1440" w:gutter="0" w:footer="0" w:header="0"/>
          <w:type w:val="continuous"/>
        </w:sect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b w:val="1"/>
                <w:bCs w:val="1"/>
                <w:color w:val="auto"/>
              </w:rPr>
              <w:t>Net income attributable to common</w:t>
            </w:r>
          </w:p>
        </w:tc>
        <w:tc>
          <w:tcPr>
            <w:tcW w:w="236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460" w:type="dxa"/>
            <w:vAlign w:val="bottom"/>
            <w:vMerge w:val="restart"/>
          </w:tcPr>
          <w:p>
            <w:pPr>
              <w:jc w:val="right"/>
              <w:ind w:right="1983"/>
              <w:spacing w:after="0"/>
              <w:rPr>
                <w:sz w:val="20"/>
                <w:szCs w:val="20"/>
                <w:color w:val="auto"/>
              </w:rPr>
            </w:pPr>
            <w:r>
              <w:rPr>
                <w:rFonts w:ascii="Arial" w:cs="Arial" w:eastAsia="Arial" w:hAnsi="Arial"/>
                <w:sz w:val="11"/>
                <w:szCs w:val="11"/>
                <w:color w:val="auto"/>
              </w:rPr>
              <w:t>6,813</w:t>
            </w:r>
          </w:p>
        </w:tc>
        <w:tc>
          <w:tcPr>
            <w:tcW w:w="224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5,910</w:t>
            </w:r>
          </w:p>
        </w:tc>
        <w:tc>
          <w:tcPr>
            <w:tcW w:w="0" w:type="dxa"/>
            <w:vAlign w:val="bottom"/>
          </w:tcPr>
          <w:p>
            <w:pPr>
              <w:spacing w:after="0"/>
              <w:rPr>
                <w:sz w:val="1"/>
                <w:szCs w:val="1"/>
                <w:color w:val="auto"/>
              </w:rPr>
            </w:pPr>
          </w:p>
        </w:tc>
      </w:tr>
      <w:tr>
        <w:trPr>
          <w:trHeight w:val="137"/>
        </w:trPr>
        <w:tc>
          <w:tcPr>
            <w:tcW w:w="3840" w:type="dxa"/>
            <w:vAlign w:val="bottom"/>
          </w:tcPr>
          <w:p>
            <w:pPr>
              <w:ind w:left="140"/>
              <w:spacing w:after="0"/>
              <w:rPr>
                <w:sz w:val="20"/>
                <w:szCs w:val="20"/>
                <w:color w:val="auto"/>
              </w:rPr>
            </w:pPr>
            <w:r>
              <w:rPr>
                <w:rFonts w:ascii="Arial" w:cs="Arial" w:eastAsia="Arial" w:hAnsi="Arial"/>
                <w:sz w:val="10"/>
                <w:szCs w:val="10"/>
                <w:b w:val="1"/>
                <w:bCs w:val="1"/>
                <w:color w:val="auto"/>
              </w:rPr>
              <w:t>stockholders</w:t>
            </w:r>
          </w:p>
        </w:tc>
        <w:tc>
          <w:tcPr>
            <w:tcW w:w="2360" w:type="dxa"/>
            <w:vAlign w:val="bottom"/>
            <w:vMerge w:val="continue"/>
          </w:tcPr>
          <w:p>
            <w:pPr>
              <w:spacing w:after="0"/>
              <w:rPr>
                <w:sz w:val="11"/>
                <w:szCs w:val="11"/>
                <w:color w:val="auto"/>
              </w:rPr>
            </w:pPr>
          </w:p>
        </w:tc>
        <w:tc>
          <w:tcPr>
            <w:tcW w:w="24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470" w:right="2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0"/>
                <w:szCs w:val="10"/>
                <w:b w:val="1"/>
                <w:bCs w:val="1"/>
                <w:color w:val="auto"/>
              </w:rPr>
              <w:t>Nine Months Ended</w:t>
            </w:r>
          </w:p>
        </w:tc>
      </w:tr>
      <w:tr>
        <w:trPr>
          <w:trHeight w:val="13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2019</w:t>
            </w:r>
          </w:p>
        </w:tc>
        <w:tc>
          <w:tcPr>
            <w:tcW w:w="200" w:type="dxa"/>
            <w:vAlign w:val="bottom"/>
          </w:tcPr>
          <w:p>
            <w:pPr>
              <w:spacing w:after="0"/>
              <w:rPr>
                <w:sz w:val="12"/>
                <w:szCs w:val="12"/>
                <w:color w:val="auto"/>
              </w:rPr>
            </w:pPr>
          </w:p>
        </w:tc>
        <w:tc>
          <w:tcPr>
            <w:tcW w:w="14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180" w:type="dxa"/>
            <w:vAlign w:val="bottom"/>
          </w:tcPr>
          <w:p>
            <w:pPr>
              <w:spacing w:after="0"/>
              <w:rPr>
                <w:sz w:val="12"/>
                <w:szCs w:val="12"/>
                <w:color w:val="auto"/>
              </w:rPr>
            </w:pPr>
          </w:p>
        </w:tc>
        <w:tc>
          <w:tcPr>
            <w:tcW w:w="142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2019</w:t>
            </w:r>
          </w:p>
        </w:tc>
        <w:tc>
          <w:tcPr>
            <w:tcW w:w="180" w:type="dxa"/>
            <w:vAlign w:val="bottom"/>
          </w:tcPr>
          <w:p>
            <w:pPr>
              <w:spacing w:after="0"/>
              <w:rPr>
                <w:sz w:val="12"/>
                <w:szCs w:val="12"/>
                <w:color w:val="auto"/>
              </w:rPr>
            </w:pPr>
          </w:p>
        </w:tc>
        <w:tc>
          <w:tcPr>
            <w:tcW w:w="1280" w:type="dxa"/>
            <w:vAlign w:val="bottom"/>
          </w:tcPr>
          <w:p>
            <w:pPr>
              <w:jc w:val="right"/>
              <w:ind w:right="196"/>
              <w:spacing w:after="0"/>
              <w:rPr>
                <w:sz w:val="20"/>
                <w:szCs w:val="20"/>
                <w:color w:val="auto"/>
              </w:rPr>
            </w:pPr>
            <w:r>
              <w:rPr>
                <w:rFonts w:ascii="Arial" w:cs="Arial" w:eastAsia="Arial" w:hAnsi="Arial"/>
                <w:sz w:val="10"/>
                <w:szCs w:val="10"/>
                <w:b w:val="1"/>
                <w:bCs w:val="1"/>
                <w:color w:val="auto"/>
              </w:rPr>
              <w:t>September 30, 2018</w:t>
            </w:r>
          </w:p>
        </w:tc>
      </w:tr>
      <w:tr>
        <w:trPr>
          <w:trHeight w:val="189"/>
        </w:trPr>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operations(a)</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6,040</w:t>
            </w:r>
          </w:p>
        </w:tc>
      </w:tr>
      <w:tr>
        <w:trPr>
          <w:trHeight w:val="189"/>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r>
      <w:tr>
        <w:trPr>
          <w:trHeight w:val="18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5,980</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w:t>
            </w:r>
          </w:p>
        </w:tc>
        <w:tc>
          <w:tcPr>
            <w:tcW w:w="2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89"/>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2,503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5,910</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8"/>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1,410</w:t>
            </w: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 – continuing operations</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Basic loss per common share – discontinued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4.19</w:t>
            </w:r>
          </w:p>
        </w:tc>
      </w:tr>
      <w:tr>
        <w:trPr>
          <w:trHeight w:val="189"/>
        </w:trPr>
        <w:tc>
          <w:tcPr>
            <w:tcW w:w="516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 – diluted(a)</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5,980</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 – diluted</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5,910</w:t>
            </w:r>
          </w:p>
        </w:tc>
      </w:tr>
      <w:tr>
        <w:trPr>
          <w:trHeight w:val="19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1,431</w:t>
            </w:r>
          </w:p>
        </w:tc>
      </w:tr>
      <w:tr>
        <w:trPr>
          <w:trHeight w:val="19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 – continuing operations</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4.18</w:t>
            </w:r>
          </w:p>
        </w:tc>
      </w:tr>
      <w:tr>
        <w:trPr>
          <w:trHeight w:val="189"/>
        </w:trPr>
        <w:tc>
          <w:tcPr>
            <w:tcW w:w="5160" w:type="dxa"/>
            <w:vAlign w:val="bottom"/>
          </w:tcPr>
          <w:p>
            <w:pPr>
              <w:ind w:left="140"/>
              <w:spacing w:after="0"/>
              <w:rPr>
                <w:sz w:val="20"/>
                <w:szCs w:val="20"/>
                <w:color w:val="auto"/>
              </w:rPr>
            </w:pPr>
            <w:r>
              <w:rPr>
                <w:rFonts w:ascii="Arial" w:cs="Arial" w:eastAsia="Arial" w:hAnsi="Arial"/>
                <w:sz w:val="11"/>
                <w:szCs w:val="11"/>
                <w:color w:val="auto"/>
              </w:rPr>
              <w:t>Diluted loss per common share – discontinued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9"/>
        </w:trPr>
        <w:tc>
          <w:tcPr>
            <w:tcW w:w="51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4.13</w:t>
            </w:r>
          </w:p>
        </w:tc>
      </w:tr>
      <w:tr>
        <w:trPr>
          <w:trHeight w:val="185"/>
        </w:trPr>
        <w:tc>
          <w:tcPr>
            <w:tcW w:w="516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00" w:type="dxa"/>
            <w:vAlign w:val="bottom"/>
          </w:tcPr>
          <w:p>
            <w:pPr>
              <w:spacing w:after="0"/>
              <w:rPr>
                <w:sz w:val="16"/>
                <w:szCs w:val="16"/>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4</w:t>
            </w:r>
          </w:p>
        </w:tc>
      </w:tr>
      <w:tr>
        <w:trPr>
          <w:trHeight w:val="142"/>
        </w:trPr>
        <w:tc>
          <w:tcPr>
            <w:tcW w:w="5160" w:type="dxa"/>
            <w:vAlign w:val="bottom"/>
          </w:tcPr>
          <w:p>
            <w:pPr>
              <w:spacing w:after="0"/>
              <w:rPr>
                <w:sz w:val="20"/>
                <w:szCs w:val="20"/>
                <w:color w:val="auto"/>
              </w:rPr>
            </w:pPr>
            <w:r>
              <w:rPr>
                <w:rFonts w:ascii="Arial" w:cs="Arial" w:eastAsia="Arial" w:hAnsi="Arial"/>
                <w:sz w:val="11"/>
                <w:szCs w:val="11"/>
                <w:color w:val="auto"/>
              </w:rPr>
              <w:t>__________</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470"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192" w:lineRule="exact"/>
        <w:rPr>
          <w:sz w:val="20"/>
          <w:szCs w:val="20"/>
          <w:color w:val="auto"/>
        </w:rPr>
      </w:pPr>
    </w:p>
    <w:tbl>
      <w:tblPr>
        <w:tblLayout w:type="fixed"/>
        <w:tblInd w:w="2420" w:type="dxa"/>
        <w:tblCellMar>
          <w:top w:w="0" w:type="dxa"/>
          <w:left w:w="0" w:type="dxa"/>
          <w:bottom w:w="0" w:type="dxa"/>
          <w:right w:w="0" w:type="dxa"/>
        </w:tblCellMar>
      </w:tblPr>
      <w:tr>
        <w:trPr>
          <w:trHeight w:val="123"/>
        </w:trPr>
        <w:tc>
          <w:tcPr>
            <w:tcW w:w="8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ind w:left="300"/>
              <w:spacing w:after="0"/>
              <w:rPr>
                <w:sz w:val="20"/>
                <w:szCs w:val="20"/>
                <w:color w:val="auto"/>
              </w:rPr>
            </w:pPr>
            <w:r>
              <w:rPr>
                <w:rFonts w:ascii="Arial" w:cs="Arial" w:eastAsia="Arial" w:hAnsi="Arial"/>
                <w:sz w:val="9"/>
                <w:szCs w:val="9"/>
                <w:b w:val="1"/>
                <w:bCs w:val="1"/>
                <w:color w:val="auto"/>
              </w:rPr>
              <w:t>September 30, 2019</w:t>
            </w: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2"/>
          </w:tcPr>
          <w:p>
            <w:pPr>
              <w:ind w:left="320"/>
              <w:spacing w:after="0"/>
              <w:rPr>
                <w:sz w:val="20"/>
                <w:szCs w:val="20"/>
                <w:color w:val="auto"/>
              </w:rPr>
            </w:pPr>
            <w:r>
              <w:rPr>
                <w:rFonts w:ascii="Arial" w:cs="Arial" w:eastAsia="Arial" w:hAnsi="Arial"/>
                <w:sz w:val="9"/>
                <w:szCs w:val="9"/>
                <w:b w:val="1"/>
                <w:bCs w:val="1"/>
                <w:color w:val="auto"/>
              </w:rPr>
              <w:t>December 31, 2018</w:t>
            </w:r>
          </w:p>
        </w:tc>
        <w:tc>
          <w:tcPr>
            <w:tcW w:w="740" w:type="dxa"/>
            <w:vAlign w:val="bottom"/>
            <w:tcBorders>
              <w:bottom w:val="single" w:sz="8" w:color="auto"/>
            </w:tcBorders>
          </w:tcPr>
          <w:p>
            <w:pPr>
              <w:spacing w:after="0"/>
              <w:rPr>
                <w:sz w:val="10"/>
                <w:szCs w:val="10"/>
                <w:color w:val="auto"/>
              </w:rPr>
            </w:pPr>
          </w:p>
        </w:tc>
      </w:tr>
      <w:tr>
        <w:trPr>
          <w:trHeight w:val="203"/>
        </w:trPr>
        <w:tc>
          <w:tcPr>
            <w:tcW w:w="860" w:type="dxa"/>
            <w:vAlign w:val="bottom"/>
          </w:tcPr>
          <w:p>
            <w:pPr>
              <w:ind w:left="220"/>
              <w:spacing w:after="0"/>
              <w:rPr>
                <w:sz w:val="20"/>
                <w:szCs w:val="20"/>
                <w:color w:val="auto"/>
              </w:rPr>
            </w:pPr>
            <w:r>
              <w:rPr>
                <w:rFonts w:ascii="Arial" w:cs="Arial" w:eastAsia="Arial" w:hAnsi="Arial"/>
                <w:sz w:val="7"/>
                <w:szCs w:val="7"/>
                <w:b w:val="1"/>
                <w:bCs w:val="1"/>
                <w:color w:val="auto"/>
              </w:rPr>
              <w:t>Automotive</w:t>
            </w:r>
          </w:p>
        </w:tc>
        <w:tc>
          <w:tcPr>
            <w:tcW w:w="720" w:type="dxa"/>
            <w:vAlign w:val="bottom"/>
          </w:tcPr>
          <w:p>
            <w:pPr>
              <w:ind w:left="260"/>
              <w:spacing w:after="0"/>
              <w:rPr>
                <w:sz w:val="20"/>
                <w:szCs w:val="20"/>
                <w:color w:val="auto"/>
              </w:rPr>
            </w:pPr>
            <w:r>
              <w:rPr>
                <w:rFonts w:ascii="Arial" w:cs="Arial" w:eastAsia="Arial" w:hAnsi="Arial"/>
                <w:sz w:val="7"/>
                <w:szCs w:val="7"/>
                <w:b w:val="1"/>
                <w:bCs w:val="1"/>
                <w:color w:val="auto"/>
              </w:rPr>
              <w:t>Cruise</w:t>
            </w:r>
          </w:p>
        </w:tc>
        <w:tc>
          <w:tcPr>
            <w:tcW w:w="840" w:type="dxa"/>
            <w:vAlign w:val="bottom"/>
          </w:tcPr>
          <w:p>
            <w:pPr>
              <w:ind w:left="240"/>
              <w:spacing w:after="0"/>
              <w:rPr>
                <w:sz w:val="20"/>
                <w:szCs w:val="20"/>
                <w:color w:val="auto"/>
              </w:rPr>
            </w:pPr>
            <w:r>
              <w:rPr>
                <w:rFonts w:ascii="Arial" w:cs="Arial" w:eastAsia="Arial" w:hAnsi="Arial"/>
                <w:sz w:val="7"/>
                <w:szCs w:val="7"/>
                <w:b w:val="1"/>
                <w:bCs w:val="1"/>
                <w:color w:val="auto"/>
              </w:rPr>
              <w:t>GM Financial</w:t>
            </w:r>
          </w:p>
        </w:tc>
        <w:tc>
          <w:tcPr>
            <w:tcW w:w="1360" w:type="dxa"/>
            <w:vAlign w:val="bottom"/>
          </w:tcPr>
          <w:p>
            <w:pPr>
              <w:ind w:left="160"/>
              <w:spacing w:after="0"/>
              <w:rPr>
                <w:sz w:val="20"/>
                <w:szCs w:val="20"/>
                <w:color w:val="auto"/>
              </w:rPr>
            </w:pPr>
            <w:r>
              <w:rPr>
                <w:rFonts w:ascii="Arial" w:cs="Arial" w:eastAsia="Arial" w:hAnsi="Arial"/>
                <w:sz w:val="7"/>
                <w:szCs w:val="7"/>
                <w:b w:val="1"/>
                <w:bCs w:val="1"/>
                <w:color w:val="auto"/>
              </w:rPr>
              <w:t>Reclassifications/Eliminations</w:t>
            </w:r>
          </w:p>
        </w:tc>
        <w:tc>
          <w:tcPr>
            <w:tcW w:w="860" w:type="dxa"/>
            <w:vAlign w:val="bottom"/>
            <w:gridSpan w:val="2"/>
          </w:tcPr>
          <w:p>
            <w:pPr>
              <w:ind w:left="180"/>
              <w:spacing w:after="0"/>
              <w:rPr>
                <w:sz w:val="20"/>
                <w:szCs w:val="20"/>
                <w:color w:val="auto"/>
              </w:rPr>
            </w:pPr>
            <w:r>
              <w:rPr>
                <w:rFonts w:ascii="Arial" w:cs="Arial" w:eastAsia="Arial" w:hAnsi="Arial"/>
                <w:sz w:val="7"/>
                <w:szCs w:val="7"/>
                <w:b w:val="1"/>
                <w:bCs w:val="1"/>
                <w:color w:val="auto"/>
              </w:rPr>
              <w:t>Combined</w:t>
            </w:r>
          </w:p>
        </w:tc>
        <w:tc>
          <w:tcPr>
            <w:tcW w:w="820" w:type="dxa"/>
            <w:vAlign w:val="bottom"/>
          </w:tcPr>
          <w:p>
            <w:pPr>
              <w:ind w:left="200"/>
              <w:spacing w:after="0"/>
              <w:rPr>
                <w:sz w:val="20"/>
                <w:szCs w:val="20"/>
                <w:color w:val="auto"/>
              </w:rPr>
            </w:pPr>
            <w:r>
              <w:rPr>
                <w:rFonts w:ascii="Arial" w:cs="Arial" w:eastAsia="Arial" w:hAnsi="Arial"/>
                <w:sz w:val="7"/>
                <w:szCs w:val="7"/>
                <w:b w:val="1"/>
                <w:bCs w:val="1"/>
                <w:color w:val="auto"/>
              </w:rPr>
              <w:t>Automotive</w:t>
            </w:r>
          </w:p>
        </w:tc>
        <w:tc>
          <w:tcPr>
            <w:tcW w:w="680" w:type="dxa"/>
            <w:vAlign w:val="bottom"/>
          </w:tcPr>
          <w:p>
            <w:pPr>
              <w:ind w:left="240"/>
              <w:spacing w:after="0"/>
              <w:rPr>
                <w:sz w:val="20"/>
                <w:szCs w:val="20"/>
                <w:color w:val="auto"/>
              </w:rPr>
            </w:pPr>
            <w:r>
              <w:rPr>
                <w:rFonts w:ascii="Arial" w:cs="Arial" w:eastAsia="Arial" w:hAnsi="Arial"/>
                <w:sz w:val="7"/>
                <w:szCs w:val="7"/>
                <w:b w:val="1"/>
                <w:bCs w:val="1"/>
                <w:color w:val="auto"/>
              </w:rPr>
              <w:t>Cruise</w:t>
            </w:r>
          </w:p>
        </w:tc>
        <w:tc>
          <w:tcPr>
            <w:tcW w:w="820" w:type="dxa"/>
            <w:vAlign w:val="bottom"/>
          </w:tcPr>
          <w:p>
            <w:pPr>
              <w:ind w:left="220"/>
              <w:spacing w:after="0"/>
              <w:rPr>
                <w:sz w:val="20"/>
                <w:szCs w:val="20"/>
                <w:color w:val="auto"/>
              </w:rPr>
            </w:pPr>
            <w:r>
              <w:rPr>
                <w:rFonts w:ascii="Arial" w:cs="Arial" w:eastAsia="Arial" w:hAnsi="Arial"/>
                <w:sz w:val="7"/>
                <w:szCs w:val="7"/>
                <w:b w:val="1"/>
                <w:bCs w:val="1"/>
                <w:color w:val="auto"/>
              </w:rPr>
              <w:t>GM Financial</w:t>
            </w:r>
          </w:p>
        </w:tc>
        <w:tc>
          <w:tcPr>
            <w:tcW w:w="1340" w:type="dxa"/>
            <w:vAlign w:val="bottom"/>
          </w:tcPr>
          <w:p>
            <w:pPr>
              <w:ind w:left="140"/>
              <w:spacing w:after="0"/>
              <w:rPr>
                <w:sz w:val="20"/>
                <w:szCs w:val="20"/>
                <w:color w:val="auto"/>
              </w:rPr>
            </w:pPr>
            <w:r>
              <w:rPr>
                <w:rFonts w:ascii="Arial" w:cs="Arial" w:eastAsia="Arial" w:hAnsi="Arial"/>
                <w:sz w:val="7"/>
                <w:szCs w:val="7"/>
                <w:b w:val="1"/>
                <w:bCs w:val="1"/>
                <w:color w:val="auto"/>
              </w:rPr>
              <w:t>Reclassifications/Eliminations</w:t>
            </w:r>
          </w:p>
        </w:tc>
        <w:tc>
          <w:tcPr>
            <w:tcW w:w="740" w:type="dxa"/>
            <w:vAlign w:val="bottom"/>
          </w:tcPr>
          <w:p>
            <w:pPr>
              <w:ind w:left="180"/>
              <w:spacing w:after="0"/>
              <w:rPr>
                <w:sz w:val="20"/>
                <w:szCs w:val="20"/>
                <w:color w:val="auto"/>
              </w:rPr>
            </w:pPr>
            <w:r>
              <w:rPr>
                <w:rFonts w:ascii="Arial" w:cs="Arial" w:eastAsia="Arial" w:hAnsi="Arial"/>
                <w:sz w:val="7"/>
                <w:szCs w:val="7"/>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7620</wp:posOffset>
            </wp:positionV>
            <wp:extent cx="57416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1670"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0"/>
          <w:szCs w:val="10"/>
          <w:b w:val="1"/>
          <w:bCs w:val="1"/>
          <w:color w:val="auto"/>
        </w:rPr>
        <w:t>ASSETS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Cash and cash equivalents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Marketable debt securities(b)</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Accounts and notes receivable, net(c)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GM Financial receivables, net(d)</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Inventories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current assets(e)</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current assets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14,587</w:t>
            </w:r>
          </w:p>
        </w:tc>
        <w:tc>
          <w:tcPr>
            <w:tcW w:w="12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   2,246</w:t>
            </w:r>
          </w:p>
        </w:tc>
        <w:tc>
          <w:tcPr>
            <w:tcW w:w="120" w:type="dxa"/>
            <w:vAlign w:val="bottom"/>
          </w:tcPr>
          <w:p>
            <w:pPr>
              <w:spacing w:after="0"/>
              <w:rPr>
                <w:sz w:val="10"/>
                <w:szCs w:val="10"/>
                <w:color w:val="auto"/>
              </w:rPr>
            </w:pPr>
          </w:p>
        </w:tc>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3,218</w:t>
            </w:r>
          </w:p>
        </w:tc>
        <w:tc>
          <w:tcPr>
            <w:tcW w:w="100" w:type="dxa"/>
            <w:vAlign w:val="bottom"/>
          </w:tcPr>
          <w:p>
            <w:pPr>
              <w:spacing w:after="0"/>
              <w:rPr>
                <w:sz w:val="10"/>
                <w:szCs w:val="10"/>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20,051</w:t>
            </w:r>
          </w:p>
        </w:tc>
        <w:tc>
          <w:tcPr>
            <w:tcW w:w="120" w:type="dxa"/>
            <w:vAlign w:val="bottom"/>
          </w:tcPr>
          <w:p>
            <w:pPr>
              <w:spacing w:after="0"/>
              <w:rPr>
                <w:sz w:val="10"/>
                <w:szCs w:val="10"/>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13,670</w:t>
            </w:r>
          </w:p>
        </w:tc>
        <w:tc>
          <w:tcPr>
            <w:tcW w:w="10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  2,291</w:t>
            </w:r>
          </w:p>
        </w:tc>
        <w:tc>
          <w:tcPr>
            <w:tcW w:w="100" w:type="dxa"/>
            <w:vAlign w:val="bottom"/>
          </w:tcPr>
          <w:p>
            <w:pPr>
              <w:spacing w:after="0"/>
              <w:rPr>
                <w:sz w:val="10"/>
                <w:szCs w:val="10"/>
                <w:color w:val="auto"/>
              </w:rPr>
            </w:pPr>
          </w:p>
        </w:tc>
        <w:tc>
          <w:tcPr>
            <w:tcW w:w="2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4,883</w:t>
            </w:r>
          </w:p>
        </w:tc>
        <w:tc>
          <w:tcPr>
            <w:tcW w:w="100" w:type="dxa"/>
            <w:vAlign w:val="bottom"/>
          </w:tcPr>
          <w:p>
            <w:pPr>
              <w:spacing w:after="0"/>
              <w:rPr>
                <w:sz w:val="10"/>
                <w:szCs w:val="10"/>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20,844</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6,139</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6,725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5,966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5,966</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6,594</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6,924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5,916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1,430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6,549</w:t>
            </w:r>
          </w:p>
        </w:tc>
      </w:tr>
      <w:tr>
        <w:trPr>
          <w:trHeight w:val="216"/>
        </w:trPr>
        <w:tc>
          <w:tcPr>
            <w:tcW w:w="2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28,555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28,017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27,367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26,850</w:t>
            </w:r>
          </w:p>
        </w:tc>
      </w:tr>
      <w:tr>
        <w:trPr>
          <w:trHeight w:val="216"/>
        </w:trPr>
        <w:tc>
          <w:tcPr>
            <w:tcW w:w="2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11,797</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11,797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9,816</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9,816</w:t>
            </w:r>
          </w:p>
        </w:tc>
      </w:tr>
      <w:tr>
        <w:trPr>
          <w:trHeight w:val="222"/>
        </w:trPr>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2,742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4,294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7,051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1,619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3,640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5,268</w:t>
            </w:r>
          </w:p>
        </w:tc>
      </w:tr>
      <w:tr>
        <w:trPr>
          <w:trHeight w:val="189"/>
        </w:trPr>
        <w:tc>
          <w:tcPr>
            <w:tcW w:w="24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41,860</w:t>
            </w:r>
          </w:p>
        </w:tc>
        <w:tc>
          <w:tcPr>
            <w:tcW w:w="12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2,916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37,164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80,565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36,987</w:t>
            </w:r>
          </w:p>
        </w:tc>
        <w:tc>
          <w:tcPr>
            <w:tcW w:w="10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2,411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70"/>
              <w:spacing w:after="0"/>
              <w:rPr>
                <w:sz w:val="20"/>
                <w:szCs w:val="20"/>
                <w:color w:val="auto"/>
              </w:rPr>
            </w:pPr>
            <w:r>
              <w:rPr>
                <w:rFonts w:ascii="Arial" w:cs="Arial" w:eastAsia="Arial" w:hAnsi="Arial"/>
                <w:sz w:val="10"/>
                <w:szCs w:val="10"/>
                <w:color w:val="auto"/>
              </w:rPr>
              <w:t>37,320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(1,425)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75,293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-675640</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-401320</wp:posOffset>
            </wp:positionV>
            <wp:extent cx="72745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-127635</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1820" w:space="600"/>
            <w:col w:w="9040"/>
          </w:cols>
          <w:pgMar w:left="220" w:top="470" w:right="2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GM Financial receivables, net(d)</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25,777</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25,743</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25,145</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25,083</w:t>
            </w:r>
          </w:p>
        </w:tc>
        <w:tc>
          <w:tcPr>
            <w:tcW w:w="0" w:type="dxa"/>
            <w:vAlign w:val="bottom"/>
          </w:tcPr>
          <w:p>
            <w:pPr>
              <w:spacing w:after="0"/>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Equity in net assets of nonconsolidated affiliates</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7,115</w:t>
            </w:r>
          </w:p>
        </w:tc>
        <w:tc>
          <w:tcPr>
            <w:tcW w:w="12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1,381</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8,496</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7,860</w:t>
            </w:r>
          </w:p>
        </w:tc>
        <w:tc>
          <w:tcPr>
            <w:tcW w:w="100" w:type="dxa"/>
            <w:vAlign w:val="bottom"/>
          </w:tcPr>
          <w:p>
            <w:pPr>
              <w:spacing w:after="0"/>
              <w:rPr>
                <w:sz w:val="11"/>
                <w:szCs w:val="1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9,215</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Property, net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37,606</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133</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230</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37,969</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38,464</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38,758</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Goodwill and intangible assets, net</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3,385</w:t>
            </w:r>
          </w:p>
        </w:tc>
        <w:tc>
          <w:tcPr>
            <w:tcW w:w="120" w:type="dxa"/>
            <w:vAlign w:val="bottom"/>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670</w:t>
            </w:r>
          </w:p>
        </w:tc>
        <w:tc>
          <w:tcPr>
            <w:tcW w:w="120" w:type="dxa"/>
            <w:vAlign w:val="bottom"/>
          </w:tcPr>
          <w:p>
            <w:pPr>
              <w:spacing w:after="0"/>
              <w:rPr>
                <w:sz w:val="11"/>
                <w:szCs w:val="11"/>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1,353</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5,408</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3,552</w:t>
            </w:r>
          </w:p>
        </w:tc>
        <w:tc>
          <w:tcPr>
            <w:tcW w:w="100" w:type="dxa"/>
            <w:vAlign w:val="bottom"/>
          </w:tcPr>
          <w:p>
            <w:pPr>
              <w:spacing w:after="0"/>
              <w:rPr>
                <w:sz w:val="11"/>
                <w:szCs w:val="1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671</w:t>
            </w:r>
          </w:p>
        </w:tc>
        <w:tc>
          <w:tcPr>
            <w:tcW w:w="100" w:type="dxa"/>
            <w:vAlign w:val="bottom"/>
          </w:tcPr>
          <w:p>
            <w:pPr>
              <w:spacing w:after="0"/>
              <w:rPr>
                <w:sz w:val="11"/>
                <w:szCs w:val="11"/>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5,579</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Equipment on operating leases, net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42,527</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42,527</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43,559</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43,559</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rPr>
                <w:sz w:val="20"/>
                <w:szCs w:val="20"/>
                <w:color w:val="auto"/>
              </w:rPr>
            </w:pPr>
            <w:r>
              <w:rPr>
                <w:rFonts w:ascii="Arial" w:cs="Arial" w:eastAsia="Arial" w:hAnsi="Arial"/>
                <w:sz w:val="10"/>
                <w:szCs w:val="10"/>
                <w:color w:val="auto"/>
              </w:rPr>
              <w:t>Deferred income taxes</w:t>
            </w:r>
          </w:p>
        </w:tc>
        <w:tc>
          <w:tcPr>
            <w:tcW w:w="820" w:type="dxa"/>
            <w:vAlign w:val="bottom"/>
            <w:vMerge w:val="restart"/>
          </w:tcPr>
          <w:p>
            <w:pPr>
              <w:jc w:val="right"/>
              <w:ind w:right="70"/>
              <w:spacing w:after="0"/>
              <w:rPr>
                <w:sz w:val="20"/>
                <w:szCs w:val="20"/>
                <w:color w:val="auto"/>
              </w:rPr>
            </w:pPr>
            <w:r>
              <w:rPr>
                <w:rFonts w:ascii="Arial" w:cs="Arial" w:eastAsia="Arial" w:hAnsi="Arial"/>
                <w:sz w:val="10"/>
                <w:szCs w:val="10"/>
                <w:color w:val="auto"/>
              </w:rPr>
              <w:t>23,741</w:t>
            </w:r>
          </w:p>
        </w:tc>
        <w:tc>
          <w:tcPr>
            <w:tcW w:w="120" w:type="dxa"/>
            <w:vAlign w:val="bottom"/>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263</w:t>
            </w:r>
          </w:p>
        </w:tc>
        <w:tc>
          <w:tcPr>
            <w:tcW w:w="12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23,783</w:t>
            </w:r>
          </w:p>
        </w:tc>
        <w:tc>
          <w:tcPr>
            <w:tcW w:w="120" w:type="dxa"/>
            <w:vAlign w:val="bottom"/>
          </w:tcPr>
          <w:p>
            <w:pPr>
              <w:spacing w:after="0"/>
              <w:rPr>
                <w:sz w:val="11"/>
                <w:szCs w:val="1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23,935</w:t>
            </w:r>
          </w:p>
        </w:tc>
        <w:tc>
          <w:tcPr>
            <w:tcW w:w="100" w:type="dxa"/>
            <w:vAlign w:val="bottom"/>
          </w:tcPr>
          <w:p>
            <w:pPr>
              <w:spacing w:after="0"/>
              <w:rPr>
                <w:sz w:val="11"/>
                <w:szCs w:val="11"/>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1"/>
                <w:szCs w:val="11"/>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0"/>
                <w:szCs w:val="10"/>
                <w:color w:val="auto"/>
              </w:rPr>
              <w:t>24,082</w:t>
            </w: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assets</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5,777</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424</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7,038</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4,880</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5,770</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420" w:type="dxa"/>
            <w:vAlign w:val="bottom"/>
          </w:tcPr>
          <w:p>
            <w:pPr>
              <w:ind w:left="140"/>
              <w:spacing w:after="0"/>
              <w:rPr>
                <w:sz w:val="20"/>
                <w:szCs w:val="20"/>
                <w:color w:val="auto"/>
              </w:rPr>
            </w:pPr>
            <w:r>
              <w:rPr>
                <w:rFonts w:ascii="Arial" w:cs="Arial" w:eastAsia="Arial" w:hAnsi="Arial"/>
                <w:sz w:val="10"/>
                <w:szCs w:val="10"/>
                <w:color w:val="auto"/>
              </w:rPr>
              <w:t>Total non-current assets</w:t>
            </w: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77,624</w:t>
            </w:r>
          </w:p>
        </w:tc>
        <w:tc>
          <w:tcPr>
            <w:tcW w:w="12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1,491</w:t>
            </w:r>
          </w:p>
        </w:tc>
        <w:tc>
          <w:tcPr>
            <w:tcW w:w="120" w:type="dxa"/>
            <w:vAlign w:val="bottom"/>
          </w:tcPr>
          <w:p>
            <w:pPr>
              <w:spacing w:after="0"/>
              <w:rPr>
                <w:sz w:val="10"/>
                <w:szCs w:val="10"/>
                <w:color w:val="auto"/>
              </w:rPr>
            </w:pP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71,936</w:t>
            </w:r>
          </w:p>
        </w:tc>
        <w:tc>
          <w:tcPr>
            <w:tcW w:w="100" w:type="dxa"/>
            <w:vAlign w:val="bottom"/>
          </w:tcPr>
          <w:p>
            <w:pPr>
              <w:spacing w:after="0"/>
              <w:rPr>
                <w:sz w:val="10"/>
                <w:szCs w:val="10"/>
                <w:color w:val="auto"/>
              </w:rPr>
            </w:pPr>
          </w:p>
        </w:tc>
        <w:tc>
          <w:tcPr>
            <w:tcW w:w="10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150,964</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78,691</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784</w:t>
            </w:r>
          </w:p>
        </w:tc>
        <w:tc>
          <w:tcPr>
            <w:tcW w:w="100" w:type="dxa"/>
            <w:vAlign w:val="bottom"/>
          </w:tcPr>
          <w:p>
            <w:pPr>
              <w:spacing w:after="0"/>
              <w:rPr>
                <w:sz w:val="10"/>
                <w:szCs w:val="10"/>
                <w:color w:val="auto"/>
              </w:rPr>
            </w:pPr>
          </w:p>
        </w:tc>
        <w:tc>
          <w:tcPr>
            <w:tcW w:w="80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72,633</w:t>
            </w:r>
          </w:p>
        </w:tc>
        <w:tc>
          <w:tcPr>
            <w:tcW w:w="100" w:type="dxa"/>
            <w:vAlign w:val="bottom"/>
          </w:tcPr>
          <w:p>
            <w:pPr>
              <w:spacing w:after="0"/>
              <w:rPr>
                <w:sz w:val="10"/>
                <w:szCs w:val="10"/>
                <w:color w:val="auto"/>
              </w:rPr>
            </w:pPr>
          </w:p>
        </w:tc>
        <w:tc>
          <w:tcPr>
            <w:tcW w:w="10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152,046</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type w:val="continuous"/>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Assets</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0"/>
          <w:szCs w:val="10"/>
          <w:b w:val="1"/>
          <w:bCs w:val="1"/>
          <w:color w:val="auto"/>
        </w:rPr>
        <w:t>LIABILITIES AND EQUITY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Current Liabilities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Accounts payable (principally trade)(c)</w:t>
      </w:r>
    </w:p>
    <w:p>
      <w:pPr>
        <w:spacing w:after="0" w:line="101" w:lineRule="exact"/>
        <w:rPr>
          <w:sz w:val="20"/>
          <w:szCs w:val="20"/>
          <w:color w:val="auto"/>
        </w:rPr>
      </w:pPr>
    </w:p>
    <w:p>
      <w:pPr>
        <w:ind w:left="260" w:hanging="128"/>
        <w:spacing w:after="0" w:line="238" w:lineRule="auto"/>
        <w:rPr>
          <w:sz w:val="20"/>
          <w:szCs w:val="20"/>
          <w:color w:val="auto"/>
        </w:rPr>
      </w:pPr>
      <w:r>
        <w:rPr>
          <w:rFonts w:ascii="Arial" w:cs="Arial" w:eastAsia="Arial" w:hAnsi="Arial"/>
          <w:sz w:val="10"/>
          <w:szCs w:val="10"/>
          <w:color w:val="auto"/>
        </w:rPr>
        <w:t>Short-term debt and current portion of long-term debt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Accrued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current liabilities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Liabilities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Long-term debt</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Postretirement benefits other than 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non-current liabilities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Commitments and contingencies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Equity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119,485</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4,406</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109,099</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(1,461)</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231,529</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115,678</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3,195</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109,953</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(1,487)</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227,339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12"/>
        </w:trPr>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21,570</w:t>
            </w:r>
          </w:p>
        </w:tc>
        <w:tc>
          <w:tcPr>
            <w:tcW w:w="12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54</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563</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(780)</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21,406</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22,359</w:t>
            </w:r>
          </w:p>
        </w:tc>
        <w:tc>
          <w:tcPr>
            <w:tcW w:w="10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(797)</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22,297</w:t>
            </w:r>
          </w:p>
        </w:tc>
      </w:tr>
      <w:tr>
        <w:trPr>
          <w:trHeight w:val="474"/>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3,429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2,890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935</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31,884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31,884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30,956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30,956</w:t>
            </w:r>
          </w:p>
        </w:tc>
      </w:tr>
      <w:tr>
        <w:trPr>
          <w:trHeight w:val="222"/>
        </w:trPr>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23,894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4,071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28,072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24,042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28,049</w:t>
            </w:r>
          </w:p>
        </w:tc>
      </w:tr>
      <w:tr>
        <w:trPr>
          <w:trHeight w:val="189"/>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48,893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36,517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84,252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47,853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35,648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82,237</w:t>
            </w:r>
          </w:p>
        </w:tc>
      </w:tr>
      <w:tr>
        <w:trPr>
          <w:trHeight w:val="647"/>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12,482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12,448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13,028</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57,244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57,244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60,032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60,032</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10,220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11,538</w:t>
            </w:r>
          </w:p>
        </w:tc>
      </w:tr>
      <w:tr>
        <w:trPr>
          <w:trHeight w:val="222"/>
        </w:trPr>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10,656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13,290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12,357</w:t>
            </w:r>
          </w:p>
        </w:tc>
      </w:tr>
      <w:tr>
        <w:trPr>
          <w:trHeight w:val="196"/>
        </w:trPr>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38,659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506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59,428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98,506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40,162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62,190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102,325</w:t>
            </w:r>
          </w:p>
        </w:tc>
      </w:tr>
      <w:tr>
        <w:trPr>
          <w:trHeight w:val="189"/>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87,552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671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95,946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(1,409)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182,758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88,015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97,838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184,562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-2208530</wp:posOffset>
            </wp:positionV>
            <wp:extent cx="7274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-1934210</wp:posOffset>
            </wp:positionV>
            <wp:extent cx="7274560" cy="164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6446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-1633220</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-1359535</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-1085850</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-812165</wp:posOffset>
            </wp:positionV>
            <wp:extent cx="7274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-538480</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-264795</wp:posOffset>
            </wp:positionV>
            <wp:extent cx="7274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8255</wp:posOffset>
            </wp:positionV>
            <wp:extent cx="72745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281940</wp:posOffset>
            </wp:positionV>
            <wp:extent cx="72745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2280" w:space="140"/>
            <w:col w:w="9040"/>
          </w:cols>
          <w:pgMar w:left="220" w:top="470" w:right="219" w:bottom="1440" w:gutter="0" w:footer="0" w:header="0"/>
          <w:type w:val="continuous"/>
        </w:sectPr>
      </w:pPr>
    </w:p>
    <w:p>
      <w:pPr>
        <w:ind w:left="100" w:right="380"/>
        <w:spacing w:after="0" w:line="424" w:lineRule="auto"/>
        <w:rPr>
          <w:sz w:val="20"/>
          <w:szCs w:val="20"/>
          <w:color w:val="auto"/>
        </w:rPr>
      </w:pPr>
      <w:r>
        <w:rPr>
          <w:rFonts w:ascii="Arial" w:cs="Arial" w:eastAsia="Arial" w:hAnsi="Arial"/>
          <w:sz w:val="9"/>
          <w:szCs w:val="9"/>
          <w:color w:val="auto"/>
        </w:rPr>
        <w:t>Common stock, $0.01 par value Preferred stock, $0.01 par value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Additional paid-in capital(b)(f)</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Retained earnings(b)</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Accumulated other comprehensive loss</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Total stockholders’ equity</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Noncontrolling interests(f)</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0"/>
                <w:szCs w:val="10"/>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r>
      <w:tr>
        <w:trPr>
          <w:trHeight w:val="216"/>
        </w:trPr>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w:t>
            </w:r>
          </w:p>
        </w:tc>
      </w:tr>
      <w:tr>
        <w:trPr>
          <w:trHeight w:val="216"/>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25,951</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0"/>
                <w:szCs w:val="10"/>
                <w:color w:val="auto"/>
              </w:rPr>
              <w:t>1,328</w:t>
            </w:r>
          </w:p>
        </w:tc>
        <w:tc>
          <w:tcPr>
            <w:tcW w:w="1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0"/>
                <w:szCs w:val="10"/>
                <w:color w:val="auto"/>
              </w:rPr>
              <w:t>(1,396)</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25,928</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25,606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0"/>
                <w:szCs w:val="10"/>
                <w:color w:val="auto"/>
              </w:rPr>
              <w:t>(1,420)</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25,563</w:t>
            </w:r>
          </w:p>
        </w:tc>
      </w:tr>
      <w:tr>
        <w:trPr>
          <w:trHeight w:val="216"/>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12,890</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1,736</w:t>
            </w: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0"/>
                <w:szCs w:val="10"/>
                <w:color w:val="auto"/>
              </w:rPr>
              <w:t>13,011</w:t>
            </w:r>
          </w:p>
        </w:tc>
        <w:tc>
          <w:tcPr>
            <w:tcW w:w="1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27,609</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9,103</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1,480</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0"/>
                <w:szCs w:val="10"/>
                <w:color w:val="auto"/>
              </w:rPr>
              <w:t>11,783</w:t>
            </w: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22,322</w:t>
            </w:r>
          </w:p>
        </w:tc>
      </w:tr>
      <w:tr>
        <w:trPr>
          <w:trHeight w:val="222"/>
        </w:trPr>
        <w:tc>
          <w:tcPr>
            <w:tcW w:w="820" w:type="dxa"/>
            <w:vAlign w:val="bottom"/>
          </w:tcPr>
          <w:p>
            <w:pPr>
              <w:jc w:val="right"/>
              <w:ind w:right="30"/>
              <w:spacing w:after="0"/>
              <w:rPr>
                <w:sz w:val="20"/>
                <w:szCs w:val="20"/>
                <w:color w:val="auto"/>
              </w:rPr>
            </w:pPr>
            <w:r>
              <w:rPr>
                <w:rFonts w:ascii="Arial" w:cs="Arial" w:eastAsia="Arial" w:hAnsi="Arial"/>
                <w:sz w:val="10"/>
                <w:szCs w:val="10"/>
                <w:color w:val="auto"/>
              </w:rPr>
              <w:t>(7,813)</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(1,185)</w:t>
            </w: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0"/>
              <w:spacing w:after="0"/>
              <w:rPr>
                <w:sz w:val="20"/>
                <w:szCs w:val="20"/>
                <w:color w:val="auto"/>
              </w:rPr>
            </w:pPr>
            <w:r>
              <w:rPr>
                <w:rFonts w:ascii="Arial" w:cs="Arial" w:eastAsia="Arial" w:hAnsi="Arial"/>
                <w:sz w:val="10"/>
                <w:szCs w:val="10"/>
                <w:color w:val="auto"/>
              </w:rPr>
              <w:t>(8,997)</w:t>
            </w:r>
          </w:p>
        </w:tc>
        <w:tc>
          <w:tcPr>
            <w:tcW w:w="1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0"/>
                <w:szCs w:val="10"/>
                <w:color w:val="auto"/>
              </w:rPr>
              <w:t>(7,998)</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(1,041)</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0"/>
              <w:spacing w:after="0"/>
              <w:rPr>
                <w:sz w:val="20"/>
                <w:szCs w:val="20"/>
                <w:color w:val="auto"/>
              </w:rPr>
            </w:pPr>
            <w:r>
              <w:rPr>
                <w:rFonts w:ascii="Arial" w:cs="Arial" w:eastAsia="Arial" w:hAnsi="Arial"/>
                <w:sz w:val="10"/>
                <w:szCs w:val="10"/>
                <w:color w:val="auto"/>
              </w:rPr>
              <w:t>(9,039)</w:t>
            </w:r>
          </w:p>
        </w:tc>
      </w:tr>
      <w:tr>
        <w:trPr>
          <w:trHeight w:val="189"/>
        </w:trPr>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31,042</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1,780</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13,154</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(1,423)</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44,554</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26,725</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1,484</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(1,464)</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38,860</w:t>
            </w:r>
          </w:p>
        </w:tc>
      </w:tr>
      <w:tr>
        <w:trPr>
          <w:trHeight w:val="222"/>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891</w:t>
            </w:r>
          </w:p>
        </w:tc>
        <w:tc>
          <w:tcPr>
            <w:tcW w:w="1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1,955</w:t>
            </w: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70"/>
              <w:spacing w:after="0"/>
              <w:rPr>
                <w:sz w:val="20"/>
                <w:szCs w:val="20"/>
                <w:color w:val="auto"/>
              </w:rPr>
            </w:pPr>
            <w:r>
              <w:rPr>
                <w:rFonts w:ascii="Arial" w:cs="Arial" w:eastAsia="Arial" w:hAnsi="Arial"/>
                <w:sz w:val="10"/>
                <w:szCs w:val="10"/>
                <w:color w:val="auto"/>
              </w:rPr>
              <w:t>1,370</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4,217</w:t>
            </w:r>
          </w:p>
        </w:tc>
        <w:tc>
          <w:tcPr>
            <w:tcW w:w="1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938</w:t>
            </w:r>
          </w:p>
        </w:tc>
        <w:tc>
          <w:tcPr>
            <w:tcW w:w="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1,607</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70"/>
              <w:spacing w:after="0"/>
              <w:rPr>
                <w:sz w:val="20"/>
                <w:szCs w:val="20"/>
                <w:color w:val="auto"/>
              </w:rPr>
            </w:pPr>
            <w:r>
              <w:rPr>
                <w:rFonts w:ascii="Arial" w:cs="Arial" w:eastAsia="Arial" w:hAnsi="Arial"/>
                <w:sz w:val="10"/>
                <w:szCs w:val="10"/>
                <w:color w:val="auto"/>
              </w:rPr>
              <w:t>1,372</w:t>
            </w:r>
          </w:p>
        </w:tc>
        <w:tc>
          <w:tcPr>
            <w:tcW w:w="1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3,917</w:t>
            </w:r>
          </w:p>
        </w:tc>
      </w:tr>
      <w:tr>
        <w:trPr>
          <w:trHeight w:val="189"/>
        </w:trPr>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31,933</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3,735</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13,154</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(52)</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48,771</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27,663</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3,091</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42,777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-812165</wp:posOffset>
            </wp:positionV>
            <wp:extent cx="72745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-538480</wp:posOffset>
            </wp:positionV>
            <wp:extent cx="7274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-264795</wp:posOffset>
            </wp:positionV>
            <wp:extent cx="72745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8255</wp:posOffset>
            </wp:positionV>
            <wp:extent cx="72745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1900" w:space="520"/>
            <w:col w:w="9040"/>
          </w:cols>
          <w:pgMar w:left="220" w:top="470" w:right="219" w:bottom="1440" w:gutter="0" w:footer="0" w:header="0"/>
          <w:type w:val="continuous"/>
        </w:sectPr>
      </w:pPr>
    </w:p>
    <w:tbl>
      <w:tblPr>
        <w:tblLayout w:type="fixed"/>
        <w:tblInd w:w="20" w:type="dxa"/>
        <w:tblCellMar>
          <w:top w:w="0" w:type="dxa"/>
          <w:left w:w="0" w:type="dxa"/>
          <w:bottom w:w="0" w:type="dxa"/>
          <w:right w:w="0" w:type="dxa"/>
        </w:tblCellMar>
      </w:tblPr>
      <w:tr>
        <w:trPr>
          <w:trHeight w:val="133"/>
        </w:trPr>
        <w:tc>
          <w:tcPr>
            <w:tcW w:w="1840" w:type="dxa"/>
            <w:vAlign w:val="bottom"/>
          </w:tcPr>
          <w:p>
            <w:pPr>
              <w:spacing w:after="0"/>
              <w:rPr>
                <w:sz w:val="20"/>
                <w:szCs w:val="20"/>
                <w:color w:val="auto"/>
              </w:rPr>
            </w:pPr>
            <w:r>
              <w:rPr>
                <w:rFonts w:ascii="Arial" w:cs="Arial" w:eastAsia="Arial" w:hAnsi="Arial"/>
                <w:sz w:val="10"/>
                <w:szCs w:val="10"/>
                <w:b w:val="1"/>
                <w:bCs w:val="1"/>
                <w:color w:val="auto"/>
              </w:rPr>
              <w:t>Total Liabilities and Equity</w:t>
            </w:r>
          </w:p>
        </w:tc>
        <w:tc>
          <w:tcPr>
            <w:tcW w:w="76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90"/>
              <w:spacing w:after="0"/>
              <w:rPr>
                <w:sz w:val="20"/>
                <w:szCs w:val="20"/>
                <w:color w:val="auto"/>
              </w:rPr>
            </w:pPr>
            <w:r>
              <w:rPr>
                <w:rFonts w:ascii="Arial" w:cs="Arial" w:eastAsia="Arial" w:hAnsi="Arial"/>
                <w:sz w:val="10"/>
                <w:szCs w:val="10"/>
                <w:color w:val="auto"/>
              </w:rPr>
              <w:t>119,485</w:t>
            </w: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color w:val="auto"/>
              </w:rPr>
              <w:t>$   4,406</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0"/>
                <w:szCs w:val="10"/>
                <w:color w:val="auto"/>
              </w:rPr>
              <w:t>109,099</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0"/>
                <w:szCs w:val="10"/>
                <w:color w:val="auto"/>
              </w:rPr>
              <w:t>(1,461)</w:t>
            </w:r>
          </w:p>
        </w:tc>
        <w:tc>
          <w:tcPr>
            <w:tcW w:w="2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231,529</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115,678</w:t>
            </w:r>
          </w:p>
        </w:tc>
        <w:tc>
          <w:tcPr>
            <w:tcW w:w="640" w:type="dxa"/>
            <w:vAlign w:val="bottom"/>
            <w:vMerge w:val="restart"/>
          </w:tcPr>
          <w:p>
            <w:pPr>
              <w:jc w:val="right"/>
              <w:ind w:right="50"/>
              <w:spacing w:after="0"/>
              <w:rPr>
                <w:sz w:val="20"/>
                <w:szCs w:val="20"/>
                <w:color w:val="auto"/>
              </w:rPr>
            </w:pPr>
            <w:r>
              <w:rPr>
                <w:rFonts w:ascii="Arial" w:cs="Arial" w:eastAsia="Arial" w:hAnsi="Arial"/>
                <w:sz w:val="10"/>
                <w:szCs w:val="10"/>
                <w:color w:val="auto"/>
              </w:rPr>
              <w:t>$  3,195</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109,953</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(1,487)</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227,339</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22225</wp:posOffset>
            </wp:positionV>
            <wp:extent cx="574167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1670"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9"/>
          <w:szCs w:val="9"/>
          <w:color w:val="auto"/>
        </w:rPr>
        <w:t>_________</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Amounts may not sum due to rounding.</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 primarily includes Cruise investment in GM common stock at September 30,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primarily include Automotive accounts receivable of $63 million offset by GM Financial accounts payable and GM Financial accounts receivable of $695 million offset by Automotive accounts payable at September 30, 2019 and Automotive accounts receivable of $63 million offset by GM Financial accounts payable and GM Financial accounts receivable of $729 million offset by Automotive accounts payable at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include GM Financial loan receivable of $572 million and $579 million offset by an Automotive loan payable at September 30,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Includes the reclassification of the current portion of Equipment on operating leases, net. The prior period has been recast to reflect the changes.</w:t>
      </w:r>
    </w:p>
    <w:p>
      <w:pPr>
        <w:ind w:left="260" w:hanging="254"/>
        <w:spacing w:after="0"/>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Primarily reclassification of GM Financial Cumulative Perpetual Preferred Stock, Series A and B. The preferred stock is classified as noncontrolling interests in our condensed consolidated balance sheet.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470" w:right="21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millions) (Unaudited)(a)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5"/>
          </w:tcPr>
          <w:p>
            <w:pPr>
              <w:ind w:left="40"/>
              <w:spacing w:after="0"/>
              <w:rPr>
                <w:sz w:val="20"/>
                <w:szCs w:val="20"/>
                <w:color w:val="auto"/>
              </w:rPr>
            </w:pPr>
            <w:r>
              <w:rPr>
                <w:rFonts w:ascii="Arial" w:cs="Arial" w:eastAsia="Arial" w:hAnsi="Arial"/>
                <w:sz w:val="7"/>
                <w:szCs w:val="7"/>
                <w:b w:val="1"/>
                <w:bCs w:val="1"/>
                <w:color w:val="auto"/>
              </w:rPr>
              <w:t>Nine Months Ended September 30, 2019</w:t>
            </w: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7"/>
                <w:szCs w:val="7"/>
                <w:b w:val="1"/>
                <w:bCs w:val="1"/>
                <w:color w:val="auto"/>
              </w:rPr>
              <w:t>Nine Months Ended September 30, 2018</w:t>
            </w: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17"/>
                <w:szCs w:val="17"/>
                <w:color w:val="auto"/>
              </w:rPr>
            </w:pPr>
          </w:p>
        </w:tc>
        <w:tc>
          <w:tcPr>
            <w:tcW w:w="460" w:type="dxa"/>
            <w:vAlign w:val="bottom"/>
          </w:tcPr>
          <w:p>
            <w:pPr>
              <w:jc w:val="right"/>
              <w:ind w:right="13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8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17"/>
                <w:szCs w:val="17"/>
                <w:color w:val="auto"/>
              </w:rPr>
            </w:pPr>
          </w:p>
        </w:tc>
        <w:tc>
          <w:tcPr>
            <w:tcW w:w="420" w:type="dxa"/>
            <w:vAlign w:val="bottom"/>
          </w:tcPr>
          <w:p>
            <w:pPr>
              <w:jc w:val="right"/>
              <w:ind w:right="11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4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540" w:type="dxa"/>
            <w:vAlign w:val="bottom"/>
          </w:tcPr>
          <w:p>
            <w:pPr>
              <w:jc w:val="right"/>
              <w:ind w:right="90"/>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2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6,192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1,201</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6,859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5,203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1,241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6,006</w:t>
            </w:r>
          </w:p>
        </w:tc>
        <w:tc>
          <w:tcPr>
            <w:tcW w:w="0" w:type="dxa"/>
            <w:vAlign w:val="bottom"/>
          </w:tcPr>
          <w:p>
            <w:pPr>
              <w:spacing w:after="0"/>
              <w:rPr>
                <w:sz w:val="1"/>
                <w:szCs w:val="1"/>
                <w:color w:val="auto"/>
              </w:rPr>
            </w:pPr>
          </w:p>
        </w:tc>
      </w:tr>
      <w:tr>
        <w:trPr>
          <w:trHeight w:val="125"/>
        </w:trPr>
        <w:tc>
          <w:tcPr>
            <w:tcW w:w="3100" w:type="dxa"/>
            <w:vAlign w:val="bottom"/>
          </w:tcPr>
          <w:p>
            <w:pPr>
              <w:ind w:left="140"/>
              <w:spacing w:after="0"/>
              <w:rPr>
                <w:sz w:val="20"/>
                <w:szCs w:val="20"/>
                <w:color w:val="auto"/>
              </w:rPr>
            </w:pPr>
            <w:r>
              <w:rPr>
                <w:rFonts w:ascii="Arial" w:cs="Arial" w:eastAsia="Arial" w:hAnsi="Arial"/>
                <w:sz w:val="10"/>
                <w:szCs w:val="10"/>
                <w:color w:val="auto"/>
              </w:rPr>
              <w:t>Depreciation and impairment of Equipment on operating leases,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60"/>
              <w:spacing w:after="0"/>
              <w:rPr>
                <w:sz w:val="20"/>
                <w:szCs w:val="20"/>
                <w:color w:val="auto"/>
              </w:rPr>
            </w:pPr>
            <w:r>
              <w:rPr>
                <w:rFonts w:ascii="Arial" w:cs="Arial" w:eastAsia="Arial" w:hAnsi="Arial"/>
                <w:sz w:val="10"/>
                <w:szCs w:val="10"/>
                <w:color w:val="auto"/>
              </w:rPr>
              <w:t>net</w:t>
            </w:r>
          </w:p>
        </w:tc>
        <w:tc>
          <w:tcPr>
            <w:tcW w:w="12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5,525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5,573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5,509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5,633</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amortization and impairment charges on Property,</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5,189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5,259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4,334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4,390</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Foreign currency remeasurement and transaction (gains) losses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280</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Undistributed earnings of nonconsolidated affiliates,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(126)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(789)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(789)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(1,750)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(1,750)</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(940)</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(193)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332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165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680</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 in other operating assets and liabilities(b)(c)</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(3,964)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(676)</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(802)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(5,310)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(2,727)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(1,527)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(1,098)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(5,258)</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20" w:type="dxa"/>
            <w:vAlign w:val="bottom"/>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6,623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0"/>
                <w:szCs w:val="10"/>
                <w:color w:val="auto"/>
              </w:rPr>
              <w:t>(562)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6,304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0"/>
                <w:szCs w:val="10"/>
                <w:color w:val="auto"/>
              </w:rPr>
              <w:t>(817)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11,548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5,438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ind w:right="10"/>
              <w:spacing w:after="0"/>
              <w:rPr>
                <w:sz w:val="20"/>
                <w:szCs w:val="20"/>
                <w:color w:val="auto"/>
              </w:rPr>
            </w:pPr>
            <w:r>
              <w:rPr>
                <w:rFonts w:ascii="Arial" w:cs="Arial" w:eastAsia="Arial" w:hAnsi="Arial"/>
                <w:sz w:val="10"/>
                <w:szCs w:val="10"/>
                <w:color w:val="auto"/>
              </w:rPr>
              <w:t>(428)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5,308</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color w:val="auto"/>
              </w:rPr>
              <w:t>(1,092)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9,226</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(4,779)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(4,852)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(6,496)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(6,562)</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Available-for-sale marketable securities, acquisitions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(2,077)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(1,053)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(3,130)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(2,313)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(2,313)</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Available-for-sale marketable securities, liquidations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2,112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514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4"/>
                <w:szCs w:val="14"/>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2,587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4,637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4,637</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finance receivables, net(b)(c)</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(20,466)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(19,027)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(18,680)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(17,297)</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Principal collections and recoveries on finance receivables(c)</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17,733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(645)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17,088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(234)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11,776</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(12,488)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(12,488)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(13,051)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(13,051)</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9,982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9,983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8,094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8,094</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investing activities(d)</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(538)</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689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(1,349)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18"/>
        </w:trPr>
        <w:tc>
          <w:tcPr>
            <w:tcW w:w="3100" w:type="dxa"/>
            <w:vAlign w:val="bottom"/>
          </w:tcPr>
          <w:p>
            <w:pPr>
              <w:ind w:left="140"/>
              <w:spacing w:after="0"/>
              <w:rPr>
                <w:sz w:val="20"/>
                <w:szCs w:val="20"/>
                <w:color w:val="auto"/>
              </w:rPr>
            </w:pPr>
            <w:r>
              <w:rPr>
                <w:rFonts w:ascii="Arial" w:cs="Arial" w:eastAsia="Arial" w:hAnsi="Arial"/>
                <w:sz w:val="10"/>
                <w:szCs w:val="10"/>
                <w:color w:val="auto"/>
              </w:rPr>
              <w:t>Net cash used in investing activities – continuing operations</w:t>
            </w:r>
          </w:p>
        </w:tc>
        <w:tc>
          <w:tcPr>
            <w:tcW w:w="120" w:type="dxa"/>
            <w:vAlign w:val="bottom"/>
          </w:tcPr>
          <w:p>
            <w:pPr>
              <w:spacing w:after="0"/>
              <w:rPr>
                <w:sz w:val="10"/>
                <w:szCs w:val="10"/>
                <w:color w:val="auto"/>
              </w:rPr>
            </w:pPr>
          </w:p>
        </w:tc>
        <w:tc>
          <w:tcPr>
            <w:tcW w:w="580" w:type="dxa"/>
            <w:vAlign w:val="bottom"/>
            <w:vMerge w:val="restart"/>
          </w:tcPr>
          <w:p>
            <w:pPr>
              <w:jc w:val="right"/>
              <w:ind w:right="30"/>
              <w:spacing w:after="0"/>
              <w:rPr>
                <w:sz w:val="20"/>
                <w:szCs w:val="20"/>
                <w:color w:val="auto"/>
              </w:rPr>
            </w:pPr>
            <w:r>
              <w:rPr>
                <w:rFonts w:ascii="Arial" w:cs="Arial" w:eastAsia="Arial" w:hAnsi="Arial"/>
                <w:sz w:val="10"/>
                <w:szCs w:val="10"/>
                <w:color w:val="auto"/>
              </w:rPr>
              <w:t>(5,283)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0"/>
                <w:szCs w:val="10"/>
                <w:color w:val="auto"/>
              </w:rPr>
              <w:t>(578)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0"/>
                <w:szCs w:val="10"/>
                <w:color w:val="auto"/>
              </w:rPr>
              <w:t>(5,275)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1,443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(9,691)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0"/>
                <w:szCs w:val="10"/>
                <w:color w:val="auto"/>
              </w:rPr>
              <w:t>(5,521)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ind w:right="1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30"/>
              <w:spacing w:after="0"/>
              <w:rPr>
                <w:sz w:val="20"/>
                <w:szCs w:val="20"/>
                <w:color w:val="auto"/>
              </w:rPr>
            </w:pPr>
            <w:r>
              <w:rPr>
                <w:rFonts w:ascii="Arial" w:cs="Arial" w:eastAsia="Arial" w:hAnsi="Arial"/>
                <w:sz w:val="10"/>
                <w:szCs w:val="10"/>
                <w:color w:val="auto"/>
              </w:rPr>
              <w:t>(11,727)</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2,522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0"/>
                <w:szCs w:val="10"/>
                <w:color w:val="auto"/>
              </w:rPr>
              <w:t>(14,741)</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cash provided by investing activities – discontinued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operations</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(5,283)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(578)</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(5,275)</w:t>
            </w: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1,443</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(9,691)</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(5,355)</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(11,727)</w:t>
            </w: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2,522</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(14,575)</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Net increase in short-term debt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729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756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1,563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1,695</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debt (original maturities greater than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three months)(d)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1,159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26,676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27,835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4,708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28,093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32,801</w:t>
            </w: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Payments on debt (original maturities greater than three months)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(447)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(28,985)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(29,432)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(2,208)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(23,133)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(25,408)</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preferred stock(d)</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463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492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1,753</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40"/>
              <w:spacing w:after="0"/>
              <w:rPr>
                <w:sz w:val="20"/>
                <w:szCs w:val="20"/>
                <w:color w:val="auto"/>
              </w:rPr>
            </w:pPr>
            <w:r>
              <w:rPr>
                <w:rFonts w:ascii="Arial" w:cs="Arial" w:eastAsia="Arial" w:hAnsi="Arial"/>
                <w:sz w:val="10"/>
                <w:szCs w:val="10"/>
                <w:color w:val="auto"/>
              </w:rPr>
              <w:t>Dividends paid</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(1,656)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(91)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(1,792)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(1,615)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0"/>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(1,690)</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financing activities(e)</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(102)</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(417)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(539)</w:t>
            </w:r>
          </w:p>
        </w:tc>
        <w:tc>
          <w:tcPr>
            <w:tcW w:w="0" w:type="dxa"/>
            <w:vAlign w:val="bottom"/>
          </w:tcPr>
          <w:p>
            <w:pPr>
              <w:spacing w:after="0"/>
              <w:rPr>
                <w:sz w:val="1"/>
                <w:szCs w:val="1"/>
                <w:color w:val="auto"/>
              </w:rPr>
            </w:pPr>
          </w:p>
        </w:tc>
      </w:tr>
      <w:tr>
        <w:trPr>
          <w:trHeight w:val="78"/>
        </w:trPr>
        <w:tc>
          <w:tcPr>
            <w:tcW w:w="3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2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(344)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1,100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(2,475)</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0"/>
                <w:szCs w:val="10"/>
                <w:color w:val="auto"/>
              </w:rPr>
              <w:t>(628)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(2,345)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2,243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6,838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(1,430)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8,612</w:t>
            </w:r>
          </w:p>
        </w:tc>
        <w:tc>
          <w:tcPr>
            <w:tcW w:w="0" w:type="dxa"/>
            <w:vAlign w:val="bottom"/>
          </w:tcPr>
          <w:p>
            <w:pPr>
              <w:spacing w:after="0"/>
              <w:rPr>
                <w:sz w:val="1"/>
                <w:szCs w:val="1"/>
                <w:color w:val="auto"/>
              </w:rPr>
            </w:pPr>
          </w:p>
        </w:tc>
      </w:tr>
      <w:tr>
        <w:trPr>
          <w:trHeight w:val="131"/>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Effect of exchange rate changes on cash, cash equivalents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restricted cash</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105"/>
        </w:trPr>
        <w:tc>
          <w:tcPr>
            <w:tcW w:w="3100" w:type="dxa"/>
            <w:vAlign w:val="bottom"/>
          </w:tcPr>
          <w:p>
            <w:pPr>
              <w:ind w:left="140"/>
              <w:spacing w:after="0" w:line="105" w:lineRule="exact"/>
              <w:rPr>
                <w:sz w:val="20"/>
                <w:szCs w:val="20"/>
                <w:color w:val="auto"/>
              </w:rPr>
            </w:pPr>
            <w:r>
              <w:rPr>
                <w:rFonts w:ascii="Arial" w:cs="Arial" w:eastAsia="Arial" w:hAnsi="Arial"/>
                <w:sz w:val="10"/>
                <w:szCs w:val="10"/>
                <w:color w:val="auto"/>
              </w:rPr>
              <w:t>Net increase (decrease) in cash, cash equivalents and restricted</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00" w:type="dxa"/>
            <w:vAlign w:val="bottom"/>
          </w:tcPr>
          <w:p>
            <w:pPr>
              <w:ind w:left="260"/>
              <w:spacing w:after="0"/>
              <w:rPr>
                <w:sz w:val="20"/>
                <w:szCs w:val="20"/>
                <w:color w:val="auto"/>
              </w:rPr>
            </w:pPr>
            <w:r>
              <w:rPr>
                <w:rFonts w:ascii="Arial" w:cs="Arial" w:eastAsia="Arial" w:hAnsi="Arial"/>
                <w:sz w:val="10"/>
                <w:szCs w:val="10"/>
                <w:color w:val="auto"/>
              </w:rPr>
              <w:t>cash</w:t>
            </w:r>
          </w:p>
        </w:tc>
        <w:tc>
          <w:tcPr>
            <w:tcW w:w="12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(1,466)</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847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1,800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363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3,010</w:t>
            </w: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13,762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2,291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7,443</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23,496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11,258</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6,567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rPr>
              <w:t>17,848</w:t>
            </w:r>
          </w:p>
        </w:tc>
        <w:tc>
          <w:tcPr>
            <w:tcW w:w="0" w:type="dxa"/>
            <w:vAlign w:val="bottom"/>
          </w:tcPr>
          <w:p>
            <w:pPr>
              <w:spacing w:after="0"/>
              <w:rPr>
                <w:sz w:val="1"/>
                <w:szCs w:val="1"/>
                <w:color w:val="auto"/>
              </w:rPr>
            </w:pPr>
          </w:p>
        </w:tc>
      </w:tr>
      <w:tr>
        <w:trPr>
          <w:trHeight w:val="11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14,670</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70"/>
              <w:spacing w:after="0"/>
              <w:rPr>
                <w:sz w:val="20"/>
                <w:szCs w:val="20"/>
                <w:color w:val="auto"/>
              </w:rPr>
            </w:pPr>
            <w:r>
              <w:rPr>
                <w:rFonts w:ascii="Arial" w:cs="Arial" w:eastAsia="Arial" w:hAnsi="Arial"/>
                <w:sz w:val="10"/>
                <w:szCs w:val="10"/>
                <w:color w:val="auto"/>
              </w:rPr>
              <w:t>2,251</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5,978</w:t>
            </w:r>
          </w:p>
        </w:tc>
        <w:tc>
          <w:tcPr>
            <w:tcW w:w="12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22,899</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12,105</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50"/>
              <w:spacing w:after="0"/>
              <w:rPr>
                <w:sz w:val="20"/>
                <w:szCs w:val="20"/>
                <w:color w:val="auto"/>
              </w:rPr>
            </w:pPr>
            <w:r>
              <w:rPr>
                <w:rFonts w:ascii="Arial" w:cs="Arial" w:eastAsia="Arial" w:hAnsi="Arial"/>
                <w:sz w:val="10"/>
                <w:szCs w:val="10"/>
                <w:color w:val="auto"/>
              </w:rPr>
              <w:t>1,823</w:t>
            </w:r>
          </w:p>
        </w:tc>
        <w:tc>
          <w:tcPr>
            <w:tcW w:w="20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6,930</w:t>
            </w:r>
          </w:p>
        </w:tc>
        <w:tc>
          <w:tcPr>
            <w:tcW w:w="100" w:type="dxa"/>
            <w:vAlign w:val="bottom"/>
          </w:tcPr>
          <w:p>
            <w:pPr>
              <w:spacing w:after="0"/>
              <w:rPr>
                <w:sz w:val="10"/>
                <w:szCs w:val="10"/>
                <w:color w:val="auto"/>
              </w:rPr>
            </w:pPr>
          </w:p>
        </w:tc>
        <w:tc>
          <w:tcPr>
            <w:tcW w:w="5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20,858</w:t>
            </w: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rPr>
                <w:sz w:val="20"/>
                <w:szCs w:val="20"/>
                <w:color w:val="auto"/>
              </w:rPr>
            </w:pPr>
            <w:r>
              <w:rPr>
                <w:rFonts w:ascii="Arial" w:cs="Arial" w:eastAsia="Arial" w:hAnsi="Arial"/>
                <w:sz w:val="10"/>
                <w:szCs w:val="10"/>
                <w:color w:val="auto"/>
              </w:rPr>
              <w:t>Cash, cash equivalents and restricted cash –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160"/>
              <w:spacing w:after="0"/>
              <w:rPr>
                <w:sz w:val="20"/>
                <w:szCs w:val="20"/>
                <w:color w:val="auto"/>
              </w:rPr>
            </w:pPr>
            <w:r>
              <w:rPr>
                <w:rFonts w:ascii="Arial" w:cs="Arial" w:eastAsia="Arial" w:hAnsi="Arial"/>
                <w:sz w:val="10"/>
                <w:szCs w:val="10"/>
                <w:color w:val="auto"/>
              </w:rPr>
              <w:t>at end of period</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14,670</w:t>
            </w:r>
          </w:p>
        </w:tc>
        <w:tc>
          <w:tcPr>
            <w:tcW w:w="1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0"/>
              <w:spacing w:after="0"/>
              <w:rPr>
                <w:sz w:val="20"/>
                <w:szCs w:val="20"/>
                <w:color w:val="auto"/>
              </w:rPr>
            </w:pPr>
            <w:r>
              <w:rPr>
                <w:rFonts w:ascii="Arial" w:cs="Arial" w:eastAsia="Arial" w:hAnsi="Arial"/>
                <w:sz w:val="10"/>
                <w:szCs w:val="10"/>
                <w:color w:val="auto"/>
              </w:rPr>
              <w:t>2,251</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5,978</w:t>
            </w:r>
          </w:p>
        </w:tc>
        <w:tc>
          <w:tcPr>
            <w:tcW w:w="1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22,899</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12,105</w:t>
            </w:r>
          </w:p>
        </w:tc>
        <w:tc>
          <w:tcPr>
            <w:tcW w:w="1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1,823</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6,930</w:t>
            </w:r>
          </w:p>
        </w:tc>
        <w:tc>
          <w:tcPr>
            <w:tcW w:w="10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20,858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253605" cy="164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446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_________</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Amounts may not sum due to rounding.</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Includes reclassifications of $732 million and $965 million in the nine months ended September 30, 2019 and 2018 for purchases/collections of wholesale finance receivables resulting from vehicles sold by GM to dealers that have arranged their inventory floor plan financing through GM Financial.</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Eliminations include $706 million and $418 million in Purchases of finance receivables, net in the nine months ended September 30, 2019 and 2018 and $645 million and $234 million in Principal collections and recoveries on finance receivables in the nine months ended September 30, 2019 and 2018 primarily related to the re-timing of cash receipts and payments between Automotive and GM Financial.</w:t>
      </w: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$689 million and $1.4 billion in the nine months ended September 30, 2019 and 2018 for Automotive cash injections in Cruise, inclusive of investments of $687 million and $1.1 billion in Cruise Preferred Shares in the nine months ended September 30, 2019 and 2018.</w:t>
      </w:r>
    </w:p>
    <w:p>
      <w:pPr>
        <w:spacing w:after="0" w:line="4" w:lineRule="exact"/>
        <w:rPr>
          <w:rFonts w:ascii="Arial" w:cs="Arial" w:eastAsia="Arial" w:hAnsi="Arial"/>
          <w:sz w:val="8"/>
          <w:szCs w:val="8"/>
          <w:color w:val="auto"/>
        </w:rPr>
      </w:pPr>
    </w:p>
    <w:p>
      <w:pPr>
        <w:ind w:left="260" w:hanging="254"/>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Includes the reclassification of Payments to purchase common stock. The prior period has been recast to reflect the changes.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sectPr>
      <w:pgSz w:w="11900" w:h="16838" w:orient="portrait"/>
      <w:cols w:equalWidth="0" w:num="1">
        <w:col w:w="11460"/>
      </w:cols>
      <w:pgMar w:left="220" w:top="47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2019-12-28T04:12:44Z</dcterms:created>
  <dcterms:modified xsi:type="dcterms:W3CDTF">2019-12-28T04:12:44Z</dcterms:modified>
</cp:coreProperties>
</file>