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Jacoby Stefan</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3"/>
        <w:spacing w:after="0"/>
        <w:rPr>
          <w:sz w:val="20"/>
          <w:szCs w:val="20"/>
          <w:color w:val="auto"/>
        </w:rPr>
      </w:pPr>
      <w:r>
        <w:rPr>
          <w:rFonts w:ascii="Arial" w:cs="Arial" w:eastAsia="Arial" w:hAnsi="Arial"/>
          <w:sz w:val="17"/>
          <w:szCs w:val="17"/>
          <w:color w:val="0000FF"/>
        </w:rPr>
        <w:t>Executive 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17,422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12"/>
                <w:szCs w:val="12"/>
                <w:color w:val="auto"/>
              </w:rPr>
            </w:pPr>
          </w:p>
        </w:tc>
        <w:tc>
          <w:tcPr>
            <w:tcW w:w="1000" w:type="dxa"/>
            <w:vAlign w:val="bottom"/>
          </w:tcPr>
          <w:p>
            <w:pPr>
              <w:ind w:left="200"/>
              <w:spacing w:after="0" w:line="145" w:lineRule="exact"/>
              <w:rPr>
                <w:sz w:val="20"/>
                <w:szCs w:val="20"/>
                <w:color w:val="auto"/>
              </w:rPr>
            </w:pPr>
            <w:r>
              <w:rPr>
                <w:rFonts w:ascii="Arial" w:cs="Arial" w:eastAsia="Arial" w:hAnsi="Arial"/>
                <w:sz w:val="13"/>
                <w:szCs w:val="13"/>
                <w:color w:val="0000FF"/>
              </w:rPr>
              <w:t>02/11/2015</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17,422</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(2)</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17,422</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February 11, 2015, pursuant to the Company's 2014 Long-Term Incentive Plan (the "GMLTIP"). The RSUs will vest annually in three equal installments beginning on February 11, 2016 pursuant to the terms of the GMLTIP. Upon vesting, each RSU will be settled by delivery of one share of the Company's common stock.</w:t>
      </w:r>
    </w:p>
    <w:p>
      <w:pPr>
        <w:sectPr>
          <w:pgSz w:w="11900" w:h="16838" w:orient="portrait"/>
          <w:cols w:equalWidth="0" w:num="1">
            <w:col w:w="11520"/>
          </w:cols>
          <w:pgMar w:left="240" w:top="225" w:right="139" w:bottom="1440" w:gutter="0" w:footer="0" w:header="0"/>
          <w:type w:val="continuous"/>
        </w:sectPr>
      </w:pPr>
    </w:p>
    <w:p>
      <w:pPr>
        <w:spacing w:after="0" w:line="1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2. The RSUs do not have a date on which they become exercisable or expire.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062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2355" cy="8255"/>
                    </a:xfrm>
                    <a:prstGeom prst="rect">
                      <a:avLst/>
                    </a:prstGeom>
                    <a:noFill/>
                  </pic:spPr>
                </pic:pic>
              </a:graphicData>
            </a:graphic>
          </wp:anchor>
        </w:drawing>
      </w:r>
    </w:p>
    <w:p>
      <w:pPr>
        <w:spacing w:after="0" w:line="6"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attorney-in-fact for Mr. Jacoby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-4445</wp:posOffset>
            </wp:positionV>
            <wp:extent cx="13665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6520" cy="8255"/>
                    </a:xfrm>
                    <a:prstGeom prst="rect">
                      <a:avLst/>
                    </a:prstGeom>
                    <a:noFill/>
                  </pic:spPr>
                </pic:pic>
              </a:graphicData>
            </a:graphic>
          </wp:anchor>
        </w:drawing>
      </w:r>
    </w:p>
    <w:p>
      <w:pPr>
        <w:spacing w:after="0" w:line="66"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12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5"/>
          <w:szCs w:val="15"/>
          <w:color w:val="0000FF"/>
        </w:rPr>
        <w:t>02/13/2015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41" w:lineRule="exact"/>
        <w:rPr>
          <w:sz w:val="24"/>
          <w:szCs w:val="24"/>
          <w:color w:val="auto"/>
        </w:rPr>
      </w:pPr>
    </w:p>
    <w:p>
      <w:pPr>
        <w:sectPr>
          <w:pgSz w:w="11900" w:h="16838" w:orient="portrait"/>
          <w:cols w:equalWidth="0" w:num="2">
            <w:col w:w="9020" w:space="14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8355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2019-12-08T21:19:25Z</dcterms:created>
  <dcterms:modified xsi:type="dcterms:W3CDTF">2019-12-08T21:19:25Z</dcterms:modified>
</cp:coreProperties>
</file>