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General Motors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37045V100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99,065,165</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99,065,165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99,065,165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37045V100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jc w:val="right"/>
        <w:ind w:right="7159"/>
        <w:spacing w:after="0"/>
        <w:tabs>
          <w:tab w:leader="none" w:pos="50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jc w:val="right"/>
        <w:ind w:right="7159"/>
        <w:spacing w:after="0" w:line="238" w:lineRule="auto"/>
        <w:rPr>
          <w:sz w:val="20"/>
          <w:szCs w:val="20"/>
          <w:color w:val="auto"/>
        </w:rPr>
      </w:pPr>
      <w:r>
        <w:rPr>
          <w:rFonts w:ascii="Courier New" w:cs="Courier New" w:eastAsia="Courier New" w:hAnsi="Courier New"/>
          <w:sz w:val="18"/>
          <w:szCs w:val="18"/>
          <w:color w:val="auto"/>
        </w:rPr>
        <w:t>General Motors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300 Renaissance Center</w:t>
      </w:r>
    </w:p>
    <w:p>
      <w:pPr>
        <w:ind w:left="740"/>
        <w:spacing w:after="0"/>
        <w:rPr>
          <w:sz w:val="20"/>
          <w:szCs w:val="20"/>
          <w:color w:val="auto"/>
        </w:rPr>
      </w:pPr>
      <w:r>
        <w:rPr>
          <w:rFonts w:ascii="Courier New" w:cs="Courier New" w:eastAsia="Courier New" w:hAnsi="Courier New"/>
          <w:sz w:val="18"/>
          <w:szCs w:val="18"/>
          <w:color w:val="auto"/>
        </w:rPr>
        <w:t>Detroit, Michigan 48265-3000</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37045V100</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99,065,165 shares or 6.3% of the 1,584,534,810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385" w:lineRule="exact"/>
        <w:rPr>
          <w:sz w:val="20"/>
          <w:szCs w:val="20"/>
          <w:color w:val="auto"/>
        </w:rPr>
      </w:pPr>
    </w:p>
    <w:p>
      <w:pPr>
        <w:ind w:left="740" w:right="3159"/>
        <w:spacing w:after="0" w:line="237" w:lineRule="auto"/>
        <w:rPr>
          <w:sz w:val="20"/>
          <w:szCs w:val="20"/>
          <w:color w:val="auto"/>
        </w:rPr>
      </w:pPr>
      <w:r>
        <w:rPr>
          <w:rFonts w:ascii="Courier New" w:cs="Courier New" w:eastAsia="Courier New" w:hAnsi="Courier New"/>
          <w:sz w:val="18"/>
          <w:szCs w:val="18"/>
          <w:color w:val="auto"/>
        </w:rPr>
        <w:t>Shares reported by Capital Research Global Investors include 18,514,915 shares resulting from the assumed conversion of 12,219,453 shares of the 4.75% Series B Junior Convertible Preferred Stock.</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sectPr>
          <w:pgSz w:w="11900" w:h="16838" w:orient="portrait"/>
          <w:cols w:equalWidth="0" w:num="1">
            <w:col w:w="10219"/>
          </w:cols>
          <w:pgMar w:left="240" w:top="136" w:right="1440" w:bottom="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4 of 4</w:t>
      </w:r>
    </w:p>
    <w:p>
      <w:pPr>
        <w:sectPr>
          <w:pgSz w:w="11900" w:h="16838" w:orient="portrait"/>
          <w:cols w:equalWidth="0" w:num="1">
            <w:col w:w="10219"/>
          </w:cols>
          <w:pgMar w:left="240" w:top="136"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2019-12-07T20:01:45Z</dcterms:created>
  <dcterms:modified xsi:type="dcterms:W3CDTF">2019-12-07T20:01:45Z</dcterms:modified>
</cp:coreProperties>
</file>