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778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77811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Motors Liquidation Co GUC Trust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03/31/2011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WILMINGTON TRUST COMPANY</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RODNEY SQUARE NORTH, 1110 N.</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MARKET ST</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WILMINGTON DE</w:t>
            </w:r>
          </w:p>
        </w:tc>
        <w:tc>
          <w:tcPr>
            <w:tcW w:w="1240" w:type="dxa"/>
            <w:vAlign w:val="bottom"/>
          </w:tcPr>
          <w:p>
            <w:pPr>
              <w:jc w:val="right"/>
              <w:spacing w:after="0"/>
              <w:rPr>
                <w:sz w:val="20"/>
                <w:szCs w:val="20"/>
                <w:color w:val="auto"/>
              </w:rPr>
            </w:pPr>
            <w:r>
              <w:rPr>
                <w:rFonts w:ascii="Arial" w:cs="Arial" w:eastAsia="Arial" w:hAnsi="Arial"/>
                <w:sz w:val="18"/>
                <w:szCs w:val="18"/>
                <w:color w:val="0000FF"/>
              </w:rPr>
              <w:t>19890-1615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04/11/2011</w:t>
      </w:r>
    </w:p>
    <w:p>
      <w:pPr>
        <w:spacing w:after="0" w:line="394"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8" w:lineRule="exact"/>
        <w:rPr>
          <w:sz w:val="24"/>
          <w:szCs w:val="24"/>
          <w:color w:val="auto"/>
        </w:rPr>
      </w:pPr>
    </w:p>
    <w:p>
      <w:pPr>
        <w:jc w:val="right"/>
        <w:ind w:right="180"/>
        <w:spacing w:after="0"/>
        <w:rPr>
          <w:sz w:val="20"/>
          <w:szCs w:val="20"/>
          <w:color w:val="auto"/>
        </w:rPr>
      </w:pPr>
      <w:r>
        <w:rPr>
          <w:rFonts w:ascii="Arial" w:cs="Arial" w:eastAsia="Arial" w:hAnsi="Arial"/>
          <w:sz w:val="14"/>
          <w:szCs w:val="14"/>
          <w:color w:val="auto"/>
        </w:rPr>
        <w:t>Form filed by One Reporting Person</w:t>
      </w:r>
    </w:p>
    <w:p>
      <w:pPr>
        <w:spacing w:after="0" w:line="42" w:lineRule="exact"/>
        <w:rPr>
          <w:sz w:val="24"/>
          <w:szCs w:val="24"/>
          <w:color w:val="auto"/>
        </w:rPr>
      </w:pPr>
    </w:p>
    <w:p>
      <w:pPr>
        <w:ind w:left="483" w:right="640" w:hanging="316"/>
        <w:spacing w:after="0" w:line="180" w:lineRule="auto"/>
        <w:tabs>
          <w:tab w:leader="none" w:pos="483" w:val="left"/>
        </w:tabs>
        <w:numPr>
          <w:ilvl w:val="0"/>
          <w:numId w:val="4"/>
        </w:numPr>
        <w:rPr>
          <w:rFonts w:ascii="Arial" w:cs="Arial" w:eastAsia="Arial" w:hAnsi="Arial"/>
          <w:sz w:val="25"/>
          <w:szCs w:val="25"/>
          <w:color w:val="0000FF"/>
          <w:vertAlign w:val="subscript"/>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0" w:gutter="0" w:footer="0" w:header="0"/>
          <w:type w:val="continuous"/>
        </w:sectPr>
      </w:pPr>
    </w:p>
    <w:p>
      <w:pPr>
        <w:spacing w:after="0" w:line="5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2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7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1780" w:type="dxa"/>
            <w:vAlign w:val="bottom"/>
          </w:tcPr>
          <w:p>
            <w:pPr>
              <w:ind w:left="8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240" w:type="dxa"/>
            <w:vAlign w:val="bottom"/>
            <w:vMerge w:val="continue"/>
          </w:tcPr>
          <w:p>
            <w:pPr>
              <w:spacing w:after="0"/>
              <w:rPr>
                <w:sz w:val="15"/>
                <w:szCs w:val="15"/>
                <w:color w:val="auto"/>
              </w:rPr>
            </w:pPr>
          </w:p>
        </w:tc>
        <w:tc>
          <w:tcPr>
            <w:tcW w:w="1780" w:type="dxa"/>
            <w:vAlign w:val="bottom"/>
          </w:tcPr>
          <w:p>
            <w:pPr>
              <w:ind w:left="8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ind w:left="240"/>
              <w:spacing w:after="0"/>
              <w:rPr>
                <w:sz w:val="20"/>
                <w:szCs w:val="20"/>
                <w:color w:val="auto"/>
              </w:rPr>
            </w:pPr>
            <w:r>
              <w:rPr>
                <w:rFonts w:ascii="Arial" w:cs="Arial" w:eastAsia="Arial" w:hAnsi="Arial"/>
                <w:sz w:val="18"/>
                <w:szCs w:val="18"/>
                <w:color w:val="0000FF"/>
              </w:rPr>
              <w:t>Dispositive power</w:t>
            </w:r>
          </w:p>
        </w:tc>
      </w:tr>
      <w:tr>
        <w:trPr>
          <w:trHeight w:val="216"/>
        </w:trPr>
        <w:tc>
          <w:tcPr>
            <w:tcW w:w="2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0000FF"/>
              </w:rPr>
              <w:t>Warrants</w:t>
            </w:r>
          </w:p>
        </w:tc>
        <w:tc>
          <w:tcPr>
            <w:tcW w:w="1480" w:type="dxa"/>
            <w:vAlign w:val="bottom"/>
          </w:tcPr>
          <w:p>
            <w:pPr>
              <w:spacing w:after="0"/>
              <w:rPr>
                <w:sz w:val="18"/>
                <w:szCs w:val="18"/>
                <w:color w:val="auto"/>
              </w:rPr>
            </w:pPr>
          </w:p>
        </w:tc>
        <w:tc>
          <w:tcPr>
            <w:tcW w:w="2340" w:type="dxa"/>
            <w:vAlign w:val="bottom"/>
            <w:gridSpan w:val="5"/>
          </w:tcPr>
          <w:p>
            <w:pPr>
              <w:ind w:left="520"/>
              <w:spacing w:after="0" w:line="217" w:lineRule="exact"/>
              <w:rPr>
                <w:sz w:val="20"/>
                <w:szCs w:val="20"/>
                <w:color w:val="auto"/>
              </w:rPr>
            </w:pPr>
            <w:r>
              <w:rPr>
                <w:rFonts w:ascii="Arial" w:cs="Arial" w:eastAsia="Arial" w:hAnsi="Arial"/>
                <w:sz w:val="14"/>
                <w:szCs w:val="14"/>
                <w:color w:val="0000FF"/>
              </w:rPr>
              <w:t>07/10/2009   07/10/2019</w:t>
            </w:r>
            <w:r>
              <w:rPr>
                <w:rFonts w:ascii="Arial" w:cs="Arial" w:eastAsia="Arial" w:hAnsi="Arial"/>
                <w:sz w:val="22"/>
                <w:szCs w:val="22"/>
                <w:color w:val="008000"/>
                <w:vertAlign w:val="superscript"/>
              </w:rPr>
              <w:t>(1)</w:t>
            </w:r>
          </w:p>
        </w:tc>
        <w:tc>
          <w:tcPr>
            <w:tcW w:w="1600" w:type="dxa"/>
            <w:vAlign w:val="bottom"/>
          </w:tcPr>
          <w:p>
            <w:pPr>
              <w:ind w:left="260"/>
              <w:spacing w:after="0"/>
              <w:rPr>
                <w:sz w:val="20"/>
                <w:szCs w:val="20"/>
                <w:color w:val="auto"/>
              </w:rPr>
            </w:pPr>
            <w:r>
              <w:rPr>
                <w:rFonts w:ascii="Arial" w:cs="Arial" w:eastAsia="Arial" w:hAnsi="Arial"/>
                <w:sz w:val="18"/>
                <w:szCs w:val="18"/>
                <w:color w:val="0000FF"/>
              </w:rPr>
              <w:t>Common Stock</w:t>
            </w:r>
          </w:p>
        </w:tc>
        <w:tc>
          <w:tcPr>
            <w:tcW w:w="2180" w:type="dxa"/>
            <w:vAlign w:val="bottom"/>
          </w:tcPr>
          <w:p>
            <w:pPr>
              <w:jc w:val="right"/>
              <w:ind w:right="252"/>
              <w:spacing w:after="0"/>
              <w:rPr>
                <w:sz w:val="20"/>
                <w:szCs w:val="20"/>
                <w:color w:val="auto"/>
              </w:rPr>
            </w:pPr>
            <w:r>
              <w:rPr>
                <w:rFonts w:ascii="Arial" w:cs="Arial" w:eastAsia="Arial" w:hAnsi="Arial"/>
                <w:sz w:val="18"/>
                <w:szCs w:val="18"/>
                <w:color w:val="0000FF"/>
              </w:rPr>
              <w:t>136,363,635    18.33</w:t>
            </w:r>
          </w:p>
        </w:tc>
        <w:tc>
          <w:tcPr>
            <w:tcW w:w="620" w:type="dxa"/>
            <w:vAlign w:val="bottom"/>
          </w:tcPr>
          <w:p>
            <w:pPr>
              <w:ind w:left="320"/>
              <w:spacing w:after="0"/>
              <w:rPr>
                <w:sz w:val="20"/>
                <w:szCs w:val="20"/>
                <w:color w:val="auto"/>
              </w:rPr>
            </w:pPr>
            <w:r>
              <w:rPr>
                <w:rFonts w:ascii="Arial" w:cs="Arial" w:eastAsia="Arial" w:hAnsi="Arial"/>
                <w:sz w:val="18"/>
                <w:szCs w:val="18"/>
                <w:color w:val="0000FF"/>
              </w:rPr>
              <w:t>I</w:t>
            </w:r>
          </w:p>
        </w:tc>
        <w:tc>
          <w:tcPr>
            <w:tcW w:w="1760" w:type="dxa"/>
            <w:vAlign w:val="bottom"/>
          </w:tcPr>
          <w:p>
            <w:pPr>
              <w:ind w:left="240"/>
              <w:spacing w:after="0"/>
              <w:rPr>
                <w:sz w:val="20"/>
                <w:szCs w:val="20"/>
                <w:color w:val="auto"/>
              </w:rPr>
            </w:pPr>
            <w:r>
              <w:rPr>
                <w:rFonts w:ascii="Arial" w:cs="Arial" w:eastAsia="Arial" w:hAnsi="Arial"/>
                <w:sz w:val="18"/>
                <w:szCs w:val="18"/>
                <w:color w:val="0000FF"/>
              </w:rPr>
              <w:t>pursuant to GUC</w:t>
            </w:r>
          </w:p>
        </w:tc>
      </w:tr>
      <w:tr>
        <w:trPr>
          <w:trHeight w:val="325"/>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98"/>
              </w:rPr>
              <w:t>Trust Agreement</w:t>
            </w:r>
            <w:r>
              <w:rPr>
                <w:rFonts w:ascii="Arial" w:cs="Arial" w:eastAsia="Arial" w:hAnsi="Arial"/>
                <w:sz w:val="22"/>
                <w:szCs w:val="22"/>
                <w:color w:val="008000"/>
                <w:w w:val="98"/>
                <w:vertAlign w:val="superscript"/>
              </w:rPr>
              <w:t>(2)</w:t>
            </w:r>
          </w:p>
        </w:tc>
      </w:tr>
      <w:tr>
        <w:trPr>
          <w:trHeight w:val="249"/>
        </w:trPr>
        <w:tc>
          <w:tcPr>
            <w:tcW w:w="20" w:type="dxa"/>
            <w:vAlign w:val="bottom"/>
            <w:tcBorders>
              <w:top w:val="single" w:sz="8" w:color="808080"/>
            </w:tcBorders>
          </w:tcPr>
          <w:p>
            <w:pPr>
              <w:spacing w:after="0"/>
              <w:rPr>
                <w:sz w:val="21"/>
                <w:szCs w:val="21"/>
                <w:color w:val="auto"/>
              </w:rPr>
            </w:pPr>
          </w:p>
        </w:tc>
        <w:tc>
          <w:tcPr>
            <w:tcW w:w="290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Borders>
              <w:top w:val="single" w:sz="8" w:color="2C2C2C"/>
            </w:tcBorders>
          </w:tcPr>
          <w:p>
            <w:pPr>
              <w:spacing w:after="0"/>
              <w:rPr>
                <w:sz w:val="21"/>
                <w:szCs w:val="21"/>
                <w:color w:val="auto"/>
              </w:rPr>
            </w:pPr>
          </w:p>
        </w:tc>
        <w:tc>
          <w:tcPr>
            <w:tcW w:w="13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Motors Liquidation Co GUC Trust</w:t>
              </w:r>
            </w:hyperlink>
          </w:p>
        </w:tc>
        <w:tc>
          <w:tcPr>
            <w:tcW w:w="1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140"/>
              <w:spacing w:after="0"/>
              <w:rPr>
                <w:sz w:val="20"/>
                <w:szCs w:val="20"/>
                <w:color w:val="auto"/>
              </w:rPr>
            </w:pPr>
            <w:r>
              <w:rPr>
                <w:rFonts w:ascii="Arial" w:cs="Arial" w:eastAsia="Arial" w:hAnsi="Arial"/>
                <w:sz w:val="14"/>
                <w:szCs w:val="14"/>
                <w:color w:val="auto"/>
              </w:rPr>
              <w:t>(First)</w:t>
            </w:r>
          </w:p>
        </w:tc>
        <w:tc>
          <w:tcPr>
            <w:tcW w:w="2340" w:type="dxa"/>
            <w:vAlign w:val="bottom"/>
            <w:gridSpan w:val="5"/>
          </w:tcPr>
          <w:p>
            <w:pPr>
              <w:ind w:left="120"/>
              <w:spacing w:after="0"/>
              <w:rPr>
                <w:sz w:val="20"/>
                <w:szCs w:val="20"/>
                <w:color w:val="auto"/>
              </w:rPr>
            </w:pPr>
            <w:r>
              <w:rPr>
                <w:rFonts w:ascii="Arial" w:cs="Arial" w:eastAsia="Arial" w:hAnsi="Arial"/>
                <w:sz w:val="14"/>
                <w:szCs w:val="14"/>
                <w:color w:val="auto"/>
              </w:rPr>
              <w:t>(Middle)</w:t>
            </w: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7"/>
          </w:tcPr>
          <w:p>
            <w:pPr>
              <w:spacing w:after="0"/>
              <w:rPr>
                <w:sz w:val="20"/>
                <w:szCs w:val="20"/>
                <w:color w:val="auto"/>
              </w:rPr>
            </w:pPr>
            <w:r>
              <w:rPr>
                <w:rFonts w:ascii="Arial" w:cs="Arial" w:eastAsia="Arial" w:hAnsi="Arial"/>
                <w:sz w:val="18"/>
                <w:szCs w:val="18"/>
                <w:color w:val="0000FF"/>
              </w:rPr>
              <w:t>C/O WILMINGTON TRUST COMPANY</w:t>
            </w: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40" w:type="dxa"/>
            <w:vAlign w:val="bottom"/>
            <w:gridSpan w:val="7"/>
          </w:tcPr>
          <w:p>
            <w:pPr>
              <w:spacing w:after="0"/>
              <w:rPr>
                <w:sz w:val="20"/>
                <w:szCs w:val="20"/>
                <w:color w:val="auto"/>
              </w:rPr>
            </w:pPr>
            <w:r>
              <w:rPr>
                <w:rFonts w:ascii="Arial" w:cs="Arial" w:eastAsia="Arial" w:hAnsi="Arial"/>
                <w:sz w:val="18"/>
                <w:szCs w:val="18"/>
                <w:color w:val="0000FF"/>
              </w:rPr>
              <w:t>RODNEY SQUARE NORTH, 1110 N. MARKET ST</w:t>
            </w:r>
          </w:p>
        </w:tc>
        <w:tc>
          <w:tcPr>
            <w:tcW w:w="1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WILMINGTON</w:t>
            </w:r>
          </w:p>
        </w:tc>
        <w:tc>
          <w:tcPr>
            <w:tcW w:w="1480" w:type="dxa"/>
            <w:vAlign w:val="bottom"/>
          </w:tcPr>
          <w:p>
            <w:pPr>
              <w:ind w:left="140"/>
              <w:spacing w:after="0"/>
              <w:rPr>
                <w:sz w:val="20"/>
                <w:szCs w:val="20"/>
                <w:color w:val="auto"/>
              </w:rPr>
            </w:pPr>
            <w:r>
              <w:rPr>
                <w:rFonts w:ascii="Arial" w:cs="Arial" w:eastAsia="Arial" w:hAnsi="Arial"/>
                <w:sz w:val="18"/>
                <w:szCs w:val="18"/>
                <w:color w:val="0000FF"/>
              </w:rPr>
              <w:t>DE</w:t>
            </w:r>
          </w:p>
        </w:tc>
        <w:tc>
          <w:tcPr>
            <w:tcW w:w="1540" w:type="dxa"/>
            <w:vAlign w:val="bottom"/>
            <w:gridSpan w:val="2"/>
          </w:tcPr>
          <w:p>
            <w:pPr>
              <w:ind w:left="120"/>
              <w:spacing w:after="0"/>
              <w:rPr>
                <w:sz w:val="20"/>
                <w:szCs w:val="20"/>
                <w:color w:val="auto"/>
              </w:rPr>
            </w:pPr>
            <w:r>
              <w:rPr>
                <w:rFonts w:ascii="Arial" w:cs="Arial" w:eastAsia="Arial" w:hAnsi="Arial"/>
                <w:sz w:val="18"/>
                <w:szCs w:val="18"/>
                <w:color w:val="0000FF"/>
              </w:rPr>
              <w:t>19890-1615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0" w:type="dxa"/>
            <w:vAlign w:val="bottom"/>
            <w:gridSpan w:val="3"/>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140"/>
              <w:spacing w:after="0"/>
              <w:rPr>
                <w:sz w:val="20"/>
                <w:szCs w:val="20"/>
                <w:color w:val="auto"/>
              </w:rPr>
            </w:pPr>
            <w:r>
              <w:rPr>
                <w:rFonts w:ascii="Arial" w:cs="Arial" w:eastAsia="Arial" w:hAnsi="Arial"/>
                <w:sz w:val="14"/>
                <w:szCs w:val="14"/>
                <w:color w:val="auto"/>
              </w:rPr>
              <w:t>(State)</w:t>
            </w:r>
          </w:p>
        </w:tc>
        <w:tc>
          <w:tcPr>
            <w:tcW w:w="2340" w:type="dxa"/>
            <w:vAlign w:val="bottom"/>
            <w:gridSpan w:val="5"/>
          </w:tcPr>
          <w:p>
            <w:pPr>
              <w:ind w:left="120"/>
              <w:spacing w:after="0"/>
              <w:rPr>
                <w:sz w:val="20"/>
                <w:szCs w:val="20"/>
                <w:color w:val="auto"/>
              </w:rPr>
            </w:pPr>
            <w:r>
              <w:rPr>
                <w:rFonts w:ascii="Arial" w:cs="Arial" w:eastAsia="Arial" w:hAnsi="Arial"/>
                <w:sz w:val="14"/>
                <w:szCs w:val="14"/>
                <w:color w:val="auto"/>
              </w:rPr>
              <w:t>(Zip)</w:t>
            </w: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90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4"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WILMINGTON TRUST CORP</w:t>
              </w:r>
            </w:hyperlink>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tcPr>
          <w:p>
            <w:pPr>
              <w:ind w:left="140"/>
              <w:spacing w:after="0"/>
              <w:rPr>
                <w:sz w:val="20"/>
                <w:szCs w:val="20"/>
                <w:color w:val="auto"/>
              </w:rPr>
            </w:pPr>
            <w:r>
              <w:rPr>
                <w:rFonts w:ascii="Arial" w:cs="Arial" w:eastAsia="Arial" w:hAnsi="Arial"/>
                <w:sz w:val="14"/>
                <w:szCs w:val="14"/>
                <w:color w:val="auto"/>
              </w:rPr>
              <w:t>(First)</w:t>
            </w:r>
          </w:p>
        </w:tc>
        <w:tc>
          <w:tcPr>
            <w:tcW w:w="2340" w:type="dxa"/>
            <w:vAlign w:val="bottom"/>
            <w:gridSpan w:val="5"/>
          </w:tcPr>
          <w:p>
            <w:pPr>
              <w:ind w:left="120"/>
              <w:spacing w:after="0"/>
              <w:rPr>
                <w:sz w:val="20"/>
                <w:szCs w:val="20"/>
                <w:color w:val="auto"/>
              </w:rPr>
            </w:pPr>
            <w:r>
              <w:rPr>
                <w:rFonts w:ascii="Arial" w:cs="Arial" w:eastAsia="Arial" w:hAnsi="Arial"/>
                <w:sz w:val="14"/>
                <w:szCs w:val="14"/>
                <w:color w:val="auto"/>
              </w:rPr>
              <w:t>(Middle)</w:t>
            </w: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0000FF"/>
              </w:rPr>
              <w:t>1100 NORTH MARKET STREET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WILMINGTON</w:t>
            </w:r>
          </w:p>
        </w:tc>
        <w:tc>
          <w:tcPr>
            <w:tcW w:w="1480" w:type="dxa"/>
            <w:vAlign w:val="bottom"/>
          </w:tcPr>
          <w:p>
            <w:pPr>
              <w:ind w:left="140"/>
              <w:spacing w:after="0"/>
              <w:rPr>
                <w:sz w:val="20"/>
                <w:szCs w:val="20"/>
                <w:color w:val="auto"/>
              </w:rPr>
            </w:pPr>
            <w:r>
              <w:rPr>
                <w:rFonts w:ascii="Arial" w:cs="Arial" w:eastAsia="Arial" w:hAnsi="Arial"/>
                <w:sz w:val="18"/>
                <w:szCs w:val="18"/>
                <w:color w:val="0000FF"/>
              </w:rPr>
              <w:t>DE</w:t>
            </w:r>
          </w:p>
        </w:tc>
        <w:tc>
          <w:tcPr>
            <w:tcW w:w="1540" w:type="dxa"/>
            <w:vAlign w:val="bottom"/>
            <w:gridSpan w:val="2"/>
          </w:tcPr>
          <w:p>
            <w:pPr>
              <w:ind w:left="120"/>
              <w:spacing w:after="0"/>
              <w:rPr>
                <w:sz w:val="20"/>
                <w:szCs w:val="20"/>
                <w:color w:val="auto"/>
              </w:rPr>
            </w:pPr>
            <w:r>
              <w:rPr>
                <w:rFonts w:ascii="Arial" w:cs="Arial" w:eastAsia="Arial" w:hAnsi="Arial"/>
                <w:sz w:val="18"/>
                <w:szCs w:val="18"/>
                <w:color w:val="0000FF"/>
              </w:rPr>
              <w:t>19890-0001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0" w:type="dxa"/>
            <w:vAlign w:val="bottom"/>
            <w:gridSpan w:val="3"/>
          </w:tcPr>
          <w:p>
            <w:pPr>
              <w:spacing w:after="0"/>
              <w:rPr>
                <w:sz w:val="13"/>
                <w:szCs w:val="13"/>
                <w:color w:val="auto"/>
              </w:rPr>
            </w:pPr>
          </w:p>
        </w:tc>
        <w:tc>
          <w:tcPr>
            <w:tcW w:w="16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tcPr>
          <w:p>
            <w:pPr>
              <w:ind w:left="140"/>
              <w:spacing w:after="0"/>
              <w:rPr>
                <w:sz w:val="20"/>
                <w:szCs w:val="20"/>
                <w:color w:val="auto"/>
              </w:rPr>
            </w:pPr>
            <w:r>
              <w:rPr>
                <w:rFonts w:ascii="Arial" w:cs="Arial" w:eastAsia="Arial" w:hAnsi="Arial"/>
                <w:sz w:val="14"/>
                <w:szCs w:val="14"/>
                <w:color w:val="auto"/>
              </w:rPr>
              <w:t>(State)</w:t>
            </w:r>
          </w:p>
        </w:tc>
        <w:tc>
          <w:tcPr>
            <w:tcW w:w="2340" w:type="dxa"/>
            <w:vAlign w:val="bottom"/>
            <w:gridSpan w:val="5"/>
          </w:tcPr>
          <w:p>
            <w:pPr>
              <w:ind w:left="120"/>
              <w:spacing w:after="0"/>
              <w:rPr>
                <w:sz w:val="20"/>
                <w:szCs w:val="20"/>
                <w:color w:val="auto"/>
              </w:rPr>
            </w:pPr>
            <w:r>
              <w:rPr>
                <w:rFonts w:ascii="Arial" w:cs="Arial" w:eastAsia="Arial" w:hAnsi="Arial"/>
                <w:sz w:val="14"/>
                <w:szCs w:val="14"/>
                <w:color w:val="auto"/>
              </w:rPr>
              <w:t>(Zip)</w:t>
            </w:r>
          </w:p>
        </w:tc>
        <w:tc>
          <w:tcPr>
            <w:tcW w:w="1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As a result of a typo, the expiration date of these Warrants was reported incorrectly in the Form 3 filed on April 11, 2011.</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Motors Liquidation Company GUC Trust and Wilmington Trust Company, not in its individual capacity but solely in its capacity as Trust administrator and trustee, may be deemed to beneficially own the securities reported on this Form 3 by virtue of the dispositive power they may exercise pursuant to the GUC Trust Agreement, dated as of March 30, 2011, among the Reporting Persons, Motors Liquidation Company, and the other parties thereto. The securities reported on this Form 3 are held by Motors Liquidation Company.</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20" w:type="dxa"/>
            <w:vAlign w:val="bottom"/>
          </w:tcPr>
          <w:p>
            <w:pPr>
              <w:spacing w:after="0"/>
              <w:rPr>
                <w:sz w:val="20"/>
                <w:szCs w:val="20"/>
                <w:color w:val="auto"/>
              </w:rPr>
            </w:pPr>
            <w:r>
              <w:rPr>
                <w:rFonts w:ascii="Arial" w:cs="Arial" w:eastAsia="Arial" w:hAnsi="Arial"/>
                <w:sz w:val="18"/>
                <w:szCs w:val="18"/>
                <w:color w:val="0000FF"/>
                <w:w w:val="95"/>
              </w:rPr>
              <w:t>MOTORS LIQUIDATION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0000FF"/>
              </w:rPr>
              <w:t>04/12/2011</w:t>
            </w:r>
          </w:p>
        </w:tc>
      </w:tr>
      <w:tr>
        <w:trPr>
          <w:trHeight w:val="20"/>
        </w:trPr>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9"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COMPANY GUC TRUST,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00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Wilmington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757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757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not in its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89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but solely in its capacity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04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6"/>
          <w:szCs w:val="16"/>
          <w:color w:val="0000FF"/>
        </w:rPr>
        <w:t>Trust administrator and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7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the Motors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Company GUC Trust,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728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728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David A. Vanaskey, Jr.,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3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738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14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WILMINGTON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5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156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COMPANY, not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785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individual capacity but solely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 its capacity as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88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988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administrator and trustee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3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Motors Liquidation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1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GUC Trust, By: David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8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Vanaskey, Jr.,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0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spacing w:after="0" w:line="6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04/12/2011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20" w:space="10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11" Type="http://schemas.openxmlformats.org/officeDocument/2006/relationships/hyperlink" Target="http://www.sec.gov/cgi-bin/browse-edgar?action=getcompany&amp;CIK=0001517668" TargetMode="External"/><Relationship Id="rId12" Type="http://schemas.openxmlformats.org/officeDocument/2006/relationships/hyperlink" Target="http://www.sec.gov/cgi-bin/browse-edgar?action=getcompany&amp;CIK=0001467858" TargetMode="External"/><Relationship Id="rId13" Type="http://schemas.openxmlformats.org/officeDocument/2006/relationships/hyperlink" Target="http://www.sec.gov/cgi-bin/browse-edgar?action=getcompany&amp;CIK=0000872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2019-12-18T16:00:21Z</dcterms:created>
  <dcterms:modified xsi:type="dcterms:W3CDTF">2019-12-18T16:00:21Z</dcterms:modified>
</cp:coreProperties>
</file>