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132080</wp:posOffset>
            </wp:positionH>
            <wp:positionV relativeFrom="page">
              <wp:posOffset>536575</wp:posOffset>
            </wp:positionV>
            <wp:extent cx="7297420"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7420" cy="39370"/>
                    </a:xfrm>
                    <a:prstGeom prst="rect">
                      <a:avLst/>
                    </a:prstGeom>
                    <a:noFill/>
                  </pic:spPr>
                </pic:pic>
              </a:graphicData>
            </a:graphic>
          </wp:anchor>
        </w:drawing>
        <w:t>UNITED STATES</w:t>
      </w:r>
    </w:p>
    <w:p>
      <w:pPr>
        <w:spacing w:after="0" w:line="22" w:lineRule="exact"/>
        <w:rPr>
          <w:sz w:val="24"/>
          <w:szCs w:val="24"/>
          <w:color w:val="auto"/>
        </w:rPr>
      </w:pPr>
    </w:p>
    <w:p>
      <w:pPr>
        <w:jc w:val="center"/>
        <w:ind w:right="-12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20549-1004</w:t>
      </w:r>
    </w:p>
    <w:p>
      <w:pPr>
        <w:spacing w:after="0" w:line="5"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46" w:lineRule="exact"/>
        <w:rPr>
          <w:sz w:val="24"/>
          <w:szCs w:val="24"/>
          <w:color w:val="auto"/>
        </w:rPr>
      </w:pPr>
    </w:p>
    <w:p>
      <w:pPr>
        <w:jc w:val="center"/>
        <w:ind w:right="-1220"/>
        <w:spacing w:after="0"/>
        <w:rPr>
          <w:sz w:val="20"/>
          <w:szCs w:val="20"/>
          <w:color w:val="auto"/>
        </w:rPr>
      </w:pPr>
      <w:r>
        <w:rPr>
          <w:rFonts w:ascii="Arial" w:cs="Arial" w:eastAsia="Arial" w:hAnsi="Arial"/>
          <w:sz w:val="26"/>
          <w:szCs w:val="26"/>
          <w:b w:val="1"/>
          <w:bCs w:val="1"/>
          <w:color w:val="auto"/>
        </w:rPr>
        <w:t>FORM 8-K</w:t>
      </w:r>
    </w:p>
    <w:p>
      <w:pPr>
        <w:spacing w:after="0" w:line="40"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5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CURRENT REPORT</w:t>
      </w:r>
    </w:p>
    <w:p>
      <w:pPr>
        <w:spacing w:after="0" w:line="2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SECTION 13 OR 15(d) OF</w:t>
      </w:r>
    </w:p>
    <w:p>
      <w:pPr>
        <w:spacing w:after="0" w:line="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5"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Date of Report (Date of earliest event reported) June 25, 2015</w:t>
      </w:r>
    </w:p>
    <w:p>
      <w:pPr>
        <w:spacing w:after="0" w:line="18"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54" w:lineRule="exact"/>
        <w:rPr>
          <w:sz w:val="24"/>
          <w:szCs w:val="24"/>
          <w:color w:val="auto"/>
        </w:rPr>
      </w:pPr>
    </w:p>
    <w:p>
      <w:pPr>
        <w:jc w:val="center"/>
        <w:ind w:right="-1220"/>
        <w:spacing w:after="0"/>
        <w:rPr>
          <w:sz w:val="20"/>
          <w:szCs w:val="20"/>
          <w:color w:val="auto"/>
        </w:rPr>
      </w:pPr>
      <w:r>
        <w:rPr>
          <w:rFonts w:ascii="Arial" w:cs="Arial" w:eastAsia="Arial" w:hAnsi="Arial"/>
          <w:sz w:val="35"/>
          <w:szCs w:val="35"/>
          <w:b w:val="1"/>
          <w:bCs w:val="1"/>
          <w:color w:val="auto"/>
        </w:rPr>
        <w:t>GENERAL MOTORS COMPANY</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(Exact Name of Registrant as Specified in its Charter)</w:t>
      </w:r>
    </w:p>
    <w:p>
      <w:pPr>
        <w:spacing w:after="0" w:line="2"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200" w:lineRule="exact"/>
        <w:rPr>
          <w:sz w:val="24"/>
          <w:szCs w:val="24"/>
          <w:color w:val="auto"/>
        </w:rPr>
      </w:pPr>
    </w:p>
    <w:p>
      <w:pPr>
        <w:spacing w:after="0" w:line="271" w:lineRule="exact"/>
        <w:rPr>
          <w:sz w:val="24"/>
          <w:szCs w:val="24"/>
          <w:color w:val="auto"/>
        </w:rPr>
      </w:pPr>
    </w:p>
    <w:tbl>
      <w:tblPr>
        <w:tblLayout w:type="fixed"/>
        <w:tblInd w:w="1560" w:type="dxa"/>
        <w:tblCellMar>
          <w:top w:w="0" w:type="dxa"/>
          <w:left w:w="0" w:type="dxa"/>
          <w:bottom w:w="0" w:type="dxa"/>
          <w:right w:w="0" w:type="dxa"/>
        </w:tblCellMar>
      </w:tblPr>
      <w:tr>
        <w:trPr>
          <w:trHeight w:val="180"/>
        </w:trPr>
        <w:tc>
          <w:tcPr>
            <w:tcW w:w="3200" w:type="dxa"/>
            <w:vAlign w:val="bottom"/>
          </w:tcPr>
          <w:p>
            <w:pPr>
              <w:jc w:val="center"/>
              <w:ind w:right="1427"/>
              <w:spacing w:after="0"/>
              <w:rPr>
                <w:sz w:val="20"/>
                <w:szCs w:val="20"/>
                <w:color w:val="auto"/>
              </w:rPr>
            </w:pPr>
            <w:r>
              <w:rPr>
                <w:rFonts w:ascii="Arial" w:cs="Arial" w:eastAsia="Arial" w:hAnsi="Arial"/>
                <w:sz w:val="15"/>
                <w:szCs w:val="15"/>
                <w:b w:val="1"/>
                <w:bCs w:val="1"/>
                <w:color w:val="auto"/>
                <w:w w:val="94"/>
              </w:rPr>
              <w:t>DELAWARE</w:t>
            </w:r>
          </w:p>
        </w:tc>
        <w:tc>
          <w:tcPr>
            <w:tcW w:w="2440" w:type="dxa"/>
            <w:vAlign w:val="bottom"/>
            <w:vMerge w:val="restart"/>
          </w:tcPr>
          <w:p>
            <w:pPr>
              <w:jc w:val="right"/>
              <w:ind w:right="1067"/>
              <w:spacing w:after="0"/>
              <w:rPr>
                <w:sz w:val="20"/>
                <w:szCs w:val="20"/>
                <w:color w:val="auto"/>
              </w:rPr>
            </w:pPr>
            <w:r>
              <w:rPr>
                <w:rFonts w:ascii="Arial" w:cs="Arial" w:eastAsia="Arial" w:hAnsi="Arial"/>
                <w:sz w:val="15"/>
                <w:szCs w:val="15"/>
                <w:b w:val="1"/>
                <w:bCs w:val="1"/>
                <w:color w:val="auto"/>
              </w:rPr>
              <w:t>001-34960</w:t>
            </w:r>
          </w:p>
        </w:tc>
        <w:tc>
          <w:tcPr>
            <w:tcW w:w="2400" w:type="dxa"/>
            <w:vAlign w:val="bottom"/>
          </w:tcPr>
          <w:p>
            <w:pPr>
              <w:jc w:val="center"/>
              <w:ind w:left="1267"/>
              <w:spacing w:after="0"/>
              <w:rPr>
                <w:sz w:val="20"/>
                <w:szCs w:val="20"/>
                <w:color w:val="auto"/>
              </w:rPr>
            </w:pPr>
            <w:r>
              <w:rPr>
                <w:rFonts w:ascii="Arial" w:cs="Arial" w:eastAsia="Arial" w:hAnsi="Arial"/>
                <w:sz w:val="15"/>
                <w:szCs w:val="15"/>
                <w:b w:val="1"/>
                <w:bCs w:val="1"/>
                <w:color w:val="auto"/>
                <w:w w:val="87"/>
              </w:rPr>
              <w:t>27-0756180</w:t>
            </w:r>
          </w:p>
        </w:tc>
        <w:tc>
          <w:tcPr>
            <w:tcW w:w="0" w:type="dxa"/>
            <w:vAlign w:val="bottom"/>
          </w:tcPr>
          <w:p>
            <w:pPr>
              <w:spacing w:after="0"/>
              <w:rPr>
                <w:sz w:val="1"/>
                <w:szCs w:val="1"/>
                <w:color w:val="auto"/>
              </w:rPr>
            </w:pPr>
          </w:p>
        </w:tc>
      </w:tr>
      <w:tr>
        <w:trPr>
          <w:trHeight w:val="176"/>
        </w:trPr>
        <w:tc>
          <w:tcPr>
            <w:tcW w:w="3200" w:type="dxa"/>
            <w:vAlign w:val="bottom"/>
          </w:tcPr>
          <w:p>
            <w:pPr>
              <w:jc w:val="center"/>
              <w:ind w:right="1427"/>
              <w:spacing w:after="0"/>
              <w:rPr>
                <w:sz w:val="20"/>
                <w:szCs w:val="20"/>
                <w:color w:val="auto"/>
              </w:rPr>
            </w:pPr>
            <w:r>
              <w:rPr>
                <w:rFonts w:ascii="Arial" w:cs="Arial" w:eastAsia="Arial" w:hAnsi="Arial"/>
                <w:sz w:val="15"/>
                <w:szCs w:val="15"/>
                <w:color w:val="auto"/>
                <w:w w:val="90"/>
              </w:rPr>
              <w:t>(State or other jurisdiction of</w:t>
            </w:r>
          </w:p>
        </w:tc>
        <w:tc>
          <w:tcPr>
            <w:tcW w:w="2440" w:type="dxa"/>
            <w:vAlign w:val="bottom"/>
            <w:vMerge w:val="continue"/>
          </w:tcPr>
          <w:p>
            <w:pPr>
              <w:spacing w:after="0"/>
              <w:rPr>
                <w:sz w:val="15"/>
                <w:szCs w:val="15"/>
                <w:color w:val="auto"/>
              </w:rPr>
            </w:pPr>
          </w:p>
        </w:tc>
        <w:tc>
          <w:tcPr>
            <w:tcW w:w="2400" w:type="dxa"/>
            <w:vAlign w:val="bottom"/>
          </w:tcPr>
          <w:p>
            <w:pPr>
              <w:jc w:val="center"/>
              <w:ind w:left="1247"/>
              <w:spacing w:after="0"/>
              <w:rPr>
                <w:sz w:val="20"/>
                <w:szCs w:val="20"/>
                <w:color w:val="auto"/>
              </w:rPr>
            </w:pPr>
            <w:r>
              <w:rPr>
                <w:rFonts w:ascii="Arial" w:cs="Arial" w:eastAsia="Arial" w:hAnsi="Arial"/>
                <w:sz w:val="15"/>
                <w:szCs w:val="15"/>
                <w:color w:val="auto"/>
                <w:w w:val="90"/>
              </w:rPr>
              <w:t>(I.R.S. Employer</w:t>
            </w:r>
          </w:p>
        </w:tc>
        <w:tc>
          <w:tcPr>
            <w:tcW w:w="0" w:type="dxa"/>
            <w:vAlign w:val="bottom"/>
          </w:tcPr>
          <w:p>
            <w:pPr>
              <w:spacing w:after="0"/>
              <w:rPr>
                <w:sz w:val="1"/>
                <w:szCs w:val="1"/>
                <w:color w:val="auto"/>
              </w:rPr>
            </w:pPr>
          </w:p>
        </w:tc>
      </w:tr>
      <w:tr>
        <w:trPr>
          <w:trHeight w:val="187"/>
        </w:trPr>
        <w:tc>
          <w:tcPr>
            <w:tcW w:w="3200" w:type="dxa"/>
            <w:vAlign w:val="bottom"/>
          </w:tcPr>
          <w:p>
            <w:pPr>
              <w:jc w:val="center"/>
              <w:ind w:right="1427"/>
              <w:spacing w:after="0"/>
              <w:rPr>
                <w:sz w:val="20"/>
                <w:szCs w:val="20"/>
                <w:color w:val="auto"/>
              </w:rPr>
            </w:pPr>
            <w:r>
              <w:rPr>
                <w:rFonts w:ascii="Arial" w:cs="Arial" w:eastAsia="Arial" w:hAnsi="Arial"/>
                <w:sz w:val="15"/>
                <w:szCs w:val="15"/>
                <w:color w:val="auto"/>
                <w:w w:val="89"/>
              </w:rPr>
              <w:t>incorporation)</w:t>
            </w:r>
          </w:p>
        </w:tc>
        <w:tc>
          <w:tcPr>
            <w:tcW w:w="2440" w:type="dxa"/>
            <w:vAlign w:val="bottom"/>
          </w:tcPr>
          <w:p>
            <w:pPr>
              <w:jc w:val="center"/>
              <w:ind w:right="427"/>
              <w:spacing w:after="0"/>
              <w:rPr>
                <w:sz w:val="20"/>
                <w:szCs w:val="20"/>
                <w:color w:val="auto"/>
              </w:rPr>
            </w:pPr>
            <w:r>
              <w:rPr>
                <w:rFonts w:ascii="Arial" w:cs="Arial" w:eastAsia="Arial" w:hAnsi="Arial"/>
                <w:sz w:val="15"/>
                <w:szCs w:val="15"/>
                <w:color w:val="auto"/>
                <w:w w:val="90"/>
              </w:rPr>
              <w:t>(Commission File Number)</w:t>
            </w:r>
          </w:p>
        </w:tc>
        <w:tc>
          <w:tcPr>
            <w:tcW w:w="2400" w:type="dxa"/>
            <w:vAlign w:val="bottom"/>
          </w:tcPr>
          <w:p>
            <w:pPr>
              <w:jc w:val="center"/>
              <w:ind w:left="1247"/>
              <w:spacing w:after="0"/>
              <w:rPr>
                <w:sz w:val="20"/>
                <w:szCs w:val="20"/>
                <w:color w:val="auto"/>
              </w:rPr>
            </w:pPr>
            <w:r>
              <w:rPr>
                <w:rFonts w:ascii="Arial" w:cs="Arial" w:eastAsia="Arial" w:hAnsi="Arial"/>
                <w:sz w:val="15"/>
                <w:szCs w:val="15"/>
                <w:color w:val="auto"/>
                <w:w w:val="92"/>
              </w:rPr>
              <w:t>Identification No.)</w:t>
            </w:r>
          </w:p>
        </w:tc>
        <w:tc>
          <w:tcPr>
            <w:tcW w:w="0" w:type="dxa"/>
            <w:vAlign w:val="bottom"/>
          </w:tcPr>
          <w:p>
            <w:pPr>
              <w:spacing w:after="0"/>
              <w:rPr>
                <w:sz w:val="1"/>
                <w:szCs w:val="1"/>
                <w:color w:val="auto"/>
              </w:rPr>
            </w:pPr>
          </w:p>
        </w:tc>
      </w:tr>
      <w:tr>
        <w:trPr>
          <w:trHeight w:val="385"/>
        </w:trPr>
        <w:tc>
          <w:tcPr>
            <w:tcW w:w="3200" w:type="dxa"/>
            <w:vAlign w:val="bottom"/>
          </w:tcPr>
          <w:p>
            <w:pPr>
              <w:jc w:val="center"/>
              <w:ind w:left="107"/>
              <w:spacing w:after="0"/>
              <w:rPr>
                <w:sz w:val="20"/>
                <w:szCs w:val="20"/>
                <w:color w:val="auto"/>
              </w:rPr>
            </w:pPr>
            <w:r>
              <w:rPr>
                <w:rFonts w:ascii="Arial" w:cs="Arial" w:eastAsia="Arial" w:hAnsi="Arial"/>
                <w:sz w:val="15"/>
                <w:szCs w:val="15"/>
                <w:b w:val="1"/>
                <w:bCs w:val="1"/>
                <w:color w:val="auto"/>
                <w:w w:val="87"/>
              </w:rPr>
              <w:t>300 Renaissance Center, Detroit, Michigan</w:t>
            </w:r>
          </w:p>
        </w:tc>
        <w:tc>
          <w:tcPr>
            <w:tcW w:w="2440" w:type="dxa"/>
            <w:vAlign w:val="bottom"/>
          </w:tcPr>
          <w:p>
            <w:pPr>
              <w:spacing w:after="0"/>
              <w:rPr>
                <w:sz w:val="24"/>
                <w:szCs w:val="24"/>
                <w:color w:val="auto"/>
              </w:rPr>
            </w:pPr>
          </w:p>
        </w:tc>
        <w:tc>
          <w:tcPr>
            <w:tcW w:w="2400" w:type="dxa"/>
            <w:vAlign w:val="bottom"/>
          </w:tcPr>
          <w:p>
            <w:pPr>
              <w:jc w:val="right"/>
              <w:ind w:right="947"/>
              <w:spacing w:after="0"/>
              <w:rPr>
                <w:sz w:val="20"/>
                <w:szCs w:val="20"/>
                <w:color w:val="auto"/>
              </w:rPr>
            </w:pPr>
            <w:r>
              <w:rPr>
                <w:rFonts w:ascii="Arial" w:cs="Arial" w:eastAsia="Arial" w:hAnsi="Arial"/>
                <w:sz w:val="15"/>
                <w:szCs w:val="15"/>
                <w:b w:val="1"/>
                <w:bCs w:val="1"/>
                <w:color w:val="auto"/>
              </w:rPr>
              <w:t>48265-3000</w:t>
            </w:r>
          </w:p>
        </w:tc>
        <w:tc>
          <w:tcPr>
            <w:tcW w:w="0" w:type="dxa"/>
            <w:vAlign w:val="bottom"/>
          </w:tcPr>
          <w:p>
            <w:pPr>
              <w:spacing w:after="0"/>
              <w:rPr>
                <w:sz w:val="1"/>
                <w:szCs w:val="1"/>
                <w:color w:val="auto"/>
              </w:rPr>
            </w:pPr>
          </w:p>
        </w:tc>
      </w:tr>
      <w:tr>
        <w:trPr>
          <w:trHeight w:val="187"/>
        </w:trPr>
        <w:tc>
          <w:tcPr>
            <w:tcW w:w="3200" w:type="dxa"/>
            <w:vAlign w:val="bottom"/>
          </w:tcPr>
          <w:p>
            <w:pPr>
              <w:jc w:val="center"/>
              <w:ind w:left="127"/>
              <w:spacing w:after="0"/>
              <w:rPr>
                <w:sz w:val="20"/>
                <w:szCs w:val="20"/>
                <w:color w:val="auto"/>
              </w:rPr>
            </w:pPr>
            <w:r>
              <w:rPr>
                <w:rFonts w:ascii="Arial" w:cs="Arial" w:eastAsia="Arial" w:hAnsi="Arial"/>
                <w:sz w:val="15"/>
                <w:szCs w:val="15"/>
                <w:color w:val="auto"/>
                <w:w w:val="91"/>
              </w:rPr>
              <w:t>(Address of Principal Executive Offices)</w:t>
            </w:r>
          </w:p>
        </w:tc>
        <w:tc>
          <w:tcPr>
            <w:tcW w:w="2440" w:type="dxa"/>
            <w:vAlign w:val="bottom"/>
          </w:tcPr>
          <w:p>
            <w:pPr>
              <w:spacing w:after="0"/>
              <w:rPr>
                <w:sz w:val="16"/>
                <w:szCs w:val="16"/>
                <w:color w:val="auto"/>
              </w:rPr>
            </w:pPr>
          </w:p>
        </w:tc>
        <w:tc>
          <w:tcPr>
            <w:tcW w:w="2400" w:type="dxa"/>
            <w:vAlign w:val="bottom"/>
          </w:tcPr>
          <w:p>
            <w:pPr>
              <w:jc w:val="center"/>
              <w:ind w:right="287"/>
              <w:spacing w:after="0"/>
              <w:rPr>
                <w:sz w:val="20"/>
                <w:szCs w:val="20"/>
                <w:color w:val="auto"/>
              </w:rPr>
            </w:pPr>
            <w:r>
              <w:rPr>
                <w:rFonts w:ascii="Arial" w:cs="Arial" w:eastAsia="Arial" w:hAnsi="Arial"/>
                <w:sz w:val="15"/>
                <w:szCs w:val="15"/>
                <w:color w:val="auto"/>
                <w:w w:val="90"/>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313</w:t>
      </w:r>
      <w:r>
        <w:rPr>
          <w:rFonts w:ascii="Arial" w:cs="Arial" w:eastAsia="Arial" w:hAnsi="Arial"/>
          <w:sz w:val="15"/>
          <w:szCs w:val="15"/>
          <w:color w:val="auto"/>
        </w:rPr>
        <w:t xml:space="preserve">) </w:t>
      </w:r>
      <w:r>
        <w:rPr>
          <w:rFonts w:ascii="Arial" w:cs="Arial" w:eastAsia="Arial" w:hAnsi="Arial"/>
          <w:sz w:val="15"/>
          <w:szCs w:val="15"/>
          <w:b w:val="1"/>
          <w:bCs w:val="1"/>
          <w:color w:val="auto"/>
        </w:rPr>
        <w:t>556-5000</w:t>
      </w:r>
    </w:p>
    <w:p>
      <w:pPr>
        <w:spacing w:after="0" w:line="18"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(Registrant's telephone number, including area code)</w:t>
      </w:r>
    </w:p>
    <w:p>
      <w:pPr>
        <w:spacing w:after="0" w:line="165"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Not Applicable</w:t>
      </w:r>
    </w:p>
    <w:p>
      <w:pPr>
        <w:spacing w:after="0" w:line="18"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173"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73"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393" w:lineRule="exact"/>
        <w:rPr>
          <w:sz w:val="24"/>
          <w:szCs w:val="24"/>
          <w:color w:val="auto"/>
        </w:rPr>
      </w:pPr>
    </w:p>
    <w:p>
      <w:pPr>
        <w:ind w:left="620" w:hanging="590"/>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3"/>
          <w:szCs w:val="13"/>
          <w:color w:val="auto"/>
        </w:rPr>
        <w:t>Written communications pursuant to Rule 425 under the Securities Act (17 CFR 230.425)</w:t>
      </w:r>
    </w:p>
    <w:p>
      <w:pPr>
        <w:spacing w:after="0" w:line="283" w:lineRule="exact"/>
        <w:rPr>
          <w:rFonts w:ascii="MS PGothic" w:cs="MS PGothic" w:eastAsia="MS PGothic" w:hAnsi="MS PGothic"/>
          <w:sz w:val="15"/>
          <w:szCs w:val="15"/>
          <w:color w:val="auto"/>
        </w:rPr>
      </w:pPr>
    </w:p>
    <w:p>
      <w:pPr>
        <w:ind w:left="620" w:hanging="590"/>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3"/>
          <w:szCs w:val="13"/>
          <w:color w:val="auto"/>
        </w:rPr>
        <w:t>Soliciting material pursuant to Rule 14a-12 under the Exchange Act (17-CFR 240.14a-12)</w:t>
      </w:r>
    </w:p>
    <w:p>
      <w:pPr>
        <w:spacing w:after="0" w:line="283" w:lineRule="exact"/>
        <w:rPr>
          <w:rFonts w:ascii="MS PGothic" w:cs="MS PGothic" w:eastAsia="MS PGothic" w:hAnsi="MS PGothic"/>
          <w:sz w:val="15"/>
          <w:szCs w:val="15"/>
          <w:color w:val="auto"/>
        </w:rPr>
      </w:pPr>
    </w:p>
    <w:p>
      <w:pPr>
        <w:ind w:left="620" w:hanging="590"/>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3"/>
          <w:szCs w:val="13"/>
          <w:color w:val="auto"/>
        </w:rPr>
        <w:t>Pre-commencement communications pursuant to Rule 14d-2(b) under the Exchange Act (17 CFR 240.14d-2(b))</w:t>
      </w:r>
    </w:p>
    <w:p>
      <w:pPr>
        <w:spacing w:after="0" w:line="283" w:lineRule="exact"/>
        <w:rPr>
          <w:rFonts w:ascii="MS PGothic" w:cs="MS PGothic" w:eastAsia="MS PGothic" w:hAnsi="MS PGothic"/>
          <w:sz w:val="15"/>
          <w:szCs w:val="15"/>
          <w:color w:val="auto"/>
        </w:rPr>
      </w:pPr>
    </w:p>
    <w:p>
      <w:pPr>
        <w:ind w:left="620" w:hanging="590"/>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3"/>
          <w:szCs w:val="13"/>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29742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7420" cy="39370"/>
                    </a:xfrm>
                    <a:prstGeom prst="rect">
                      <a:avLst/>
                    </a:prstGeom>
                    <a:noFill/>
                  </pic:spPr>
                </pic:pic>
              </a:graphicData>
            </a:graphic>
          </wp:anchor>
        </w:drawing>
      </w:r>
    </w:p>
    <w:p>
      <w:pPr>
        <w:sectPr>
          <w:pgSz w:w="11900" w:h="16838" w:orient="portrait"/>
          <w:cols w:equalWidth="0" w:num="1">
            <w:col w:w="10239"/>
          </w:cols>
          <w:pgMar w:left="220" w:top="1133" w:right="1440"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7.01 Regulation FD Disclosure</w:t>
      </w:r>
    </w:p>
    <w:p>
      <w:pPr>
        <w:spacing w:after="0" w:line="183" w:lineRule="exact"/>
        <w:rPr>
          <w:sz w:val="20"/>
          <w:szCs w:val="20"/>
          <w:color w:val="auto"/>
        </w:rPr>
      </w:pPr>
    </w:p>
    <w:p>
      <w:pPr>
        <w:jc w:val="both"/>
        <w:ind w:firstLine="132"/>
        <w:spacing w:after="0" w:line="264" w:lineRule="auto"/>
        <w:rPr>
          <w:sz w:val="20"/>
          <w:szCs w:val="20"/>
          <w:color w:val="auto"/>
        </w:rPr>
      </w:pPr>
      <w:r>
        <w:rPr>
          <w:rFonts w:ascii="Arial" w:cs="Arial" w:eastAsia="Arial" w:hAnsi="Arial"/>
          <w:sz w:val="15"/>
          <w:szCs w:val="15"/>
          <w:color w:val="auto"/>
        </w:rPr>
        <w:t>On June 25, 2015 General Motors Company (GM) Vice President, Controller &amp; Chief Accounting Officer Thomas Timko gave a presentation to financial analysts which covered an overview of GM's financial reporting practices and policies. The presentation is attached as Exhibit 99.1.</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8.01 Other Events</w:t>
      </w:r>
    </w:p>
    <w:p>
      <w:pPr>
        <w:spacing w:after="0" w:line="183" w:lineRule="exact"/>
        <w:rPr>
          <w:sz w:val="20"/>
          <w:szCs w:val="20"/>
          <w:color w:val="auto"/>
        </w:rPr>
      </w:pPr>
    </w:p>
    <w:p>
      <w:pPr>
        <w:jc w:val="both"/>
        <w:ind w:firstLine="132"/>
        <w:spacing w:after="0" w:line="297" w:lineRule="auto"/>
        <w:rPr>
          <w:sz w:val="20"/>
          <w:szCs w:val="20"/>
          <w:color w:val="auto"/>
        </w:rPr>
      </w:pPr>
      <w:r>
        <w:rPr>
          <w:rFonts w:ascii="Arial" w:cs="Arial" w:eastAsia="Arial" w:hAnsi="Arial"/>
          <w:sz w:val="13"/>
          <w:szCs w:val="13"/>
          <w:color w:val="auto"/>
        </w:rPr>
        <w:t>During the presentation Mr. Timko announced that GM has determined that it will change the exchange rate used for remeasuring the net assets of its Venezuelan subsidiaries to the Sistema Marginal de Divisas (SIMADI) rate of approximately BsF 200 to $1.00 from the Complementary System of Foreign Currency Administration (SICAD) rate of BsF 12 to $1.00. The SIMADI rate is considered more reflective of economic reality in Venezuela and future transactions at the SICAD rate appear highly unlikely. As a result GM expects to record a pre-tax charge of approximately $600 million primarily related to this remeasurement in Automotive cost of sales in the second quarter of 2015. The remeasurement charge will be treated as special for EBIT-adjusted reporting purposes. GM does not expect this decision to impact its South American or Venezuelan operating results, nor does it believe it will affect 2015 adjusted free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60" w:type="dxa"/>
            <w:vAlign w:val="bottom"/>
            <w:gridSpan w:val="4"/>
          </w:tcPr>
          <w:p>
            <w:pPr>
              <w:spacing w:after="0"/>
              <w:rPr>
                <w:sz w:val="20"/>
                <w:szCs w:val="20"/>
                <w:color w:val="auto"/>
              </w:rPr>
            </w:pPr>
            <w:r>
              <w:rPr>
                <w:rFonts w:ascii="Arial" w:cs="Arial" w:eastAsia="Arial" w:hAnsi="Arial"/>
                <w:sz w:val="15"/>
                <w:szCs w:val="15"/>
                <w:b w:val="1"/>
                <w:bCs w:val="1"/>
                <w:color w:val="auto"/>
              </w:rPr>
              <w:t>EXHIBIT</w:t>
            </w:r>
          </w:p>
        </w:tc>
      </w:tr>
      <w:tr>
        <w:trPr>
          <w:trHeight w:val="464"/>
        </w:trPr>
        <w:tc>
          <w:tcPr>
            <w:tcW w:w="1840" w:type="dxa"/>
            <w:vAlign w:val="bottom"/>
            <w:gridSpan w:val="2"/>
          </w:tcPr>
          <w:p>
            <w:pPr>
              <w:ind w:left="20"/>
              <w:spacing w:after="0"/>
              <w:rPr>
                <w:sz w:val="20"/>
                <w:szCs w:val="20"/>
                <w:color w:val="auto"/>
              </w:rPr>
            </w:pPr>
            <w:r>
              <w:rPr>
                <w:rFonts w:ascii="Arial" w:cs="Arial" w:eastAsia="Arial" w:hAnsi="Arial"/>
                <w:sz w:val="15"/>
                <w:szCs w:val="15"/>
                <w:color w:val="auto"/>
              </w:rPr>
              <w:t>Exhibit</w:t>
            </w:r>
          </w:p>
        </w:tc>
        <w:tc>
          <w:tcPr>
            <w:tcW w:w="3560" w:type="dxa"/>
            <w:vAlign w:val="bottom"/>
            <w:gridSpan w:val="2"/>
          </w:tcPr>
          <w:p>
            <w:pPr>
              <w:spacing w:after="0"/>
              <w:rPr>
                <w:sz w:val="20"/>
                <w:szCs w:val="20"/>
                <w:color w:val="auto"/>
              </w:rPr>
            </w:pPr>
            <w:r>
              <w:rPr>
                <w:rFonts w:ascii="Arial" w:cs="Arial" w:eastAsia="Arial" w:hAnsi="Arial"/>
                <w:sz w:val="15"/>
                <w:szCs w:val="15"/>
                <w:color w:val="auto"/>
              </w:rPr>
              <w:t>Description</w:t>
            </w:r>
          </w:p>
        </w:tc>
        <w:tc>
          <w:tcPr>
            <w:tcW w:w="620" w:type="dxa"/>
            <w:vAlign w:val="bottom"/>
            <w:tcBorders>
              <w:top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5"/>
                <w:szCs w:val="15"/>
                <w:color w:val="auto"/>
              </w:rPr>
              <w:t>Method of Filing</w:t>
            </w:r>
          </w:p>
        </w:tc>
      </w:tr>
      <w:tr>
        <w:trPr>
          <w:trHeight w:val="20"/>
        </w:trPr>
        <w:tc>
          <w:tcPr>
            <w:tcW w:w="4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3"/>
        </w:trPr>
        <w:tc>
          <w:tcPr>
            <w:tcW w:w="1840" w:type="dxa"/>
            <w:vAlign w:val="bottom"/>
            <w:gridSpan w:val="2"/>
          </w:tcPr>
          <w:p>
            <w:pPr>
              <w:ind w:left="20"/>
              <w:spacing w:after="0"/>
              <w:rPr>
                <w:sz w:val="20"/>
                <w:szCs w:val="20"/>
                <w:color w:val="auto"/>
              </w:rPr>
            </w:pPr>
            <w:r>
              <w:rPr>
                <w:rFonts w:ascii="Arial" w:cs="Arial" w:eastAsia="Arial" w:hAnsi="Arial"/>
                <w:sz w:val="15"/>
                <w:szCs w:val="15"/>
                <w:color w:val="auto"/>
              </w:rPr>
              <w:t>Exhibit 99.1</w:t>
            </w:r>
          </w:p>
        </w:tc>
        <w:tc>
          <w:tcPr>
            <w:tcW w:w="3560" w:type="dxa"/>
            <w:vAlign w:val="bottom"/>
            <w:gridSpan w:val="2"/>
          </w:tcPr>
          <w:p>
            <w:pPr>
              <w:spacing w:after="0"/>
              <w:rPr>
                <w:sz w:val="20"/>
                <w:szCs w:val="20"/>
                <w:color w:val="auto"/>
              </w:rPr>
            </w:pPr>
            <w:r>
              <w:rPr>
                <w:rFonts w:ascii="Arial" w:cs="Arial" w:eastAsia="Arial" w:hAnsi="Arial"/>
                <w:sz w:val="15"/>
                <w:szCs w:val="15"/>
                <w:color w:val="auto"/>
                <w:w w:val="95"/>
              </w:rPr>
              <w:t>Presentation to Financial Analysts Dated June 25, 2015</w:t>
            </w:r>
          </w:p>
        </w:tc>
        <w:tc>
          <w:tcPr>
            <w:tcW w:w="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5"/>
                <w:szCs w:val="15"/>
                <w:color w:val="auto"/>
                <w:w w:val="87"/>
              </w:rPr>
              <w:t>Attached as Exhibit</w:t>
            </w:r>
          </w:p>
        </w:tc>
      </w:tr>
    </w:tbl>
    <w:p>
      <w:pPr>
        <w:sectPr>
          <w:pgSz w:w="11900" w:h="16838" w:orient="portrait"/>
          <w:cols w:equalWidth="0" w:num="1">
            <w:col w:w="11460"/>
          </w:cols>
          <w:pgMar w:left="220" w:top="499"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5"/>
                <w:szCs w:val="15"/>
                <w:color w:val="auto"/>
              </w:rPr>
              <w:t>GENERAL MOTORS COMPANY</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(Registrant)</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5"/>
                <w:szCs w:val="15"/>
                <w:color w:val="auto"/>
              </w:rPr>
              <w:t>/s/ THOMAS S. TIMKO</w:t>
            </w:r>
          </w:p>
        </w:tc>
        <w:tc>
          <w:tcPr>
            <w:tcW w:w="0" w:type="dxa"/>
            <w:vAlign w:val="bottom"/>
          </w:tcPr>
          <w:p>
            <w:pPr>
              <w:spacing w:after="0"/>
              <w:rPr>
                <w:sz w:val="1"/>
                <w:szCs w:val="1"/>
                <w:color w:val="auto"/>
              </w:rPr>
            </w:pPr>
          </w:p>
        </w:tc>
      </w:tr>
      <w:tr>
        <w:trPr>
          <w:trHeight w:val="22"/>
        </w:trPr>
        <w:tc>
          <w:tcPr>
            <w:tcW w:w="3320" w:type="dxa"/>
            <w:vAlign w:val="bottom"/>
            <w:vMerge w:val="restart"/>
          </w:tcPr>
          <w:p>
            <w:pPr>
              <w:spacing w:after="0"/>
              <w:rPr>
                <w:sz w:val="20"/>
                <w:szCs w:val="20"/>
                <w:color w:val="auto"/>
              </w:rPr>
            </w:pPr>
            <w:r>
              <w:rPr>
                <w:rFonts w:ascii="Arial" w:cs="Arial" w:eastAsia="Arial" w:hAnsi="Arial"/>
                <w:sz w:val="15"/>
                <w:szCs w:val="15"/>
                <w:color w:val="auto"/>
              </w:rPr>
              <w:t>Date: June 25, 2015</w:t>
            </w:r>
          </w:p>
        </w:tc>
        <w:tc>
          <w:tcPr>
            <w:tcW w:w="2840" w:type="dxa"/>
            <w:vAlign w:val="bottom"/>
            <w:vMerge w:val="restart"/>
          </w:tcPr>
          <w:p>
            <w:pPr>
              <w:ind w:left="2180"/>
              <w:spacing w:after="0"/>
              <w:rPr>
                <w:sz w:val="20"/>
                <w:szCs w:val="20"/>
                <w:color w:val="auto"/>
              </w:rPr>
            </w:pPr>
            <w:r>
              <w:rPr>
                <w:rFonts w:ascii="Arial" w:cs="Arial" w:eastAsia="Arial" w:hAnsi="Arial"/>
                <w:sz w:val="15"/>
                <w:szCs w:val="15"/>
                <w:color w:val="auto"/>
              </w:rPr>
              <w:t>By:</w:t>
            </w:r>
          </w:p>
        </w:tc>
        <w:tc>
          <w:tcPr>
            <w:tcW w:w="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320" w:type="dxa"/>
            <w:vAlign w:val="bottom"/>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Arial" w:cs="Arial" w:eastAsia="Arial" w:hAnsi="Arial"/>
                <w:sz w:val="15"/>
                <w:szCs w:val="15"/>
                <w:color w:val="auto"/>
              </w:rPr>
              <w:t>Thomas S. Timko</w:t>
            </w: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40" w:type="dxa"/>
            <w:vAlign w:val="bottom"/>
            <w:gridSpan w:val="2"/>
          </w:tcPr>
          <w:p>
            <w:pPr>
              <w:spacing w:after="0"/>
              <w:rPr>
                <w:sz w:val="20"/>
                <w:szCs w:val="20"/>
                <w:color w:val="auto"/>
              </w:rPr>
            </w:pPr>
            <w:r>
              <w:rPr>
                <w:rFonts w:ascii="Arial" w:cs="Arial" w:eastAsia="Arial" w:hAnsi="Arial"/>
                <w:sz w:val="15"/>
                <w:szCs w:val="15"/>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60"/>
          </w:cols>
          <w:pgMar w:left="220" w:top="674"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312420</wp:posOffset>
            </wp:positionV>
            <wp:extent cx="7214235" cy="571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6129655</wp:posOffset>
            </wp:positionV>
            <wp:extent cx="721423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23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2019-12-08T21:21:52Z</dcterms:created>
  <dcterms:modified xsi:type="dcterms:W3CDTF">2019-12-08T21:21:52Z</dcterms:modified>
</cp:coreProperties>
</file>