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AKERSON DANIEL F</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980"/>
        <w:spacing w:after="0" w:line="336"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03/15/2012</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20"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76,249</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3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40" w:type="dxa"/>
            <w:vAlign w:val="bottom"/>
          </w:tcPr>
          <w:p>
            <w:pPr>
              <w:jc w:val="right"/>
              <w:ind w:right="198"/>
              <w:spacing w:after="0" w:line="147" w:lineRule="exact"/>
              <w:rPr>
                <w:sz w:val="20"/>
                <w:szCs w:val="20"/>
                <w:color w:val="auto"/>
              </w:rPr>
            </w:pPr>
            <w:r>
              <w:rPr>
                <w:rFonts w:ascii="Times New Roman" w:cs="Times New Roman" w:eastAsia="Times New Roman" w:hAnsi="Times New Roman"/>
                <w:sz w:val="13"/>
                <w:szCs w:val="13"/>
                <w:color w:val="0000FF"/>
              </w:rPr>
              <w:t>03/15/2012</w:t>
            </w:r>
          </w:p>
        </w:tc>
        <w:tc>
          <w:tcPr>
            <w:tcW w:w="1120" w:type="dxa"/>
            <w:vAlign w:val="bottom"/>
          </w:tcPr>
          <w:p>
            <w:pPr>
              <w:spacing w:after="0"/>
              <w:rPr>
                <w:sz w:val="12"/>
                <w:szCs w:val="12"/>
                <w:color w:val="auto"/>
              </w:rPr>
            </w:pPr>
          </w:p>
        </w:tc>
        <w:tc>
          <w:tcPr>
            <w:tcW w:w="84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76,249</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tcPr>
          <w:p>
            <w:pPr>
              <w:ind w:left="28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line="147" w:lineRule="exact"/>
              <w:rPr>
                <w:sz w:val="20"/>
                <w:szCs w:val="20"/>
                <w:color w:val="auto"/>
              </w:rPr>
            </w:pPr>
            <w:r>
              <w:rPr>
                <w:rFonts w:ascii="Times New Roman" w:cs="Times New Roman" w:eastAsia="Times New Roman" w:hAnsi="Times New Roman"/>
                <w:sz w:val="13"/>
                <w:szCs w:val="13"/>
                <w:color w:val="0000FF"/>
              </w:rPr>
              <w:t>76,249</w:t>
            </w:r>
          </w:p>
        </w:tc>
        <w:tc>
          <w:tcPr>
            <w:tcW w:w="76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20" w:firstLine="8"/>
        <w:spacing w:after="0" w:line="250"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were awarded on March 15, 2012, pursuant to the Company's 2009 Long-Term Incentive Plan (the "GMLTP"). Two-thirds of the RSUs will vest on March 15, 2014, and the remaining one-third will vest on March 15, 2015, provided that the reporting person remains continuously employed through the vesting date. Each RSU represents a right to receive one share of the Company's common stock upon settlement. RSUs will be settled when they vest except that until all the Company's obligations under Treasury Regulation 31 CFR 30.1 (Q-1) (the "TARP Obligations") have been repaid, awards will be settled in increments of 25% for each 25% of the TARP Obligations that have been repaid.</w:t>
      </w:r>
    </w:p>
    <w:p>
      <w:pPr>
        <w:spacing w:after="0" w:line="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Anne T. Larin,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03/19/2012</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fact for Mr. Akerson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2019-12-17T01:32:22Z</dcterms:created>
  <dcterms:modified xsi:type="dcterms:W3CDTF">2019-12-17T01:32:22Z</dcterms:modified>
</cp:coreProperties>
</file>