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3E3935"/>
        </w:rPr>
        <w:t>UNITED STATES</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3E3935"/>
        </w:rPr>
        <w:t>SECURITIES AND EXCHANGE COMMISSION</w:t>
      </w:r>
    </w:p>
    <w:p>
      <w:pPr>
        <w:jc w:val="center"/>
        <w:ind w:right="-1120"/>
        <w:spacing w:after="0"/>
        <w:rPr>
          <w:sz w:val="20"/>
          <w:szCs w:val="20"/>
          <w:color w:val="auto"/>
        </w:rPr>
      </w:pPr>
      <w:r>
        <w:rPr>
          <w:rFonts w:ascii="Arial" w:cs="Arial" w:eastAsia="Arial" w:hAnsi="Arial"/>
          <w:sz w:val="14"/>
          <w:szCs w:val="14"/>
          <w:color w:val="3E3935"/>
        </w:rPr>
        <w:t>Washington, D.C. 20549</w:t>
      </w:r>
    </w:p>
    <w:p>
      <w:pPr>
        <w:spacing w:after="0" w:line="186"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3E3935"/>
        </w:rPr>
        <w:t>SCHEDULE 14A</w:t>
      </w: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3E3935"/>
        </w:rPr>
        <w:t>Proxy Statement Pursuant to Section 14(a) of the Securities</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3E3935"/>
        </w:rPr>
        <w:t>Exchange Act of 1934</w:t>
      </w:r>
    </w:p>
    <w:p>
      <w:pPr>
        <w:spacing w:after="0" w:line="175" w:lineRule="exact"/>
        <w:rPr>
          <w:sz w:val="24"/>
          <w:szCs w:val="24"/>
          <w:color w:val="auto"/>
        </w:rPr>
      </w:pPr>
    </w:p>
    <w:p>
      <w:pPr>
        <w:jc w:val="right"/>
        <w:ind w:right="1159"/>
        <w:spacing w:after="0" w:line="150" w:lineRule="exact"/>
        <w:tabs>
          <w:tab w:leader="none" w:pos="2580" w:val="left"/>
        </w:tabs>
        <w:rPr>
          <w:sz w:val="20"/>
          <w:szCs w:val="20"/>
          <w:color w:val="auto"/>
        </w:rPr>
      </w:pPr>
      <w:r>
        <w:rPr>
          <w:rFonts w:ascii="MS PGothic" w:cs="MS PGothic" w:eastAsia="MS PGothic" w:hAnsi="MS PGothic"/>
          <w:sz w:val="13"/>
          <w:szCs w:val="13"/>
          <w:color w:val="3E3935"/>
        </w:rPr>
        <w:t>☑</w:t>
      </w:r>
      <w:r>
        <w:rPr>
          <w:rFonts w:ascii="Arial" w:cs="Arial" w:eastAsia="Arial" w:hAnsi="Arial"/>
          <w:sz w:val="13"/>
          <w:szCs w:val="13"/>
          <w:color w:val="3E3935"/>
        </w:rPr>
        <w:t xml:space="preserve"> Filed by the Registrant</w:t>
      </w:r>
      <w:r>
        <w:rPr>
          <w:sz w:val="20"/>
          <w:szCs w:val="20"/>
          <w:color w:val="auto"/>
        </w:rPr>
        <w:tab/>
      </w:r>
      <w:r>
        <w:rPr>
          <w:rFonts w:ascii="MS PGothic" w:cs="MS PGothic" w:eastAsia="MS PGothic" w:hAnsi="MS PGothic"/>
          <w:sz w:val="13"/>
          <w:szCs w:val="13"/>
          <w:color w:val="3E3935"/>
        </w:rPr>
        <w:t xml:space="preserve">☐ </w:t>
      </w:r>
      <w:r>
        <w:rPr>
          <w:rFonts w:ascii="Arial" w:cs="Arial" w:eastAsia="Arial" w:hAnsi="Arial"/>
          <w:sz w:val="13"/>
          <w:szCs w:val="13"/>
          <w:color w:val="3E3935"/>
        </w:rPr>
        <w:t>Filed by a Party other than the Registrant</w:t>
      </w:r>
    </w:p>
    <w:p>
      <w:pPr>
        <w:spacing w:after="0" w:line="270" w:lineRule="exact"/>
        <w:rPr>
          <w:sz w:val="24"/>
          <w:szCs w:val="24"/>
          <w:color w:val="auto"/>
        </w:rPr>
      </w:pPr>
    </w:p>
    <w:p>
      <w:pPr>
        <w:ind w:left="340"/>
        <w:spacing w:after="0"/>
        <w:rPr>
          <w:sz w:val="20"/>
          <w:szCs w:val="20"/>
          <w:color w:val="auto"/>
        </w:rPr>
      </w:pPr>
      <w:r>
        <w:rPr>
          <w:rFonts w:ascii="Arial" w:cs="Arial" w:eastAsia="Arial" w:hAnsi="Arial"/>
          <w:sz w:val="21"/>
          <w:szCs w:val="21"/>
          <w:b w:val="1"/>
          <w:bCs w:val="1"/>
          <w:color w:val="3E3935"/>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-151765</wp:posOffset>
            </wp:positionV>
            <wp:extent cx="6921500" cy="1019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1019175"/>
                    </a:xfrm>
                    <a:prstGeom prst="rect">
                      <a:avLst/>
                    </a:prstGeom>
                    <a:noFill/>
                  </pic:spPr>
                </pic:pic>
              </a:graphicData>
            </a:graphic>
          </wp:anchor>
        </w:drawing>
      </w:r>
    </w:p>
    <w:p>
      <w:pPr>
        <w:spacing w:after="0" w:line="39" w:lineRule="exact"/>
        <w:rPr>
          <w:sz w:val="24"/>
          <w:szCs w:val="24"/>
          <w:color w:val="auto"/>
        </w:rPr>
      </w:pPr>
    </w:p>
    <w:p>
      <w:pPr>
        <w:ind w:left="680" w:hanging="343"/>
        <w:spacing w:after="0"/>
        <w:tabs>
          <w:tab w:leader="none" w:pos="68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Preliminary Proxy Statement</w:t>
      </w:r>
    </w:p>
    <w:p>
      <w:pPr>
        <w:spacing w:after="0" w:line="83" w:lineRule="exact"/>
        <w:rPr>
          <w:rFonts w:ascii="MS PGothic" w:cs="MS PGothic" w:eastAsia="MS PGothic" w:hAnsi="MS PGothic"/>
          <w:sz w:val="18"/>
          <w:szCs w:val="18"/>
          <w:color w:val="3E3935"/>
        </w:rPr>
      </w:pPr>
    </w:p>
    <w:p>
      <w:pPr>
        <w:ind w:left="680" w:hanging="343"/>
        <w:spacing w:after="0"/>
        <w:tabs>
          <w:tab w:leader="none" w:pos="68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CONFIDENTIAL, FOR USE OF THE COMMISSION ONLY (AS PERMITTED BY RULE 14a-6(e)(2))</w:t>
      </w:r>
    </w:p>
    <w:p>
      <w:pPr>
        <w:spacing w:after="0" w:line="83" w:lineRule="exact"/>
        <w:rPr>
          <w:sz w:val="24"/>
          <w:szCs w:val="24"/>
          <w:color w:val="auto"/>
        </w:rPr>
      </w:pPr>
    </w:p>
    <w:p>
      <w:pPr>
        <w:ind w:left="680" w:hanging="343"/>
        <w:spacing w:after="0"/>
        <w:tabs>
          <w:tab w:leader="none" w:pos="680" w:val="left"/>
        </w:tabs>
        <w:numPr>
          <w:ilvl w:val="0"/>
          <w:numId w:val="2"/>
        </w:numPr>
        <w:rPr>
          <w:rFonts w:ascii="MS PGothic" w:cs="MS PGothic" w:eastAsia="MS PGothic" w:hAnsi="MS PGothic"/>
          <w:sz w:val="18"/>
          <w:szCs w:val="18"/>
          <w:color w:val="3E3935"/>
        </w:rPr>
      </w:pPr>
      <w:r>
        <w:rPr>
          <w:rFonts w:ascii="Arial" w:cs="Arial" w:eastAsia="Arial" w:hAnsi="Arial"/>
          <w:sz w:val="14"/>
          <w:szCs w:val="14"/>
          <w:color w:val="3E3935"/>
        </w:rPr>
        <w:t>Definitive Proxy Statement</w:t>
      </w:r>
    </w:p>
    <w:p>
      <w:pPr>
        <w:spacing w:after="0" w:line="83" w:lineRule="exact"/>
        <w:rPr>
          <w:sz w:val="24"/>
          <w:szCs w:val="24"/>
          <w:color w:val="auto"/>
        </w:rPr>
      </w:pPr>
    </w:p>
    <w:p>
      <w:pPr>
        <w:ind w:left="680" w:hanging="343"/>
        <w:spacing w:after="0"/>
        <w:tabs>
          <w:tab w:leader="none" w:pos="680" w:val="left"/>
        </w:tabs>
        <w:numPr>
          <w:ilvl w:val="0"/>
          <w:numId w:val="3"/>
        </w:numPr>
        <w:rPr>
          <w:rFonts w:ascii="MS PGothic" w:cs="MS PGothic" w:eastAsia="MS PGothic" w:hAnsi="MS PGothic"/>
          <w:sz w:val="18"/>
          <w:szCs w:val="18"/>
          <w:color w:val="3E3935"/>
        </w:rPr>
      </w:pPr>
      <w:r>
        <w:rPr>
          <w:rFonts w:ascii="Arial" w:cs="Arial" w:eastAsia="Arial" w:hAnsi="Arial"/>
          <w:sz w:val="14"/>
          <w:szCs w:val="14"/>
          <w:color w:val="3E3935"/>
        </w:rPr>
        <w:t>Definitive Additional Materials</w:t>
      </w:r>
    </w:p>
    <w:p>
      <w:pPr>
        <w:spacing w:after="0" w:line="83" w:lineRule="exact"/>
        <w:rPr>
          <w:rFonts w:ascii="MS PGothic" w:cs="MS PGothic" w:eastAsia="MS PGothic" w:hAnsi="MS PGothic"/>
          <w:sz w:val="18"/>
          <w:szCs w:val="18"/>
          <w:color w:val="3E3935"/>
        </w:rPr>
      </w:pPr>
    </w:p>
    <w:p>
      <w:pPr>
        <w:ind w:left="680" w:hanging="343"/>
        <w:spacing w:after="0"/>
        <w:tabs>
          <w:tab w:leader="none" w:pos="680" w:val="left"/>
        </w:tabs>
        <w:numPr>
          <w:ilvl w:val="0"/>
          <w:numId w:val="3"/>
        </w:numPr>
        <w:rPr>
          <w:rFonts w:ascii="MS PGothic" w:cs="MS PGothic" w:eastAsia="MS PGothic" w:hAnsi="MS PGothic"/>
          <w:sz w:val="18"/>
          <w:szCs w:val="18"/>
          <w:color w:val="3E3935"/>
        </w:rPr>
      </w:pPr>
      <w:r>
        <w:rPr>
          <w:rFonts w:ascii="Arial" w:cs="Arial" w:eastAsia="Arial" w:hAnsi="Arial"/>
          <w:sz w:val="14"/>
          <w:szCs w:val="14"/>
          <w:color w:val="3E3935"/>
        </w:rPr>
        <w:t>Soliciting Material under ss.240.14a-12</w:t>
      </w:r>
    </w:p>
    <w:p>
      <w:pPr>
        <w:spacing w:after="0" w:line="243" w:lineRule="exact"/>
        <w:rPr>
          <w:sz w:val="24"/>
          <w:szCs w:val="24"/>
          <w:color w:val="auto"/>
        </w:rPr>
      </w:pPr>
    </w:p>
    <w:p>
      <w:pPr>
        <w:ind w:left="3380"/>
        <w:spacing w:after="0"/>
        <w:rPr>
          <w:sz w:val="20"/>
          <w:szCs w:val="20"/>
          <w:color w:val="auto"/>
        </w:rPr>
      </w:pPr>
      <w:r>
        <w:rPr>
          <w:rFonts w:ascii="Arial" w:cs="Arial" w:eastAsia="Arial" w:hAnsi="Arial"/>
          <w:sz w:val="30"/>
          <w:szCs w:val="30"/>
          <w:b w:val="1"/>
          <w:bCs w:val="1"/>
          <w:color w:val="0071CE"/>
        </w:rPr>
        <w:t>GENERAL MOTORS COMPANY</w:t>
      </w:r>
    </w:p>
    <w:p>
      <w:pPr>
        <w:spacing w:after="0" w:line="36" w:lineRule="exact"/>
        <w:rPr>
          <w:sz w:val="24"/>
          <w:szCs w:val="24"/>
          <w:color w:val="auto"/>
        </w:rPr>
      </w:pPr>
    </w:p>
    <w:p>
      <w:pPr>
        <w:ind w:left="3460"/>
        <w:spacing w:after="0"/>
        <w:rPr>
          <w:sz w:val="20"/>
          <w:szCs w:val="20"/>
          <w:color w:val="auto"/>
        </w:rPr>
      </w:pPr>
      <w:r>
        <w:rPr>
          <w:rFonts w:ascii="Arial" w:cs="Arial" w:eastAsia="Arial" w:hAnsi="Arial"/>
          <w:sz w:val="20"/>
          <w:szCs w:val="20"/>
          <w:color w:val="3E3935"/>
        </w:rPr>
        <w:t>300 Renaissance Center, Detroit, Michigan 48265</w:t>
      </w:r>
    </w:p>
    <w:p>
      <w:pPr>
        <w:spacing w:after="0" w:line="194" w:lineRule="exact"/>
        <w:rPr>
          <w:sz w:val="24"/>
          <w:szCs w:val="24"/>
          <w:color w:val="auto"/>
        </w:rPr>
      </w:pPr>
    </w:p>
    <w:p>
      <w:pPr>
        <w:jc w:val="center"/>
        <w:ind w:right="-1120"/>
        <w:spacing w:after="0"/>
        <w:rPr>
          <w:sz w:val="20"/>
          <w:szCs w:val="20"/>
          <w:color w:val="auto"/>
        </w:rPr>
      </w:pPr>
      <w:r>
        <w:rPr>
          <w:rFonts w:ascii="Arial" w:cs="Arial" w:eastAsia="Arial" w:hAnsi="Arial"/>
          <w:sz w:val="14"/>
          <w:szCs w:val="14"/>
          <w:i w:val="1"/>
          <w:iCs w:val="1"/>
          <w:color w:val="3E3935"/>
        </w:rPr>
        <w:t>(Name of Registrant as Specified In Its Charter)</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4"/>
          <w:szCs w:val="14"/>
          <w:i w:val="1"/>
          <w:iCs w:val="1"/>
          <w:color w:val="3E3935"/>
        </w:rPr>
        <w:t>(Name of Person(s) Filing Proxy Statement, if other than the Registrant)</w:t>
      </w:r>
    </w:p>
    <w:p>
      <w:pPr>
        <w:spacing w:after="0" w:line="234" w:lineRule="exact"/>
        <w:rPr>
          <w:sz w:val="24"/>
          <w:szCs w:val="24"/>
          <w:color w:val="auto"/>
        </w:rPr>
      </w:pPr>
    </w:p>
    <w:p>
      <w:pPr>
        <w:ind w:left="340"/>
        <w:spacing w:after="0"/>
        <w:rPr>
          <w:sz w:val="20"/>
          <w:szCs w:val="20"/>
          <w:color w:val="auto"/>
        </w:rPr>
      </w:pPr>
      <w:r>
        <w:rPr>
          <w:rFonts w:ascii="Arial" w:cs="Arial" w:eastAsia="Arial" w:hAnsi="Arial"/>
          <w:sz w:val="21"/>
          <w:szCs w:val="21"/>
          <w:b w:val="1"/>
          <w:bCs w:val="1"/>
          <w:color w:val="3E3935"/>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-151765</wp:posOffset>
            </wp:positionV>
            <wp:extent cx="6921500" cy="1027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1027430"/>
                    </a:xfrm>
                    <a:prstGeom prst="rect">
                      <a:avLst/>
                    </a:prstGeom>
                    <a:noFill/>
                  </pic:spPr>
                </pic:pic>
              </a:graphicData>
            </a:graphic>
          </wp:anchor>
        </w:drawing>
      </w:r>
    </w:p>
    <w:p>
      <w:pPr>
        <w:spacing w:after="0" w:line="79" w:lineRule="exact"/>
        <w:rPr>
          <w:sz w:val="24"/>
          <w:szCs w:val="24"/>
          <w:color w:val="auto"/>
        </w:rPr>
      </w:pPr>
    </w:p>
    <w:p>
      <w:pPr>
        <w:ind w:left="720" w:hanging="304"/>
        <w:spacing w:after="0"/>
        <w:tabs>
          <w:tab w:leader="none" w:pos="720" w:val="left"/>
        </w:tabs>
        <w:numPr>
          <w:ilvl w:val="0"/>
          <w:numId w:val="4"/>
        </w:numPr>
        <w:rPr>
          <w:rFonts w:ascii="MS PGothic" w:cs="MS PGothic" w:eastAsia="MS PGothic" w:hAnsi="MS PGothic"/>
          <w:sz w:val="14"/>
          <w:szCs w:val="14"/>
          <w:color w:val="3E3935"/>
        </w:rPr>
      </w:pPr>
      <w:r>
        <w:rPr>
          <w:rFonts w:ascii="Arial" w:cs="Arial" w:eastAsia="Arial" w:hAnsi="Arial"/>
          <w:sz w:val="14"/>
          <w:szCs w:val="14"/>
          <w:b w:val="1"/>
          <w:bCs w:val="1"/>
          <w:color w:val="3E3935"/>
        </w:rPr>
        <w:t>No fee required</w:t>
      </w:r>
    </w:p>
    <w:p>
      <w:pPr>
        <w:spacing w:after="0" w:line="83" w:lineRule="exact"/>
        <w:rPr>
          <w:sz w:val="24"/>
          <w:szCs w:val="24"/>
          <w:color w:val="auto"/>
        </w:rPr>
      </w:pPr>
    </w:p>
    <w:p>
      <w:pPr>
        <w:ind w:left="380"/>
        <w:spacing w:after="0" w:line="141" w:lineRule="exact"/>
        <w:rPr>
          <w:sz w:val="20"/>
          <w:szCs w:val="20"/>
          <w:color w:val="auto"/>
        </w:rPr>
      </w:pPr>
      <w:r>
        <w:rPr>
          <w:rFonts w:ascii="MS PGothic" w:cs="MS PGothic" w:eastAsia="MS PGothic" w:hAnsi="MS PGothic"/>
          <w:sz w:val="14"/>
          <w:szCs w:val="14"/>
          <w:color w:val="3E3935"/>
        </w:rPr>
        <w:t>☐</w:t>
      </w:r>
    </w:p>
    <w:p>
      <w:pPr>
        <w:spacing w:after="0" w:line="137"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3E3935"/>
        </w:rPr>
        <w:t>Fee paid previously with preliminary materials</w:t>
      </w:r>
    </w:p>
    <w:p>
      <w:pPr>
        <w:spacing w:after="0" w:line="83" w:lineRule="exact"/>
        <w:rPr>
          <w:sz w:val="24"/>
          <w:szCs w:val="24"/>
          <w:color w:val="auto"/>
        </w:rPr>
      </w:pPr>
    </w:p>
    <w:p>
      <w:pPr>
        <w:ind w:left="380"/>
        <w:spacing w:after="0" w:line="141" w:lineRule="exact"/>
        <w:rPr>
          <w:sz w:val="20"/>
          <w:szCs w:val="20"/>
          <w:color w:val="auto"/>
        </w:rPr>
      </w:pPr>
      <w:r>
        <w:rPr>
          <w:rFonts w:ascii="MS PGothic" w:cs="MS PGothic" w:eastAsia="MS PGothic" w:hAnsi="MS PGothic"/>
          <w:sz w:val="14"/>
          <w:szCs w:val="14"/>
          <w:color w:val="3E3935"/>
        </w:rPr>
        <w:t>☐</w:t>
      </w:r>
    </w:p>
    <w:p>
      <w:pPr>
        <w:spacing w:after="0" w:line="137"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3E3935"/>
        </w:rPr>
        <w:t>Fee computed on table in exhibit required by Item 25(b) per Exchange Act Rules 14a-6(i)(1) and 0-11</w:t>
      </w:r>
    </w:p>
    <w:p>
      <w:pPr>
        <w:sectPr>
          <w:pgSz w:w="11900" w:h="16838" w:orient="portrait"/>
          <w:cols w:equalWidth="0" w:num="1">
            <w:col w:w="10139"/>
          </w:cols>
          <w:pgMar w:left="320" w:top="2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210820</wp:posOffset>
            </wp:positionV>
            <wp:extent cx="5944870" cy="764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44870" cy="76428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210820</wp:posOffset>
            </wp:positionV>
            <wp:extent cx="5944870" cy="7617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4870" cy="76174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NOTICE OF 2022 ANNUAL MEETING OF SHAREHOLDERS</w:t>
      </w:r>
    </w:p>
    <w:p>
      <w:pPr>
        <w:sectPr>
          <w:pgSz w:w="11900" w:h="16838" w:orient="portrait"/>
          <w:cols w:equalWidth="0" w:num="1">
            <w:col w:w="10760"/>
          </w:cols>
          <w:pgMar w:left="320" w:top="454" w:right="8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C1DE"/>
        </w:rPr>
        <w:t>April 29, 2022</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C1DE"/>
        </w:rPr>
        <w:t>Dear Fellow Shareholders:</w:t>
      </w:r>
    </w:p>
    <w:p>
      <w:pPr>
        <w:spacing w:after="0" w:line="93" w:lineRule="exact"/>
        <w:rPr>
          <w:sz w:val="20"/>
          <w:szCs w:val="20"/>
          <w:color w:val="auto"/>
        </w:rPr>
      </w:pPr>
    </w:p>
    <w:p>
      <w:pPr>
        <w:jc w:val="both"/>
        <w:ind w:left="160" w:right="40"/>
        <w:spacing w:after="0" w:line="238" w:lineRule="auto"/>
        <w:rPr>
          <w:sz w:val="20"/>
          <w:szCs w:val="20"/>
          <w:color w:val="auto"/>
        </w:rPr>
      </w:pPr>
      <w:r>
        <w:rPr>
          <w:rFonts w:ascii="Arial" w:cs="Arial" w:eastAsia="Arial" w:hAnsi="Arial"/>
          <w:sz w:val="20"/>
          <w:szCs w:val="20"/>
          <w:color w:val="3E3935"/>
        </w:rPr>
        <w:t>The Board of Directors of General Motors Company cordially invites you to attend the 2022 Annual Meeting of Shareholders.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At the Annual Meeting, you will be asked to:</w:t>
      </w:r>
    </w:p>
    <w:p>
      <w:pPr>
        <w:spacing w:after="0" w:line="104" w:lineRule="exact"/>
        <w:rPr>
          <w:sz w:val="20"/>
          <w:szCs w:val="20"/>
          <w:color w:val="auto"/>
        </w:rPr>
      </w:pPr>
    </w:p>
    <w:p>
      <w:pPr>
        <w:ind w:left="640" w:right="40" w:hanging="259"/>
        <w:spacing w:after="0" w:line="182" w:lineRule="auto"/>
        <w:tabs>
          <w:tab w:leader="none" w:pos="640" w:val="left"/>
        </w:tabs>
        <w:numPr>
          <w:ilvl w:val="0"/>
          <w:numId w:val="5"/>
        </w:numPr>
        <w:rPr>
          <w:rFonts w:ascii="Arial" w:cs="Arial" w:eastAsia="Arial" w:hAnsi="Arial"/>
          <w:sz w:val="38"/>
          <w:szCs w:val="38"/>
          <w:color w:val="00C1DE"/>
          <w:vertAlign w:val="subscript"/>
        </w:rPr>
      </w:pPr>
      <w:r>
        <w:rPr>
          <w:rFonts w:ascii="Arial" w:cs="Arial" w:eastAsia="Arial" w:hAnsi="Arial"/>
          <w:sz w:val="16"/>
          <w:szCs w:val="16"/>
          <w:i w:val="1"/>
          <w:iCs w:val="1"/>
          <w:color w:val="3E3935"/>
        </w:rPr>
        <w:t>Elect the 12 Board-recommended director nominees named in this Proxy Statement;</w:t>
      </w:r>
    </w:p>
    <w:p>
      <w:pPr>
        <w:spacing w:after="0" w:line="77" w:lineRule="exact"/>
        <w:rPr>
          <w:rFonts w:ascii="Arial" w:cs="Arial" w:eastAsia="Arial" w:hAnsi="Arial"/>
          <w:sz w:val="38"/>
          <w:szCs w:val="38"/>
          <w:color w:val="00C1DE"/>
          <w:vertAlign w:val="subscript"/>
        </w:rPr>
      </w:pPr>
    </w:p>
    <w:p>
      <w:pPr>
        <w:ind w:left="640" w:right="60" w:hanging="259"/>
        <w:spacing w:after="0" w:line="182" w:lineRule="auto"/>
        <w:tabs>
          <w:tab w:leader="none" w:pos="640" w:val="left"/>
        </w:tabs>
        <w:numPr>
          <w:ilvl w:val="0"/>
          <w:numId w:val="5"/>
        </w:numPr>
        <w:rPr>
          <w:rFonts w:ascii="Arial" w:cs="Arial" w:eastAsia="Arial" w:hAnsi="Arial"/>
          <w:sz w:val="38"/>
          <w:szCs w:val="38"/>
          <w:color w:val="00C1DE"/>
          <w:vertAlign w:val="subscript"/>
        </w:rPr>
      </w:pPr>
      <w:r>
        <w:rPr>
          <w:rFonts w:ascii="Arial" w:cs="Arial" w:eastAsia="Arial" w:hAnsi="Arial"/>
          <w:sz w:val="16"/>
          <w:szCs w:val="16"/>
          <w:i w:val="1"/>
          <w:iCs w:val="1"/>
          <w:color w:val="3E3935"/>
        </w:rPr>
        <w:t>Approve, on an advisory basis, named executive officer compensation;</w:t>
      </w:r>
    </w:p>
    <w:p>
      <w:pPr>
        <w:spacing w:after="0" w:line="77" w:lineRule="exact"/>
        <w:rPr>
          <w:rFonts w:ascii="Arial" w:cs="Arial" w:eastAsia="Arial" w:hAnsi="Arial"/>
          <w:sz w:val="38"/>
          <w:szCs w:val="38"/>
          <w:color w:val="00C1DE"/>
          <w:vertAlign w:val="subscript"/>
        </w:rPr>
      </w:pPr>
    </w:p>
    <w:p>
      <w:pPr>
        <w:jc w:val="both"/>
        <w:ind w:left="640" w:right="60" w:hanging="259"/>
        <w:spacing w:after="0" w:line="181" w:lineRule="auto"/>
        <w:tabs>
          <w:tab w:leader="none" w:pos="640" w:val="left"/>
        </w:tabs>
        <w:numPr>
          <w:ilvl w:val="0"/>
          <w:numId w:val="5"/>
        </w:numPr>
        <w:rPr>
          <w:rFonts w:ascii="Arial" w:cs="Arial" w:eastAsia="Arial" w:hAnsi="Arial"/>
          <w:sz w:val="43"/>
          <w:szCs w:val="43"/>
          <w:color w:val="00C1DE"/>
          <w:vertAlign w:val="subscript"/>
        </w:rPr>
      </w:pPr>
      <w:r>
        <w:rPr>
          <w:rFonts w:ascii="Arial" w:cs="Arial" w:eastAsia="Arial" w:hAnsi="Arial"/>
          <w:sz w:val="18"/>
          <w:szCs w:val="18"/>
          <w:i w:val="1"/>
          <w:iCs w:val="1"/>
          <w:color w:val="3E3935"/>
        </w:rPr>
        <w:t>Ratify the selection of Ernst &amp; Young LLP as the Company’s independent registered public accounting firm for 2022;</w:t>
      </w:r>
    </w:p>
    <w:p>
      <w:pPr>
        <w:spacing w:after="0" w:line="77" w:lineRule="exact"/>
        <w:rPr>
          <w:rFonts w:ascii="Arial" w:cs="Arial" w:eastAsia="Arial" w:hAnsi="Arial"/>
          <w:sz w:val="43"/>
          <w:szCs w:val="43"/>
          <w:color w:val="00C1DE"/>
          <w:vertAlign w:val="subscript"/>
        </w:rPr>
      </w:pPr>
    </w:p>
    <w:p>
      <w:pPr>
        <w:ind w:left="640" w:right="60" w:hanging="259"/>
        <w:spacing w:after="0" w:line="182" w:lineRule="auto"/>
        <w:tabs>
          <w:tab w:leader="none" w:pos="640" w:val="left"/>
        </w:tabs>
        <w:numPr>
          <w:ilvl w:val="0"/>
          <w:numId w:val="5"/>
        </w:numPr>
        <w:rPr>
          <w:rFonts w:ascii="Arial" w:cs="Arial" w:eastAsia="Arial" w:hAnsi="Arial"/>
          <w:sz w:val="38"/>
          <w:szCs w:val="38"/>
          <w:color w:val="00C1DE"/>
          <w:vertAlign w:val="subscript"/>
        </w:rPr>
      </w:pPr>
      <w:r>
        <w:rPr>
          <w:rFonts w:ascii="Arial" w:cs="Arial" w:eastAsia="Arial" w:hAnsi="Arial"/>
          <w:sz w:val="16"/>
          <w:szCs w:val="16"/>
          <w:i w:val="1"/>
          <w:iCs w:val="1"/>
          <w:color w:val="3E3935"/>
        </w:rPr>
        <w:t>Vote on Rule 14a-8 shareholder proposals, if properly presented at the meeting; and</w:t>
      </w:r>
    </w:p>
    <w:p>
      <w:pPr>
        <w:spacing w:after="0" w:line="77" w:lineRule="exact"/>
        <w:rPr>
          <w:rFonts w:ascii="Arial" w:cs="Arial" w:eastAsia="Arial" w:hAnsi="Arial"/>
          <w:sz w:val="38"/>
          <w:szCs w:val="38"/>
          <w:color w:val="00C1DE"/>
          <w:vertAlign w:val="subscript"/>
        </w:rPr>
      </w:pPr>
    </w:p>
    <w:p>
      <w:pPr>
        <w:ind w:left="640" w:right="60" w:hanging="259"/>
        <w:spacing w:after="0" w:line="182" w:lineRule="auto"/>
        <w:tabs>
          <w:tab w:leader="none" w:pos="640" w:val="left"/>
        </w:tabs>
        <w:numPr>
          <w:ilvl w:val="0"/>
          <w:numId w:val="5"/>
        </w:numPr>
        <w:rPr>
          <w:rFonts w:ascii="Arial" w:cs="Arial" w:eastAsia="Arial" w:hAnsi="Arial"/>
          <w:sz w:val="38"/>
          <w:szCs w:val="38"/>
          <w:color w:val="00C1DE"/>
          <w:vertAlign w:val="subscript"/>
        </w:rPr>
      </w:pPr>
      <w:r>
        <w:rPr>
          <w:rFonts w:ascii="Arial" w:cs="Arial" w:eastAsia="Arial" w:hAnsi="Arial"/>
          <w:sz w:val="16"/>
          <w:szCs w:val="16"/>
          <w:i w:val="1"/>
          <w:iCs w:val="1"/>
          <w:color w:val="3E3935"/>
        </w:rPr>
        <w:t>Transact any other business that is properly presented at the meeting.</w:t>
      </w:r>
    </w:p>
    <w:p>
      <w:pPr>
        <w:spacing w:after="0" w:line="104" w:lineRule="exact"/>
        <w:rPr>
          <w:sz w:val="20"/>
          <w:szCs w:val="20"/>
          <w:color w:val="auto"/>
        </w:rPr>
      </w:pPr>
    </w:p>
    <w:p>
      <w:pPr>
        <w:jc w:val="both"/>
        <w:ind w:left="160" w:right="40"/>
        <w:spacing w:after="0" w:line="232" w:lineRule="auto"/>
        <w:rPr>
          <w:sz w:val="20"/>
          <w:szCs w:val="20"/>
          <w:color w:val="auto"/>
        </w:rPr>
      </w:pPr>
      <w:r>
        <w:rPr>
          <w:rFonts w:ascii="Arial" w:cs="Arial" w:eastAsia="Arial" w:hAnsi="Arial"/>
          <w:sz w:val="20"/>
          <w:szCs w:val="20"/>
          <w:color w:val="3E3935"/>
        </w:rPr>
        <w:t xml:space="preserve">A list of registered shareholders will be available for examination for any purpose that is germane to the meeting for 10 business days before the Annual Meeting. Shareholders may request to review the list by emailing </w:t>
      </w:r>
      <w:r>
        <w:rPr>
          <w:rFonts w:ascii="Arial" w:cs="Arial" w:eastAsia="Arial" w:hAnsi="Arial"/>
          <w:sz w:val="20"/>
          <w:szCs w:val="20"/>
          <w:i w:val="1"/>
          <w:iCs w:val="1"/>
          <w:color w:val="00C1DE"/>
        </w:rPr>
        <w:t>shareholder.relations@gm.com</w:t>
      </w:r>
      <w:r>
        <w:rPr>
          <w:rFonts w:ascii="Arial" w:cs="Arial" w:eastAsia="Arial" w:hAnsi="Arial"/>
          <w:sz w:val="20"/>
          <w:szCs w:val="20"/>
          <w:i w:val="1"/>
          <w:iCs w:val="1"/>
          <w:color w:val="3E3935"/>
        </w:rPr>
        <w:t>.</w:t>
      </w:r>
    </w:p>
    <w:p>
      <w:pPr>
        <w:spacing w:after="0" w:line="92" w:lineRule="exact"/>
        <w:rPr>
          <w:sz w:val="20"/>
          <w:szCs w:val="20"/>
          <w:color w:val="auto"/>
        </w:rPr>
      </w:pPr>
    </w:p>
    <w:p>
      <w:pPr>
        <w:jc w:val="both"/>
        <w:ind w:left="160" w:right="40"/>
        <w:spacing w:after="0" w:line="232" w:lineRule="auto"/>
        <w:rPr>
          <w:sz w:val="20"/>
          <w:szCs w:val="20"/>
          <w:color w:val="auto"/>
        </w:rPr>
      </w:pPr>
      <w:r>
        <w:rPr>
          <w:rFonts w:ascii="Arial" w:cs="Arial" w:eastAsia="Arial" w:hAnsi="Arial"/>
          <w:sz w:val="20"/>
          <w:szCs w:val="20"/>
          <w:color w:val="3E3935"/>
        </w:rPr>
        <w:t>This Proxy Statement is provided in conjunction with GM’s solicitation of proxies to be used at the Annual Meeting. For additional information about how to attend our Annual Meeting, see “General Information About the Annual Meeting” starting on page 92 of this Proxy Statement.</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Thank you for your interest in General Motors Company.</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156210</wp:posOffset>
            </wp:positionV>
            <wp:extent cx="1010285" cy="297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0285"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3E3935"/>
        </w:rPr>
        <w:t>Craig Glidden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365125" cy="399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ind w:left="1020"/>
        <w:spacing w:after="0" w:line="227" w:lineRule="auto"/>
        <w:rPr>
          <w:sz w:val="20"/>
          <w:szCs w:val="20"/>
          <w:color w:val="auto"/>
        </w:rPr>
      </w:pPr>
      <w:r>
        <w:rPr>
          <w:rFonts w:ascii="Arial" w:cs="Arial" w:eastAsia="Arial" w:hAnsi="Arial"/>
          <w:sz w:val="20"/>
          <w:szCs w:val="20"/>
          <w:color w:val="3E3935"/>
        </w:rPr>
        <w:t>Corporate Secretary</w:t>
      </w:r>
    </w:p>
    <w:p>
      <w:pPr>
        <w:ind w:left="1020"/>
        <w:spacing w:after="0" w:line="223" w:lineRule="auto"/>
        <w:rPr>
          <w:sz w:val="20"/>
          <w:szCs w:val="20"/>
          <w:color w:val="auto"/>
        </w:rPr>
      </w:pPr>
      <w:r>
        <w:rPr>
          <w:rFonts w:ascii="Arial" w:cs="Arial" w:eastAsia="Arial" w:hAnsi="Arial"/>
          <w:sz w:val="20"/>
          <w:szCs w:val="20"/>
          <w:color w:val="3E3935"/>
        </w:rPr>
        <w:t>300 Renaissance Center</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0"/>
          <w:szCs w:val="20"/>
          <w:color w:val="3E3935"/>
        </w:rPr>
        <w:t>Detroit, Michigan 48265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00C1DE"/>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-669925</wp:posOffset>
            </wp:positionV>
            <wp:extent cx="3362960" cy="661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2960" cy="661543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Date:</w:t>
      </w:r>
      <w:r>
        <w:rPr>
          <w:rFonts w:ascii="Arial" w:cs="Arial" w:eastAsia="Arial" w:hAnsi="Arial"/>
          <w:sz w:val="20"/>
          <w:szCs w:val="20"/>
          <w:color w:val="3E3935"/>
        </w:rPr>
        <w:t xml:space="preserve">    June 13, 2022</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Time:</w:t>
      </w:r>
      <w:r>
        <w:rPr>
          <w:rFonts w:ascii="Arial" w:cs="Arial" w:eastAsia="Arial" w:hAnsi="Arial"/>
          <w:sz w:val="20"/>
          <w:szCs w:val="20"/>
          <w:color w:val="3E3935"/>
        </w:rPr>
        <w:t xml:space="preserve">   2:00 p.m. Eastern Time</w:t>
      </w:r>
    </w:p>
    <w:p>
      <w:pPr>
        <w:spacing w:after="0" w:line="104" w:lineRule="exact"/>
        <w:rPr>
          <w:sz w:val="20"/>
          <w:szCs w:val="20"/>
          <w:color w:val="auto"/>
        </w:rPr>
      </w:pPr>
    </w:p>
    <w:p>
      <w:pPr>
        <w:ind w:left="440" w:right="440" w:hanging="443"/>
        <w:spacing w:after="0" w:line="291" w:lineRule="auto"/>
        <w:rPr>
          <w:sz w:val="20"/>
          <w:szCs w:val="20"/>
          <w:color w:val="auto"/>
        </w:rPr>
      </w:pPr>
      <w:r>
        <w:rPr>
          <w:rFonts w:ascii="Arial" w:cs="Arial" w:eastAsia="Arial" w:hAnsi="Arial"/>
          <w:sz w:val="19"/>
          <w:szCs w:val="19"/>
          <w:b w:val="1"/>
          <w:bCs w:val="1"/>
          <w:color w:val="3E3935"/>
        </w:rPr>
        <w:t>Place:</w:t>
      </w:r>
      <w:r>
        <w:rPr>
          <w:rFonts w:ascii="Arial" w:cs="Arial" w:eastAsia="Arial" w:hAnsi="Arial"/>
          <w:sz w:val="19"/>
          <w:szCs w:val="19"/>
          <w:color w:val="3E3935"/>
        </w:rPr>
        <w:t>  Online via live webcast at</w:t>
      </w:r>
      <w:r>
        <w:rPr>
          <w:rFonts w:ascii="Arial" w:cs="Arial" w:eastAsia="Arial" w:hAnsi="Arial"/>
          <w:sz w:val="19"/>
          <w:szCs w:val="19"/>
          <w:b w:val="1"/>
          <w:bCs w:val="1"/>
          <w:color w:val="3E3935"/>
        </w:rPr>
        <w:t xml:space="preserve"> </w:t>
      </w:r>
      <w:r>
        <w:rPr>
          <w:rFonts w:ascii="Arial" w:cs="Arial" w:eastAsia="Arial" w:hAnsi="Arial"/>
          <w:sz w:val="19"/>
          <w:szCs w:val="19"/>
          <w:b w:val="1"/>
          <w:bCs w:val="1"/>
          <w:i w:val="1"/>
          <w:iCs w:val="1"/>
          <w:color w:val="00C1DE"/>
        </w:rPr>
        <w:t>virtualshareholdermeeting.com/GM2022</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Record Date:</w:t>
      </w:r>
      <w:r>
        <w:rPr>
          <w:rFonts w:ascii="Arial" w:cs="Arial" w:eastAsia="Arial" w:hAnsi="Arial"/>
          <w:sz w:val="20"/>
          <w:szCs w:val="20"/>
          <w:color w:val="3E3935"/>
        </w:rPr>
        <w:t> April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40"/>
        <w:spacing w:after="0"/>
        <w:rPr>
          <w:sz w:val="20"/>
          <w:szCs w:val="20"/>
          <w:color w:val="auto"/>
        </w:rPr>
      </w:pPr>
      <w:r>
        <w:rPr>
          <w:rFonts w:ascii="Arial" w:cs="Arial" w:eastAsia="Arial" w:hAnsi="Arial"/>
          <w:sz w:val="21"/>
          <w:szCs w:val="21"/>
          <w:color w:val="00C1DE"/>
        </w:rPr>
        <w:t>Your Vote Is Important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3E3935"/>
        </w:rPr>
        <w:t>Please promptly submit your vote by Internet, by telephone, or by signing, dating, and returning the enclosed proxy card or voting instruction form in the postage-paid envelope provided so that your shares will be represented and voted at the meeting.</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3E3935"/>
        </w:rPr>
        <w:t>We are first mailing these proxy materials to our shareholders on or about April 29, 2022.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00C1DE"/>
        </w:rPr>
        <w:t>How to Access the Proxy Materials Online</w:t>
      </w:r>
    </w:p>
    <w:p>
      <w:pPr>
        <w:spacing w:after="0" w:line="163" w:lineRule="exact"/>
        <w:rPr>
          <w:sz w:val="20"/>
          <w:szCs w:val="20"/>
          <w:color w:val="auto"/>
        </w:rPr>
      </w:pPr>
    </w:p>
    <w:p>
      <w:pPr>
        <w:jc w:val="both"/>
        <w:ind w:left="80" w:right="80"/>
        <w:spacing w:after="0" w:line="243" w:lineRule="auto"/>
        <w:rPr>
          <w:sz w:val="20"/>
          <w:szCs w:val="20"/>
          <w:color w:val="auto"/>
        </w:rPr>
      </w:pPr>
      <w:r>
        <w:rPr>
          <w:rFonts w:ascii="Arial" w:cs="Arial" w:eastAsia="Arial" w:hAnsi="Arial"/>
          <w:sz w:val="20"/>
          <w:szCs w:val="20"/>
          <w:b w:val="1"/>
          <w:bCs w:val="1"/>
          <w:color w:val="3E3935"/>
        </w:rPr>
        <w:t>Important Notice Regarding the Availability of Proxy Materials for the 2022 Annual Meeting of Shareholders to be Held on June 13, 2022:</w:t>
      </w:r>
    </w:p>
    <w:p>
      <w:pPr>
        <w:spacing w:after="0" w:line="106" w:lineRule="exact"/>
        <w:rPr>
          <w:sz w:val="20"/>
          <w:szCs w:val="20"/>
          <w:color w:val="auto"/>
        </w:rPr>
      </w:pPr>
    </w:p>
    <w:p>
      <w:pPr>
        <w:jc w:val="both"/>
        <w:ind w:left="80" w:right="80"/>
        <w:spacing w:after="0" w:line="232" w:lineRule="auto"/>
        <w:rPr>
          <w:sz w:val="20"/>
          <w:szCs w:val="20"/>
          <w:color w:val="auto"/>
        </w:rPr>
      </w:pPr>
      <w:r>
        <w:rPr>
          <w:rFonts w:ascii="Arial" w:cs="Arial" w:eastAsia="Arial" w:hAnsi="Arial"/>
          <w:sz w:val="20"/>
          <w:szCs w:val="20"/>
          <w:color w:val="3E3935"/>
        </w:rPr>
        <w:t xml:space="preserve">Our Proxy Statement and 2021 Annual Report are available at </w:t>
      </w:r>
      <w:r>
        <w:rPr>
          <w:rFonts w:ascii="Arial" w:cs="Arial" w:eastAsia="Arial" w:hAnsi="Arial"/>
          <w:sz w:val="20"/>
          <w:szCs w:val="20"/>
          <w:i w:val="1"/>
          <w:iCs w:val="1"/>
          <w:color w:val="00C1DE"/>
        </w:rPr>
        <w:t>investor.gm.com/shareholder</w:t>
      </w:r>
      <w:r>
        <w:rPr>
          <w:rFonts w:ascii="Arial" w:cs="Arial" w:eastAsia="Arial" w:hAnsi="Arial"/>
          <w:sz w:val="20"/>
          <w:szCs w:val="20"/>
          <w:i w:val="1"/>
          <w:iCs w:val="1"/>
          <w:color w:val="3E3935"/>
        </w:rPr>
        <w:t>.</w:t>
      </w:r>
      <w:r>
        <w:rPr>
          <w:rFonts w:ascii="Arial" w:cs="Arial" w:eastAsia="Arial" w:hAnsi="Arial"/>
          <w:sz w:val="20"/>
          <w:szCs w:val="20"/>
          <w:color w:val="3E3935"/>
        </w:rPr>
        <w:t xml:space="preserve"> You may also scan the QR code below with your smartphone or other mobile device to view our Proxy Statement and Annual Report.</w:t>
      </w:r>
    </w:p>
    <w:p>
      <w:pPr>
        <w:spacing w:after="0" w:line="299" w:lineRule="exact"/>
        <w:rPr>
          <w:sz w:val="20"/>
          <w:szCs w:val="20"/>
          <w:color w:val="auto"/>
        </w:rPr>
      </w:pPr>
    </w:p>
    <w:p>
      <w:pPr>
        <w:sectPr>
          <w:pgSz w:w="11900" w:h="16838" w:orient="portrait"/>
          <w:cols w:equalWidth="0" w:num="2">
            <w:col w:w="5440" w:space="720"/>
            <w:col w:w="4600"/>
          </w:cols>
          <w:pgMar w:left="320" w:top="45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740"/>
        <w:spacing w:after="0"/>
        <w:rPr>
          <w:sz w:val="20"/>
          <w:szCs w:val="20"/>
          <w:color w:val="auto"/>
        </w:rPr>
      </w:pPr>
      <w:r>
        <w:rPr>
          <w:rFonts w:ascii="Arial" w:cs="Arial" w:eastAsia="Arial" w:hAnsi="Arial"/>
          <w:sz w:val="9"/>
          <w:szCs w:val="9"/>
          <w:color w:val="0071CE"/>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-59055</wp:posOffset>
            </wp:positionV>
            <wp:extent cx="5927725" cy="101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0760"/>
          </w:cols>
          <w:pgMar w:left="320" w:top="454" w:right="8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A MESSAGE FROM OUR CHAIR AND CEO</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April 29, 2022</w:t>
      </w: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Dear Fellow Shareholders:</w:t>
      </w:r>
    </w:p>
    <w:p>
      <w:pPr>
        <w:spacing w:after="0" w:line="211" w:lineRule="exact"/>
        <w:rPr>
          <w:sz w:val="20"/>
          <w:szCs w:val="20"/>
          <w:color w:val="auto"/>
        </w:rPr>
      </w:pPr>
    </w:p>
    <w:p>
      <w:pPr>
        <w:jc w:val="both"/>
        <w:ind w:left="160"/>
        <w:spacing w:after="0" w:line="249" w:lineRule="auto"/>
        <w:rPr>
          <w:sz w:val="20"/>
          <w:szCs w:val="20"/>
          <w:color w:val="auto"/>
        </w:rPr>
      </w:pPr>
      <w:r>
        <w:rPr>
          <w:rFonts w:ascii="Arial" w:cs="Arial" w:eastAsia="Arial" w:hAnsi="Arial"/>
          <w:sz w:val="19"/>
          <w:szCs w:val="19"/>
          <w:color w:val="3E3935"/>
        </w:rPr>
        <w:t>General Motors is executing an unprecedented transformation focused on an accelerated transition to electric and autonomous vehicles. As part of this transformation, we have rethought how and, in many cases, where we work. We are laser-focused on delivering the best and broadest portfolio, taking bold actions toward decarbonizing our business, deepening our social impact to create an equitable zero-emissions future, and becoming the most inclusive company in the world.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71CE"/>
        </w:rPr>
        <w:t>Powering Growth with Durable Returns</w:t>
      </w:r>
    </w:p>
    <w:p>
      <w:pPr>
        <w:spacing w:after="0" w:line="91"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Despite a challenging and uncertain operating environment in 2021, we delivered record full-year financial results, including net income of $10.0 billion and EBIT-adjusted of $ 14.3 billion. Our record 2021 results were made possible by the resilience of the entire GM team, including GM Financial, our union partners, and our suppliers and dealers.</w:t>
      </w:r>
    </w:p>
    <w:p>
      <w:pPr>
        <w:spacing w:after="0" w:line="172"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These record results are helping to fund our growth strategy, which is simple: With the customer at the center of everything we do, we are growing by playing to our strengths, staying focused on opportunities beyond the vehicle, and making our people and communities key enablers of our transformation.</w:t>
      </w:r>
    </w:p>
    <w:p>
      <w:pPr>
        <w:spacing w:after="0" w:line="172"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Advancing toward our all-electric future is the most critical aspect of our growth strategy and the path to achieve our vision of a world with zero emissions. Last year, after investing billions to develop the Ultium Platform — a combined EV architecture and propulsion system that enables EVs at scale for every lifestyle and price point — we delivered our first Ultium-powered EVs to customers.</w:t>
      </w:r>
    </w:p>
    <w:p>
      <w:pPr>
        <w:spacing w:after="0" w:line="173"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Now, backed by our consistently strong financial results and overwhelmingly positive customer response to our EVs, including the GMC HUMMER EV Pickup, the BrightDrop Zevo 600 and Zevo 400, the Wuling Hong Guang Mini EV (the best-selling EV in China), the Cadillac LYRIQ, and the recently revealed Chevrolet Silverado EV and Chevrolet Equinox EV, we are accelerating our plan. As evidence of this acceleration, we recently announced that by the end of 2025, we expect to have more than 2 million units of EV capacity globally — 1 million in North America and another 1 million in China. To meet these targets, we recently announced investments of nearly $7 billion for a significant expansion of battery cell and EV assembly capacity in the United States, expected to create 4,000 new jobs and retain 1,000 others because we believe in bringing everyone along in our transformation.</w:t>
      </w:r>
    </w:p>
    <w:p>
      <w:pPr>
        <w:spacing w:after="0" w:line="17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This investment is just part of our larger commitment to invest more than $35 billion in EVs and AVs from 2020 to 2025. Alongside Ultium, we are investing aggressively in other growth platforms and new businesses, including Cruise, BrightDrop, GM Defense, OnStar Insurance, Ultifi, and more, to drive innovation and create new markets that we believe will help us double our annual revenue by 2030 with expanded margins. Earlier this year, we named Kyle Vogt as the CEO of Cruise. Under his leadership, driverless Cruise test vehicles are rapidly accumulating miles and transporting members of the public throughout San Francisco, and Cruise is one permit away from being able to provide paid ride-hailing services there. We also recently increased our stake in Cruise, which gives us even more flexibility to create value for shareholders as we advance our integrated strategy to commercialize and unlock the full potential of AV technology.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71CE"/>
        </w:rPr>
        <w:t>Building a More Sustainable and Equitable Future</w:t>
      </w:r>
    </w:p>
    <w:p>
      <w:pPr>
        <w:spacing w:after="0" w:line="91"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With leadership and oversight from our Board, we have also taken steps to ensure that environmental, social, and governance (“ESG”) issues are integrated throughout our business as we aspire to be a change</w:t>
      </w:r>
    </w:p>
    <w:p>
      <w:pPr>
        <w:spacing w:after="0" w:line="106"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-95885</wp:posOffset>
            </wp:positionV>
            <wp:extent cx="5927725" cy="101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leader in our industry. Last year, we announced our plans to be carbon neutral in our global products and operations by 2040 and to eliminate tailpipe emissions from new light-duty vehicles globally by 2035. We also set SBTi-validated science-based emission reduction targets for scope 1, 2, and 3 emissions that align with the most ambitious goals of the Paris Agreement. We also announced our plan to source 100 percent renewable energy to power our U.S. facilities by 2025 — five years ahead of our previous target (and 25 years ahead of our initial target) — and globally by 2035.</w:t>
      </w:r>
    </w:p>
    <w:p>
      <w:pPr>
        <w:spacing w:after="0" w:line="172"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 xml:space="preserve">Shaped in part by feedback we heard during our recent engagements with a wide variety of stakeholders, including director-led engagements with our institutional investors, we are also focused on </w:t>
      </w:r>
      <w:r>
        <w:rPr>
          <w:rFonts w:ascii="Arial" w:cs="Arial" w:eastAsia="Arial" w:hAnsi="Arial"/>
          <w:sz w:val="20"/>
          <w:szCs w:val="20"/>
          <w:i w:val="1"/>
          <w:iCs w:val="1"/>
          <w:color w:val="3E3935"/>
        </w:rPr>
        <w:t>how</w:t>
      </w:r>
      <w:r>
        <w:rPr>
          <w:rFonts w:ascii="Arial" w:cs="Arial" w:eastAsia="Arial" w:hAnsi="Arial"/>
          <w:sz w:val="20"/>
          <w:szCs w:val="20"/>
          <w:color w:val="3E3935"/>
        </w:rPr>
        <w:t xml:space="preserve"> we execute our growth strategy and reach our environmental objectives. We continue to strengthen our progress and accountability on diversity, equity, and inclusion (“DE&amp;I”) throughout our business. For example, last year we continued to bolster our Board’s expertise and diversity through the addition of Margaret (“Meg”) Whitman, Mark Tatum, and Aneel Bhusri. As a result, half of our Board nominees this year are women and one-third are racially or ethnically diverse.</w:t>
      </w:r>
    </w:p>
    <w:p>
      <w:pPr>
        <w:spacing w:after="0" w:line="17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But our progress goes beyond our Board. In 2021, we created a Work Appropriately policy to give most office-based employees flexibility in where they work, incorporated monthly DE&amp;I learning modules for our global leaders, and launched an internal Inclusivity Index metric to measure our progress on inclusion. We also demonstrated improvement year-over-year in all diversity segments, including 29 percent and 26 percent growth in Asian and African American executives, respectively. In addition, our publicly released Consolidated EEO-1 Report established GM as the Detroit-area lead for OneTen (a consortium of companies that have committed to creating career opportunities for 1 million Black Americans over the next 10 years), and exceeded our OneTen hiring commitment by 100 percent. This year, we’ve also updated our executive compensation program to better link the long-term compensation of our executives to our EV strategy and enhanced our disclosure in this Proxy Statement to provide additional transparency about how we set and measure short-term incentive compensation, including with respect to ESG goals.</w:t>
      </w:r>
    </w:p>
    <w:p>
      <w:pPr>
        <w:spacing w:after="0" w:line="17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Lastly, Jane Mendillo has informed us that she has decided not to stand for re-election and will retire from our Board following the Annual Meeting. The Board is grateful for Jane’s invaluable service and significant contributions to GM over the past six years — particularly her insights that helped guide the development of our capital allocation strategy and accelerate the Company’s EV future.</w:t>
      </w:r>
    </w:p>
    <w:p>
      <w:pPr>
        <w:spacing w:after="0" w:line="173"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We appreciate your continued commitment to GM, and we look forward to your attendance at our 2022 Annual Meeting of Shareholders on June 13, 2022, at 2:00 p.m. Eastern time.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156210</wp:posOffset>
            </wp:positionV>
            <wp:extent cx="1673225" cy="399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322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Mary T. Barra</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144780</wp:posOffset>
            </wp:positionV>
            <wp:extent cx="5732145" cy="1409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3214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right="200" w:hanging="433"/>
        <w:spacing w:after="0" w:line="263" w:lineRule="auto"/>
        <w:tabs>
          <w:tab w:leader="none" w:pos="600" w:val="left"/>
        </w:tabs>
        <w:numPr>
          <w:ilvl w:val="0"/>
          <w:numId w:val="6"/>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are non-GAAP financial measures. Refer to Appendix A for a reconciliation of ROIC-adjusted, EBIT-adjusted, EBIT-adjusted Margin, and EPS-Diluted-adjusted to their closest comparable GAAP measure.</w:t>
      </w:r>
    </w:p>
    <w:p>
      <w:pPr>
        <w:spacing w:after="0" w:line="102" w:lineRule="exact"/>
        <w:rPr>
          <w:sz w:val="20"/>
          <w:szCs w:val="20"/>
          <w:color w:val="auto"/>
        </w:rPr>
      </w:pPr>
    </w:p>
    <w:p>
      <w:pPr>
        <w:ind w:left="10680"/>
        <w:spacing w:after="0"/>
        <w:rPr>
          <w:sz w:val="20"/>
          <w:szCs w:val="20"/>
          <w:color w:val="auto"/>
        </w:rPr>
      </w:pPr>
      <w:r>
        <w:rPr>
          <w:rFonts w:ascii="Arial" w:cs="Arial" w:eastAsia="Arial" w:hAnsi="Arial"/>
          <w:sz w:val="14"/>
          <w:szCs w:val="14"/>
          <w:color w:val="0071CE"/>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-95885</wp:posOffset>
            </wp:positionV>
            <wp:extent cx="5927725" cy="101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HELPFUL RESOURCES</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3E3935"/>
        </w:rPr>
        <w:t xml:space="preserve">Annual Meeting: </w:t>
      </w:r>
      <w:r>
        <w:rPr>
          <w:rFonts w:ascii="Arial" w:cs="Arial" w:eastAsia="Arial" w:hAnsi="Arial"/>
          <w:sz w:val="17"/>
          <w:szCs w:val="17"/>
          <w:i w:val="1"/>
          <w:iCs w:val="1"/>
          <w:color w:val="00C1DE"/>
        </w:rPr>
        <w:t>investor.gm.com/shareholder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3320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3E3935"/>
        </w:rPr>
        <w:t>2022 Proxy Statement</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3E3935"/>
        </w:rPr>
        <w:t>2021 Annual Report</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3E3935"/>
        </w:rPr>
        <w:t xml:space="preserve">Governance Documents: </w:t>
      </w:r>
      <w:r>
        <w:rPr>
          <w:rFonts w:ascii="Arial" w:cs="Arial" w:eastAsia="Arial" w:hAnsi="Arial"/>
          <w:sz w:val="16"/>
          <w:szCs w:val="16"/>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33020</wp:posOffset>
            </wp:positionV>
            <wp:extent cx="3320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3E3935"/>
        </w:rPr>
        <w:t>Board Committee Charters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3E3935"/>
        </w:rPr>
        <w:t>Bylaws and Certificate of Incorporation</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3E3935"/>
        </w:rPr>
        <w:t>Corporate Governance Guidelines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3E3935"/>
        </w:rPr>
        <w:t xml:space="preserve">Compliance Documents: </w:t>
      </w:r>
      <w:r>
        <w:rPr>
          <w:rFonts w:ascii="Arial" w:cs="Arial" w:eastAsia="Arial" w:hAnsi="Arial"/>
          <w:sz w:val="16"/>
          <w:szCs w:val="16"/>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33020</wp:posOffset>
            </wp:positionV>
            <wp:extent cx="33204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9" w:lineRule="exact"/>
        <w:rPr>
          <w:sz w:val="20"/>
          <w:szCs w:val="20"/>
          <w:color w:val="auto"/>
        </w:rPr>
      </w:pPr>
    </w:p>
    <w:p>
      <w:pPr>
        <w:ind w:left="360" w:right="820"/>
        <w:spacing w:after="0" w:line="270" w:lineRule="auto"/>
        <w:rPr>
          <w:sz w:val="20"/>
          <w:szCs w:val="20"/>
          <w:color w:val="auto"/>
        </w:rPr>
      </w:pPr>
      <w:r>
        <w:rPr>
          <w:rFonts w:ascii="Arial" w:cs="Arial" w:eastAsia="Arial" w:hAnsi="Arial"/>
          <w:sz w:val="17"/>
          <w:szCs w:val="17"/>
          <w:i w:val="1"/>
          <w:iCs w:val="1"/>
          <w:color w:val="3E3935"/>
        </w:rPr>
        <w:t>Company Policy on Corporate Political Contributions GM’s Code of Conduct: “Winning with Integrity” Policy on Recoupment of Incentive Compensation Related Party Transactions Policy Insider Trading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ESG Policies: </w:t>
      </w:r>
      <w:r>
        <w:rPr>
          <w:rFonts w:ascii="Arial" w:cs="Arial" w:eastAsia="Arial" w:hAnsi="Arial"/>
          <w:sz w:val="17"/>
          <w:szCs w:val="17"/>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-1179195</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26035</wp:posOffset>
            </wp:positionV>
            <wp:extent cx="3388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7"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Anti-Harassment Policy</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Conflict Minerals Policy</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Environmental Policy</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Human Rights Policy</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Global Integrity Policy</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Supplier Code of Conduct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Political Contributions &amp; Lobbying Disclosures: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24130</wp:posOffset>
            </wp:positionV>
            <wp:extent cx="33883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Voluntary Report of 2021 Political Contributions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3E3935"/>
        </w:rPr>
        <w:t>Public Policy Supplement to April 2021 Sustainability Report</w:t>
      </w:r>
    </w:p>
    <w:p>
      <w:pPr>
        <w:spacing w:after="0" w:line="30" w:lineRule="exact"/>
        <w:rPr>
          <w:sz w:val="20"/>
          <w:szCs w:val="20"/>
          <w:color w:val="auto"/>
        </w:rPr>
      </w:pPr>
    </w:p>
    <w:p>
      <w:pPr>
        <w:ind w:left="240" w:right="840" w:hanging="150"/>
        <w:spacing w:after="0" w:line="252" w:lineRule="auto"/>
        <w:rPr>
          <w:sz w:val="20"/>
          <w:szCs w:val="20"/>
          <w:color w:val="auto"/>
        </w:rPr>
      </w:pPr>
      <w:r>
        <w:rPr>
          <w:rFonts w:ascii="Arial" w:cs="Arial" w:eastAsia="Arial" w:hAnsi="Arial"/>
          <w:sz w:val="17"/>
          <w:szCs w:val="17"/>
          <w:i w:val="1"/>
          <w:iCs w:val="1"/>
          <w:color w:val="3E3935"/>
        </w:rPr>
        <w:t>U.S. Political Engagement Overview, Priorities, and Trade Association Disclosures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Sustainability Report: </w:t>
      </w:r>
      <w:r>
        <w:rPr>
          <w:rFonts w:ascii="Arial" w:cs="Arial" w:eastAsia="Arial" w:hAnsi="Arial"/>
          <w:sz w:val="17"/>
          <w:szCs w:val="17"/>
          <w:i w:val="1"/>
          <w:iCs w:val="1"/>
          <w:color w:val="00C1DE"/>
        </w:rPr>
        <w:t>gmsustainability.com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26035</wp:posOffset>
            </wp:positionV>
            <wp:extent cx="33883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Investor Relations: </w:t>
      </w:r>
      <w:r>
        <w:rPr>
          <w:rFonts w:ascii="Arial" w:cs="Arial" w:eastAsia="Arial" w:hAnsi="Arial"/>
          <w:sz w:val="17"/>
          <w:szCs w:val="17"/>
          <w:i w:val="1"/>
          <w:iCs w:val="1"/>
          <w:color w:val="00C1DE"/>
        </w:rPr>
        <w:t>investor.gm.com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26035</wp:posOffset>
            </wp:positionV>
            <wp:extent cx="338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240"/>
          </w:cols>
          <w:pgMar w:left="320" w:top="454" w:right="499" w:bottom="4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31"/>
          <w:szCs w:val="31"/>
          <w:b w:val="1"/>
          <w:bCs w:val="1"/>
          <w:color w:val="0071CE"/>
        </w:rPr>
        <w:t>DEFINED TERMS AND COMMONLY USED ACRONYMS</w:t>
      </w:r>
    </w:p>
    <w:p>
      <w:pPr>
        <w:sectPr>
          <w:pgSz w:w="11900" w:h="16838" w:orient="portrait"/>
          <w:cols w:equalWidth="0" w:num="1">
            <w:col w:w="11080"/>
          </w:cols>
          <w:pgMar w:left="320" w:top="454" w:right="499" w:bottom="428"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500" w:type="dxa"/>
            <w:vAlign w:val="bottom"/>
            <w:tcBorders>
              <w:top w:val="single" w:sz="8" w:color="3E3935"/>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AAFCF</w:t>
            </w:r>
          </w:p>
        </w:tc>
        <w:tc>
          <w:tcPr>
            <w:tcW w:w="3740" w:type="dxa"/>
            <w:vAlign w:val="bottom"/>
            <w:tcBorders>
              <w:top w:val="single" w:sz="8" w:color="3E3935"/>
              <w:bottom w:val="single" w:sz="8" w:color="3E3935"/>
            </w:tcBorders>
          </w:tcPr>
          <w:p>
            <w:pPr>
              <w:ind w:left="140"/>
              <w:spacing w:after="0"/>
              <w:rPr>
                <w:sz w:val="20"/>
                <w:szCs w:val="20"/>
                <w:color w:val="auto"/>
              </w:rPr>
            </w:pPr>
            <w:r>
              <w:rPr>
                <w:rFonts w:ascii="Arial" w:cs="Arial" w:eastAsia="Arial" w:hAnsi="Arial"/>
                <w:sz w:val="16"/>
                <w:szCs w:val="16"/>
                <w:color w:val="3E3935"/>
              </w:rPr>
              <w:t>Adjusted Automotive Free Cash Flow</w:t>
            </w:r>
          </w:p>
        </w:tc>
      </w:tr>
      <w:tr>
        <w:trPr>
          <w:trHeight w:val="183"/>
        </w:trPr>
        <w:tc>
          <w:tcPr>
            <w:tcW w:w="1500" w:type="dxa"/>
            <w:vAlign w:val="bottom"/>
          </w:tcPr>
          <w:p>
            <w:pPr>
              <w:ind w:left="80"/>
              <w:spacing w:after="0" w:line="183" w:lineRule="exact"/>
              <w:rPr>
                <w:sz w:val="20"/>
                <w:szCs w:val="20"/>
                <w:color w:val="auto"/>
              </w:rPr>
            </w:pPr>
            <w:r>
              <w:rPr>
                <w:rFonts w:ascii="Arial" w:cs="Arial" w:eastAsia="Arial" w:hAnsi="Arial"/>
                <w:sz w:val="16"/>
                <w:szCs w:val="16"/>
                <w:b w:val="1"/>
                <w:bCs w:val="1"/>
                <w:color w:val="3E3935"/>
              </w:rPr>
              <w:t>Annual Meeting</w:t>
            </w:r>
          </w:p>
        </w:tc>
        <w:tc>
          <w:tcPr>
            <w:tcW w:w="3740" w:type="dxa"/>
            <w:vAlign w:val="bottom"/>
          </w:tcPr>
          <w:p>
            <w:pPr>
              <w:ind w:left="140"/>
              <w:spacing w:after="0" w:line="183" w:lineRule="exact"/>
              <w:rPr>
                <w:sz w:val="20"/>
                <w:szCs w:val="20"/>
                <w:color w:val="auto"/>
              </w:rPr>
            </w:pPr>
            <w:r>
              <w:rPr>
                <w:rFonts w:ascii="Arial" w:cs="Arial" w:eastAsia="Arial" w:hAnsi="Arial"/>
                <w:sz w:val="16"/>
                <w:szCs w:val="16"/>
                <w:color w:val="3E3935"/>
              </w:rPr>
              <w:t>GM’s Annual Meeting of Shareholders to be held</w:t>
            </w:r>
          </w:p>
        </w:tc>
      </w:tr>
      <w:tr>
        <w:trPr>
          <w:trHeight w:val="221"/>
        </w:trPr>
        <w:tc>
          <w:tcPr>
            <w:tcW w:w="1500" w:type="dxa"/>
            <w:vAlign w:val="bottom"/>
            <w:tcBorders>
              <w:bottom w:val="single" w:sz="8" w:color="3E3935"/>
            </w:tcBorders>
          </w:tcPr>
          <w:p>
            <w:pPr>
              <w:spacing w:after="0"/>
              <w:rPr>
                <w:sz w:val="19"/>
                <w:szCs w:val="19"/>
                <w:color w:val="auto"/>
              </w:rPr>
            </w:pP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on June 13, 2022</w:t>
            </w:r>
          </w:p>
        </w:tc>
      </w:tr>
      <w:tr>
        <w:trPr>
          <w:trHeight w:val="224"/>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AV</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Autonomous Vehicle</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Board</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GM’s Board of Directors</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CEO</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Chief Executive Officer</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CFO</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Chief Financial Officer</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Code of Conduct</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GM’s Code of Conduct: “</w:t>
            </w:r>
            <w:r>
              <w:rPr>
                <w:rFonts w:ascii="Arial" w:cs="Arial" w:eastAsia="Arial" w:hAnsi="Arial"/>
                <w:sz w:val="16"/>
                <w:szCs w:val="16"/>
                <w:i w:val="1"/>
                <w:iCs w:val="1"/>
                <w:color w:val="3E3935"/>
              </w:rPr>
              <w:t>Winning with Integrity</w:t>
            </w:r>
            <w:r>
              <w:rPr>
                <w:rFonts w:ascii="Arial" w:cs="Arial" w:eastAsia="Arial" w:hAnsi="Arial"/>
                <w:sz w:val="16"/>
                <w:szCs w:val="16"/>
                <w:color w:val="3E3935"/>
              </w:rPr>
              <w:t>”</w:t>
            </w:r>
          </w:p>
        </w:tc>
      </w:tr>
      <w:tr>
        <w:trPr>
          <w:trHeight w:val="183"/>
        </w:trPr>
        <w:tc>
          <w:tcPr>
            <w:tcW w:w="1500" w:type="dxa"/>
            <w:vAlign w:val="bottom"/>
          </w:tcPr>
          <w:p>
            <w:pPr>
              <w:ind w:left="80"/>
              <w:spacing w:after="0" w:line="183" w:lineRule="exact"/>
              <w:rPr>
                <w:sz w:val="20"/>
                <w:szCs w:val="20"/>
                <w:color w:val="auto"/>
              </w:rPr>
            </w:pPr>
            <w:r>
              <w:rPr>
                <w:rFonts w:ascii="Arial" w:cs="Arial" w:eastAsia="Arial" w:hAnsi="Arial"/>
                <w:sz w:val="16"/>
                <w:szCs w:val="16"/>
                <w:b w:val="1"/>
                <w:bCs w:val="1"/>
                <w:color w:val="3E3935"/>
              </w:rPr>
              <w:t>Committees</w:t>
            </w:r>
          </w:p>
        </w:tc>
        <w:tc>
          <w:tcPr>
            <w:tcW w:w="3740" w:type="dxa"/>
            <w:vAlign w:val="bottom"/>
          </w:tcPr>
          <w:p>
            <w:pPr>
              <w:ind w:left="140"/>
              <w:spacing w:after="0" w:line="183" w:lineRule="exact"/>
              <w:rPr>
                <w:sz w:val="20"/>
                <w:szCs w:val="20"/>
                <w:color w:val="auto"/>
              </w:rPr>
            </w:pPr>
            <w:r>
              <w:rPr>
                <w:rFonts w:ascii="Arial" w:cs="Arial" w:eastAsia="Arial" w:hAnsi="Arial"/>
                <w:sz w:val="16"/>
                <w:szCs w:val="16"/>
                <w:color w:val="3E3935"/>
              </w:rPr>
              <w:t>Audit Committee</w:t>
            </w:r>
          </w:p>
        </w:tc>
      </w:tr>
      <w:tr>
        <w:trPr>
          <w:trHeight w:val="187"/>
        </w:trPr>
        <w:tc>
          <w:tcPr>
            <w:tcW w:w="1500" w:type="dxa"/>
            <w:vAlign w:val="bottom"/>
          </w:tcPr>
          <w:p>
            <w:pPr>
              <w:spacing w:after="0"/>
              <w:rPr>
                <w:sz w:val="16"/>
                <w:szCs w:val="16"/>
                <w:color w:val="auto"/>
              </w:rPr>
            </w:pPr>
          </w:p>
        </w:tc>
        <w:tc>
          <w:tcPr>
            <w:tcW w:w="3740" w:type="dxa"/>
            <w:vAlign w:val="bottom"/>
          </w:tcPr>
          <w:p>
            <w:pPr>
              <w:ind w:left="140"/>
              <w:spacing w:after="0"/>
              <w:rPr>
                <w:sz w:val="20"/>
                <w:szCs w:val="20"/>
                <w:color w:val="auto"/>
              </w:rPr>
            </w:pPr>
            <w:r>
              <w:rPr>
                <w:rFonts w:ascii="Arial" w:cs="Arial" w:eastAsia="Arial" w:hAnsi="Arial"/>
                <w:sz w:val="16"/>
                <w:szCs w:val="16"/>
                <w:color w:val="3E3935"/>
              </w:rPr>
              <w:t>Executive Committee</w:t>
            </w:r>
          </w:p>
        </w:tc>
      </w:tr>
      <w:tr>
        <w:trPr>
          <w:trHeight w:val="187"/>
        </w:trPr>
        <w:tc>
          <w:tcPr>
            <w:tcW w:w="1500" w:type="dxa"/>
            <w:vAlign w:val="bottom"/>
          </w:tcPr>
          <w:p>
            <w:pPr>
              <w:spacing w:after="0"/>
              <w:rPr>
                <w:sz w:val="16"/>
                <w:szCs w:val="16"/>
                <w:color w:val="auto"/>
              </w:rPr>
            </w:pPr>
          </w:p>
        </w:tc>
        <w:tc>
          <w:tcPr>
            <w:tcW w:w="3740" w:type="dxa"/>
            <w:vAlign w:val="bottom"/>
          </w:tcPr>
          <w:p>
            <w:pPr>
              <w:ind w:left="140"/>
              <w:spacing w:after="0"/>
              <w:rPr>
                <w:sz w:val="20"/>
                <w:szCs w:val="20"/>
                <w:color w:val="auto"/>
              </w:rPr>
            </w:pPr>
            <w:r>
              <w:rPr>
                <w:rFonts w:ascii="Arial" w:cs="Arial" w:eastAsia="Arial" w:hAnsi="Arial"/>
                <w:sz w:val="16"/>
                <w:szCs w:val="16"/>
                <w:color w:val="3E3935"/>
              </w:rPr>
              <w:t>Executive Compensation Committee</w:t>
            </w:r>
          </w:p>
        </w:tc>
      </w:tr>
      <w:tr>
        <w:trPr>
          <w:trHeight w:val="187"/>
        </w:trPr>
        <w:tc>
          <w:tcPr>
            <w:tcW w:w="1500" w:type="dxa"/>
            <w:vAlign w:val="bottom"/>
          </w:tcPr>
          <w:p>
            <w:pPr>
              <w:spacing w:after="0"/>
              <w:rPr>
                <w:sz w:val="16"/>
                <w:szCs w:val="16"/>
                <w:color w:val="auto"/>
              </w:rPr>
            </w:pPr>
          </w:p>
        </w:tc>
        <w:tc>
          <w:tcPr>
            <w:tcW w:w="3740" w:type="dxa"/>
            <w:vAlign w:val="bottom"/>
          </w:tcPr>
          <w:p>
            <w:pPr>
              <w:ind w:left="140"/>
              <w:spacing w:after="0"/>
              <w:rPr>
                <w:sz w:val="20"/>
                <w:szCs w:val="20"/>
                <w:color w:val="auto"/>
              </w:rPr>
            </w:pPr>
            <w:r>
              <w:rPr>
                <w:rFonts w:ascii="Arial" w:cs="Arial" w:eastAsia="Arial" w:hAnsi="Arial"/>
                <w:sz w:val="16"/>
                <w:szCs w:val="16"/>
                <w:color w:val="3E3935"/>
              </w:rPr>
              <w:t>Finance Committee</w:t>
            </w:r>
          </w:p>
        </w:tc>
      </w:tr>
      <w:tr>
        <w:trPr>
          <w:trHeight w:val="187"/>
        </w:trPr>
        <w:tc>
          <w:tcPr>
            <w:tcW w:w="1500" w:type="dxa"/>
            <w:vAlign w:val="bottom"/>
          </w:tcPr>
          <w:p>
            <w:pPr>
              <w:spacing w:after="0"/>
              <w:rPr>
                <w:sz w:val="16"/>
                <w:szCs w:val="16"/>
                <w:color w:val="auto"/>
              </w:rPr>
            </w:pPr>
          </w:p>
        </w:tc>
        <w:tc>
          <w:tcPr>
            <w:tcW w:w="3740" w:type="dxa"/>
            <w:vAlign w:val="bottom"/>
          </w:tcPr>
          <w:p>
            <w:pPr>
              <w:ind w:left="140"/>
              <w:spacing w:after="0"/>
              <w:rPr>
                <w:sz w:val="20"/>
                <w:szCs w:val="20"/>
                <w:color w:val="auto"/>
              </w:rPr>
            </w:pPr>
            <w:r>
              <w:rPr>
                <w:rFonts w:ascii="Arial" w:cs="Arial" w:eastAsia="Arial" w:hAnsi="Arial"/>
                <w:sz w:val="16"/>
                <w:szCs w:val="16"/>
                <w:color w:val="3E3935"/>
              </w:rPr>
              <w:t>Governance and Corporate Responsibility</w:t>
            </w:r>
          </w:p>
        </w:tc>
      </w:tr>
      <w:tr>
        <w:trPr>
          <w:trHeight w:val="187"/>
        </w:trPr>
        <w:tc>
          <w:tcPr>
            <w:tcW w:w="1500" w:type="dxa"/>
            <w:vAlign w:val="bottom"/>
          </w:tcPr>
          <w:p>
            <w:pPr>
              <w:spacing w:after="0"/>
              <w:rPr>
                <w:sz w:val="16"/>
                <w:szCs w:val="16"/>
                <w:color w:val="auto"/>
              </w:rPr>
            </w:pPr>
          </w:p>
        </w:tc>
        <w:tc>
          <w:tcPr>
            <w:tcW w:w="3740" w:type="dxa"/>
            <w:vAlign w:val="bottom"/>
          </w:tcPr>
          <w:p>
            <w:pPr>
              <w:ind w:left="380"/>
              <w:spacing w:after="0"/>
              <w:rPr>
                <w:sz w:val="20"/>
                <w:szCs w:val="20"/>
                <w:color w:val="auto"/>
              </w:rPr>
            </w:pPr>
            <w:r>
              <w:rPr>
                <w:rFonts w:ascii="Arial" w:cs="Arial" w:eastAsia="Arial" w:hAnsi="Arial"/>
                <w:sz w:val="16"/>
                <w:szCs w:val="16"/>
                <w:color w:val="3E3935"/>
              </w:rPr>
              <w:t>Committee</w:t>
            </w:r>
          </w:p>
        </w:tc>
      </w:tr>
      <w:tr>
        <w:trPr>
          <w:trHeight w:val="211"/>
        </w:trPr>
        <w:tc>
          <w:tcPr>
            <w:tcW w:w="150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6"/>
                <w:szCs w:val="16"/>
                <w:color w:val="3E3935"/>
              </w:rPr>
              <w:t>Risk and Cybersecurity Committee</w:t>
            </w:r>
          </w:p>
        </w:tc>
      </w:tr>
      <w:tr>
        <w:trPr>
          <w:trHeight w:val="30"/>
        </w:trPr>
        <w:tc>
          <w:tcPr>
            <w:tcW w:w="1500" w:type="dxa"/>
            <w:vAlign w:val="bottom"/>
            <w:tcBorders>
              <w:bottom w:val="single" w:sz="8" w:color="3E3935"/>
            </w:tcBorders>
          </w:tcPr>
          <w:p>
            <w:pPr>
              <w:spacing w:after="0"/>
              <w:rPr>
                <w:sz w:val="2"/>
                <w:szCs w:val="2"/>
                <w:color w:val="auto"/>
              </w:rPr>
            </w:pPr>
          </w:p>
        </w:tc>
        <w:tc>
          <w:tcPr>
            <w:tcW w:w="3740" w:type="dxa"/>
            <w:vAlign w:val="bottom"/>
            <w:tcBorders>
              <w:bottom w:val="single" w:sz="8" w:color="3E3935"/>
            </w:tcBorders>
          </w:tcPr>
          <w:p>
            <w:pPr>
              <w:spacing w:after="0"/>
              <w:rPr>
                <w:sz w:val="2"/>
                <w:szCs w:val="2"/>
                <w:color w:val="auto"/>
              </w:rPr>
            </w:pPr>
          </w:p>
        </w:tc>
      </w:tr>
      <w:tr>
        <w:trPr>
          <w:trHeight w:val="180"/>
        </w:trPr>
        <w:tc>
          <w:tcPr>
            <w:tcW w:w="1500" w:type="dxa"/>
            <w:vAlign w:val="bottom"/>
          </w:tcPr>
          <w:p>
            <w:pPr>
              <w:ind w:left="80"/>
              <w:spacing w:after="0" w:line="180" w:lineRule="exact"/>
              <w:rPr>
                <w:sz w:val="20"/>
                <w:szCs w:val="20"/>
                <w:color w:val="auto"/>
              </w:rPr>
            </w:pPr>
            <w:r>
              <w:rPr>
                <w:rFonts w:ascii="Arial" w:cs="Arial" w:eastAsia="Arial" w:hAnsi="Arial"/>
                <w:sz w:val="16"/>
                <w:szCs w:val="16"/>
                <w:b w:val="1"/>
                <w:bCs w:val="1"/>
                <w:color w:val="3E3935"/>
              </w:rPr>
              <w:t>Compensation</w:t>
            </w:r>
          </w:p>
        </w:tc>
        <w:tc>
          <w:tcPr>
            <w:tcW w:w="3740" w:type="dxa"/>
            <w:vAlign w:val="bottom"/>
          </w:tcPr>
          <w:p>
            <w:pPr>
              <w:ind w:left="140"/>
              <w:spacing w:after="0" w:line="180" w:lineRule="exact"/>
              <w:rPr>
                <w:sz w:val="20"/>
                <w:szCs w:val="20"/>
                <w:color w:val="auto"/>
              </w:rPr>
            </w:pPr>
            <w:r>
              <w:rPr>
                <w:rFonts w:ascii="Arial" w:cs="Arial" w:eastAsia="Arial" w:hAnsi="Arial"/>
                <w:sz w:val="16"/>
                <w:szCs w:val="16"/>
                <w:color w:val="3E3935"/>
              </w:rPr>
              <w:t>Executive Compensation Committee</w:t>
            </w:r>
          </w:p>
        </w:tc>
      </w:tr>
      <w:tr>
        <w:trPr>
          <w:trHeight w:val="225"/>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Committee</w:t>
            </w:r>
          </w:p>
        </w:tc>
        <w:tc>
          <w:tcPr>
            <w:tcW w:w="3740" w:type="dxa"/>
            <w:vAlign w:val="bottom"/>
            <w:tcBorders>
              <w:bottom w:val="single" w:sz="8" w:color="3E3935"/>
            </w:tcBorders>
          </w:tcPr>
          <w:p>
            <w:pPr>
              <w:spacing w:after="0"/>
              <w:rPr>
                <w:sz w:val="19"/>
                <w:szCs w:val="19"/>
                <w:color w:val="auto"/>
              </w:rPr>
            </w:pP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DB</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Defined Benefit</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DC</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Defined Contribution</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DE&amp;I</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Diversity, Equity, and Inclusion</w:t>
            </w:r>
          </w:p>
        </w:tc>
      </w:tr>
      <w:tr>
        <w:trPr>
          <w:trHeight w:val="183"/>
        </w:trPr>
        <w:tc>
          <w:tcPr>
            <w:tcW w:w="1500" w:type="dxa"/>
            <w:vAlign w:val="bottom"/>
          </w:tcPr>
          <w:p>
            <w:pPr>
              <w:ind w:left="80"/>
              <w:spacing w:after="0" w:line="183" w:lineRule="exact"/>
              <w:rPr>
                <w:sz w:val="20"/>
                <w:szCs w:val="20"/>
                <w:color w:val="auto"/>
              </w:rPr>
            </w:pPr>
            <w:r>
              <w:rPr>
                <w:rFonts w:ascii="Arial" w:cs="Arial" w:eastAsia="Arial" w:hAnsi="Arial"/>
                <w:sz w:val="16"/>
                <w:szCs w:val="16"/>
                <w:b w:val="1"/>
                <w:bCs w:val="1"/>
                <w:color w:val="3E3935"/>
              </w:rPr>
              <w:t>Director</w:t>
            </w:r>
          </w:p>
        </w:tc>
        <w:tc>
          <w:tcPr>
            <w:tcW w:w="3740" w:type="dxa"/>
            <w:vAlign w:val="bottom"/>
          </w:tcPr>
          <w:p>
            <w:pPr>
              <w:ind w:left="140"/>
              <w:spacing w:after="0" w:line="183" w:lineRule="exact"/>
              <w:rPr>
                <w:sz w:val="20"/>
                <w:szCs w:val="20"/>
                <w:color w:val="auto"/>
              </w:rPr>
            </w:pPr>
            <w:r>
              <w:rPr>
                <w:rFonts w:ascii="Arial" w:cs="Arial" w:eastAsia="Arial" w:hAnsi="Arial"/>
                <w:sz w:val="16"/>
                <w:szCs w:val="16"/>
                <w:color w:val="3E3935"/>
              </w:rPr>
              <w:t>General Motors Company Deferred Compensation</w:t>
            </w:r>
          </w:p>
        </w:tc>
      </w:tr>
      <w:tr>
        <w:trPr>
          <w:trHeight w:val="225"/>
        </w:trPr>
        <w:tc>
          <w:tcPr>
            <w:tcW w:w="5240" w:type="dxa"/>
            <w:vAlign w:val="bottom"/>
            <w:tcBorders>
              <w:bottom w:val="single" w:sz="8" w:color="3E3935"/>
            </w:tcBorders>
            <w:gridSpan w:val="2"/>
          </w:tcPr>
          <w:p>
            <w:pPr>
              <w:ind w:left="80"/>
              <w:spacing w:after="0"/>
              <w:rPr>
                <w:sz w:val="20"/>
                <w:szCs w:val="20"/>
                <w:color w:val="auto"/>
              </w:rPr>
            </w:pPr>
            <w:r>
              <w:rPr>
                <w:rFonts w:ascii="Arial" w:cs="Arial" w:eastAsia="Arial" w:hAnsi="Arial"/>
                <w:sz w:val="16"/>
                <w:szCs w:val="16"/>
                <w:b w:val="1"/>
                <w:bCs w:val="1"/>
                <w:color w:val="3E3935"/>
              </w:rPr>
              <w:t xml:space="preserve">Compensation Plan </w:t>
            </w:r>
            <w:r>
              <w:rPr>
                <w:rFonts w:ascii="Arial" w:cs="Arial" w:eastAsia="Arial" w:hAnsi="Arial"/>
                <w:sz w:val="16"/>
                <w:szCs w:val="16"/>
                <w:color w:val="3E3935"/>
              </w:rPr>
              <w:t>Plan for Non-Employee Directors</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DSU</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Deferred Share Unit</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EBIT</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Earnings Before Interest and Taxes</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EPS</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Earnings Per Share</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ESG</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Environmental, Social, and Governance</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EUV</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Electric Utility Vehicle</w:t>
            </w:r>
          </w:p>
        </w:tc>
      </w:tr>
      <w:tr>
        <w:trPr>
          <w:trHeight w:val="221"/>
        </w:trPr>
        <w:tc>
          <w:tcPr>
            <w:tcW w:w="1500" w:type="dxa"/>
            <w:vAlign w:val="bottom"/>
            <w:tcBorders>
              <w:bottom w:val="single" w:sz="8" w:color="3E3935"/>
            </w:tcBorders>
          </w:tcPr>
          <w:p>
            <w:pPr>
              <w:ind w:left="80"/>
              <w:spacing w:after="0"/>
              <w:rPr>
                <w:sz w:val="20"/>
                <w:szCs w:val="20"/>
                <w:color w:val="auto"/>
              </w:rPr>
            </w:pPr>
            <w:r>
              <w:rPr>
                <w:rFonts w:ascii="Arial" w:cs="Arial" w:eastAsia="Arial" w:hAnsi="Arial"/>
                <w:sz w:val="16"/>
                <w:szCs w:val="16"/>
                <w:b w:val="1"/>
                <w:bCs w:val="1"/>
                <w:color w:val="3E3935"/>
              </w:rPr>
              <w:t>EV</w:t>
            </w:r>
          </w:p>
        </w:tc>
        <w:tc>
          <w:tcPr>
            <w:tcW w:w="3740" w:type="dxa"/>
            <w:vAlign w:val="bottom"/>
            <w:tcBorders>
              <w:bottom w:val="single" w:sz="8" w:color="3E3935"/>
            </w:tcBorders>
          </w:tcPr>
          <w:p>
            <w:pPr>
              <w:ind w:left="140"/>
              <w:spacing w:after="0"/>
              <w:rPr>
                <w:sz w:val="20"/>
                <w:szCs w:val="20"/>
                <w:color w:val="auto"/>
              </w:rPr>
            </w:pPr>
            <w:r>
              <w:rPr>
                <w:rFonts w:ascii="Arial" w:cs="Arial" w:eastAsia="Arial" w:hAnsi="Arial"/>
                <w:sz w:val="16"/>
                <w:szCs w:val="16"/>
                <w:color w:val="3E3935"/>
              </w:rPr>
              <w:t>Electric Vehicle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Borders>
              <w:top w:val="single" w:sz="8" w:color="3E3935"/>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EY</w:t>
            </w:r>
          </w:p>
        </w:tc>
        <w:tc>
          <w:tcPr>
            <w:tcW w:w="3780" w:type="dxa"/>
            <w:vAlign w:val="bottom"/>
            <w:tcBorders>
              <w:top w:val="single" w:sz="8" w:color="3E3935"/>
              <w:bottom w:val="single" w:sz="8" w:color="3E3935"/>
            </w:tcBorders>
          </w:tcPr>
          <w:p>
            <w:pPr>
              <w:ind w:left="100"/>
              <w:spacing w:after="0"/>
              <w:rPr>
                <w:sz w:val="20"/>
                <w:szCs w:val="20"/>
                <w:color w:val="auto"/>
              </w:rPr>
            </w:pPr>
            <w:r>
              <w:rPr>
                <w:rFonts w:ascii="Arial" w:cs="Arial" w:eastAsia="Arial" w:hAnsi="Arial"/>
                <w:sz w:val="16"/>
                <w:szCs w:val="16"/>
                <w:color w:val="3E3935"/>
              </w:rPr>
              <w:t>Ernst &amp; Young LLP</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GAAP</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Generally Accepted Accounting Principals</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GHG</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Greenhouse Gas</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GICS</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Global Industry Classification Standard</w:t>
            </w:r>
          </w:p>
        </w:tc>
      </w:tr>
      <w:tr>
        <w:trPr>
          <w:trHeight w:val="221"/>
        </w:trPr>
        <w:tc>
          <w:tcPr>
            <w:tcW w:w="5340" w:type="dxa"/>
            <w:vAlign w:val="bottom"/>
            <w:tcBorders>
              <w:bottom w:val="single" w:sz="8" w:color="3E3935"/>
            </w:tcBorders>
            <w:gridSpan w:val="2"/>
          </w:tcPr>
          <w:p>
            <w:pPr>
              <w:ind w:left="60"/>
              <w:spacing w:after="0"/>
              <w:rPr>
                <w:sz w:val="20"/>
                <w:szCs w:val="20"/>
                <w:color w:val="auto"/>
              </w:rPr>
            </w:pPr>
            <w:r>
              <w:rPr>
                <w:rFonts w:ascii="Arial" w:cs="Arial" w:eastAsia="Arial" w:hAnsi="Arial"/>
                <w:sz w:val="16"/>
                <w:szCs w:val="16"/>
                <w:b w:val="1"/>
                <w:bCs w:val="1"/>
                <w:color w:val="3E3935"/>
              </w:rPr>
              <w:t xml:space="preserve">GM or the Company </w:t>
            </w:r>
            <w:r>
              <w:rPr>
                <w:rFonts w:ascii="Arial" w:cs="Arial" w:eastAsia="Arial" w:hAnsi="Arial"/>
                <w:sz w:val="16"/>
                <w:szCs w:val="16"/>
                <w:color w:val="3E3935"/>
              </w:rPr>
              <w:t>General Motors Company</w:t>
            </w:r>
          </w:p>
        </w:tc>
      </w:tr>
      <w:tr>
        <w:trPr>
          <w:trHeight w:val="23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GMI</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GM International</w:t>
            </w:r>
          </w:p>
        </w:tc>
      </w:tr>
      <w:tr>
        <w:trPr>
          <w:trHeight w:val="224"/>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GMNA</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General Motors North America</w:t>
            </w:r>
          </w:p>
        </w:tc>
      </w:tr>
      <w:tr>
        <w:trPr>
          <w:trHeight w:val="183"/>
        </w:trPr>
        <w:tc>
          <w:tcPr>
            <w:tcW w:w="1560" w:type="dxa"/>
            <w:vAlign w:val="bottom"/>
          </w:tcPr>
          <w:p>
            <w:pPr>
              <w:ind w:left="60"/>
              <w:spacing w:after="0" w:line="183" w:lineRule="exact"/>
              <w:rPr>
                <w:sz w:val="20"/>
                <w:szCs w:val="20"/>
                <w:color w:val="auto"/>
              </w:rPr>
            </w:pPr>
            <w:r>
              <w:rPr>
                <w:rFonts w:ascii="Arial" w:cs="Arial" w:eastAsia="Arial" w:hAnsi="Arial"/>
                <w:sz w:val="16"/>
                <w:szCs w:val="16"/>
                <w:b w:val="1"/>
                <w:bCs w:val="1"/>
                <w:color w:val="3E3935"/>
              </w:rPr>
              <w:t>Governance</w:t>
            </w:r>
          </w:p>
        </w:tc>
        <w:tc>
          <w:tcPr>
            <w:tcW w:w="3780" w:type="dxa"/>
            <w:vAlign w:val="bottom"/>
          </w:tcPr>
          <w:p>
            <w:pPr>
              <w:ind w:left="100"/>
              <w:spacing w:after="0" w:line="183" w:lineRule="exact"/>
              <w:rPr>
                <w:sz w:val="20"/>
                <w:szCs w:val="20"/>
                <w:color w:val="auto"/>
              </w:rPr>
            </w:pPr>
            <w:r>
              <w:rPr>
                <w:rFonts w:ascii="Arial" w:cs="Arial" w:eastAsia="Arial" w:hAnsi="Arial"/>
                <w:sz w:val="16"/>
                <w:szCs w:val="16"/>
                <w:color w:val="3E3935"/>
              </w:rPr>
              <w:t>Governance and Corporate Responsibility</w:t>
            </w:r>
          </w:p>
        </w:tc>
      </w:tr>
      <w:tr>
        <w:trPr>
          <w:trHeight w:val="225"/>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Committee</w:t>
            </w:r>
          </w:p>
        </w:tc>
        <w:tc>
          <w:tcPr>
            <w:tcW w:w="3780" w:type="dxa"/>
            <w:vAlign w:val="bottom"/>
            <w:tcBorders>
              <w:bottom w:val="single" w:sz="8" w:color="3E3935"/>
            </w:tcBorders>
          </w:tcPr>
          <w:p>
            <w:pPr>
              <w:ind w:left="340"/>
              <w:spacing w:after="0"/>
              <w:rPr>
                <w:sz w:val="20"/>
                <w:szCs w:val="20"/>
                <w:color w:val="auto"/>
              </w:rPr>
            </w:pPr>
            <w:r>
              <w:rPr>
                <w:rFonts w:ascii="Arial" w:cs="Arial" w:eastAsia="Arial" w:hAnsi="Arial"/>
                <w:sz w:val="16"/>
                <w:szCs w:val="16"/>
                <w:color w:val="3E3935"/>
              </w:rPr>
              <w:t>Committee</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LTIP</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Long-Term Incentive Plan</w:t>
            </w:r>
          </w:p>
        </w:tc>
      </w:tr>
      <w:tr>
        <w:trPr>
          <w:trHeight w:val="23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M&amp;A</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Mergers and Acquisitions</w:t>
            </w:r>
          </w:p>
        </w:tc>
      </w:tr>
      <w:tr>
        <w:trPr>
          <w:trHeight w:val="224"/>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NEO</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Named Executive Officer</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NQ</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Nonqualified</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NYSE</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New York Stock Exchange</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OEM</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Original Equipment Manufacturer</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PSU</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Performance Share Unit</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ROIC</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Return on Invested Capital</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RSU</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Restricted Stock Unit</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SEC</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U.S. Securities and Exchange Commission</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SBTi</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Science-Based Targets Initiative</w:t>
            </w:r>
          </w:p>
        </w:tc>
      </w:tr>
      <w:tr>
        <w:trPr>
          <w:trHeight w:val="183"/>
        </w:trPr>
        <w:tc>
          <w:tcPr>
            <w:tcW w:w="1560" w:type="dxa"/>
            <w:vAlign w:val="bottom"/>
          </w:tcPr>
          <w:p>
            <w:pPr>
              <w:ind w:left="60"/>
              <w:spacing w:after="0" w:line="183" w:lineRule="exact"/>
              <w:rPr>
                <w:sz w:val="20"/>
                <w:szCs w:val="20"/>
                <w:color w:val="auto"/>
              </w:rPr>
            </w:pPr>
            <w:r>
              <w:rPr>
                <w:rFonts w:ascii="Arial" w:cs="Arial" w:eastAsia="Arial" w:hAnsi="Arial"/>
                <w:sz w:val="16"/>
                <w:szCs w:val="16"/>
                <w:b w:val="1"/>
                <w:bCs w:val="1"/>
                <w:color w:val="3E3935"/>
              </w:rPr>
              <w:t>Senior Leadership</w:t>
            </w:r>
          </w:p>
        </w:tc>
        <w:tc>
          <w:tcPr>
            <w:tcW w:w="3780" w:type="dxa"/>
            <w:vAlign w:val="bottom"/>
          </w:tcPr>
          <w:p>
            <w:pPr>
              <w:ind w:left="100"/>
              <w:spacing w:after="0" w:line="183" w:lineRule="exact"/>
              <w:rPr>
                <w:sz w:val="20"/>
                <w:szCs w:val="20"/>
                <w:color w:val="auto"/>
              </w:rPr>
            </w:pPr>
            <w:r>
              <w:rPr>
                <w:rFonts w:ascii="Arial" w:cs="Arial" w:eastAsia="Arial" w:hAnsi="Arial"/>
                <w:sz w:val="16"/>
                <w:szCs w:val="16"/>
                <w:color w:val="3E3935"/>
              </w:rPr>
              <w:t>Certain members of management who report</w:t>
            </w:r>
          </w:p>
        </w:tc>
      </w:tr>
      <w:tr>
        <w:trPr>
          <w:trHeight w:val="225"/>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Team</w:t>
            </w:r>
          </w:p>
        </w:tc>
        <w:tc>
          <w:tcPr>
            <w:tcW w:w="3780" w:type="dxa"/>
            <w:vAlign w:val="bottom"/>
            <w:tcBorders>
              <w:bottom w:val="single" w:sz="8" w:color="3E3935"/>
            </w:tcBorders>
          </w:tcPr>
          <w:p>
            <w:pPr>
              <w:ind w:left="340"/>
              <w:spacing w:after="0"/>
              <w:rPr>
                <w:sz w:val="20"/>
                <w:szCs w:val="20"/>
                <w:color w:val="auto"/>
              </w:rPr>
            </w:pPr>
            <w:r>
              <w:rPr>
                <w:rFonts w:ascii="Arial" w:cs="Arial" w:eastAsia="Arial" w:hAnsi="Arial"/>
                <w:sz w:val="16"/>
                <w:szCs w:val="16"/>
                <w:color w:val="3E3935"/>
              </w:rPr>
              <w:t>directly to the CEO or the President</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STIP</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Short-Term Incentive Plan</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TSR</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Total Shareholder Return</w:t>
            </w:r>
          </w:p>
        </w:tc>
      </w:tr>
      <w:tr>
        <w:trPr>
          <w:trHeight w:val="221"/>
        </w:trPr>
        <w:tc>
          <w:tcPr>
            <w:tcW w:w="1560" w:type="dxa"/>
            <w:vAlign w:val="bottom"/>
            <w:tcBorders>
              <w:bottom w:val="single" w:sz="8" w:color="3E3935"/>
            </w:tcBorders>
          </w:tcPr>
          <w:p>
            <w:pPr>
              <w:ind w:left="60"/>
              <w:spacing w:after="0"/>
              <w:rPr>
                <w:sz w:val="20"/>
                <w:szCs w:val="20"/>
                <w:color w:val="auto"/>
              </w:rPr>
            </w:pPr>
            <w:r>
              <w:rPr>
                <w:rFonts w:ascii="Arial" w:cs="Arial" w:eastAsia="Arial" w:hAnsi="Arial"/>
                <w:sz w:val="16"/>
                <w:szCs w:val="16"/>
                <w:b w:val="1"/>
                <w:bCs w:val="1"/>
                <w:color w:val="3E3935"/>
              </w:rPr>
              <w:t>WACC</w:t>
            </w:r>
          </w:p>
        </w:tc>
        <w:tc>
          <w:tcPr>
            <w:tcW w:w="37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Weighted Average Cost of Capital</w:t>
            </w:r>
          </w:p>
        </w:tc>
      </w:tr>
    </w:tbl>
    <w:p>
      <w:pPr>
        <w:spacing w:after="0" w:line="534" w:lineRule="exact"/>
        <w:rPr>
          <w:sz w:val="20"/>
          <w:szCs w:val="20"/>
          <w:color w:val="auto"/>
        </w:rPr>
      </w:pPr>
    </w:p>
    <w:p>
      <w:pPr>
        <w:sectPr>
          <w:pgSz w:w="11900" w:h="16838" w:orient="portrait"/>
          <w:cols w:equalWidth="0" w:num="2">
            <w:col w:w="5400" w:space="340"/>
            <w:col w:w="5340"/>
          </w:cols>
          <w:pgMar w:left="320" w:top="454" w:right="499" w:bottom="428" w:gutter="0" w:footer="0" w:header="0"/>
          <w:type w:val="continuous"/>
        </w:sectPr>
      </w:pPr>
    </w:p>
    <w:p>
      <w:pPr>
        <w:spacing w:after="0" w:line="294"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i w:val="1"/>
          <w:iCs w:val="1"/>
          <w:color w:val="0071CE"/>
        </w:rPr>
        <w:t xml:space="preserve">Cautionary Note on Forward-Looking Statements: </w:t>
      </w:r>
      <w:r>
        <w:rPr>
          <w:rFonts w:ascii="Arial" w:cs="Arial" w:eastAsia="Arial" w:hAnsi="Arial"/>
          <w:sz w:val="16"/>
          <w:szCs w:val="16"/>
          <w:color w:val="3E3935"/>
        </w:rPr>
        <w:t>This Proxy Statement may include “forward-looking statements” within the meaning of the U.S.</w:t>
      </w:r>
      <w:r>
        <w:rPr>
          <w:rFonts w:ascii="Arial" w:cs="Arial" w:eastAsia="Arial" w:hAnsi="Arial"/>
          <w:sz w:val="16"/>
          <w:szCs w:val="16"/>
          <w:b w:val="1"/>
          <w:bCs w:val="1"/>
          <w:i w:val="1"/>
          <w:iCs w:val="1"/>
          <w:color w:val="0071CE"/>
        </w:rPr>
        <w:t xml:space="preserve"> </w:t>
      </w:r>
      <w:r>
        <w:rPr>
          <w:rFonts w:ascii="Arial" w:cs="Arial" w:eastAsia="Arial" w:hAnsi="Arial"/>
          <w:sz w:val="16"/>
          <w:szCs w:val="16"/>
          <w:color w:val="3E3935"/>
        </w:rPr>
        <w:t>federal securities laws. Forward-looking statements are any statements other than statements of historical fact. Forward-looking statements represent our current judgement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judgements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-95885</wp:posOffset>
            </wp:positionV>
            <wp:extent cx="5927725" cy="101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42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TABLE OF CONTENTS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280" w:type="dxa"/>
            <w:vAlign w:val="bottom"/>
            <w:gridSpan w:val="46"/>
          </w:tcPr>
          <w:p>
            <w:pPr>
              <w:spacing w:after="0"/>
              <w:rPr>
                <w:sz w:val="20"/>
                <w:szCs w:val="20"/>
                <w:color w:val="auto"/>
              </w:rPr>
            </w:pPr>
            <w:r>
              <w:rPr>
                <w:rFonts w:ascii="Arial" w:cs="Arial" w:eastAsia="Arial" w:hAnsi="Arial"/>
                <w:sz w:val="18"/>
                <w:szCs w:val="18"/>
                <w:color w:val="0000EE"/>
              </w:rPr>
              <w:t>PROXY VOTING ROADMAP</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1</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bottom w:val="single" w:sz="8" w:color="3E3935"/>
            </w:tcBorders>
          </w:tcPr>
          <w:p>
            <w:pPr>
              <w:spacing w:after="0"/>
              <w:rPr>
                <w:sz w:val="6"/>
                <w:szCs w:val="6"/>
                <w:color w:val="auto"/>
              </w:rPr>
            </w:pPr>
          </w:p>
        </w:tc>
        <w:tc>
          <w:tcPr>
            <w:tcW w:w="720" w:type="dxa"/>
            <w:vAlign w:val="bottom"/>
            <w:tcBorders>
              <w:top w:val="single" w:sz="8" w:color="0000EE"/>
              <w:bottom w:val="single" w:sz="8" w:color="3E3935"/>
            </w:tcBorders>
          </w:tcPr>
          <w:p>
            <w:pPr>
              <w:spacing w:after="0"/>
              <w:rPr>
                <w:sz w:val="6"/>
                <w:szCs w:val="6"/>
                <w:color w:val="auto"/>
              </w:rPr>
            </w:pPr>
          </w:p>
        </w:tc>
        <w:tc>
          <w:tcPr>
            <w:tcW w:w="24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3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3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0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20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520" w:type="dxa"/>
            <w:vAlign w:val="bottom"/>
            <w:tcBorders>
              <w:bottom w:val="single" w:sz="8" w:color="3E3935"/>
            </w:tcBorders>
          </w:tcPr>
          <w:p>
            <w:pPr>
              <w:spacing w:after="0"/>
              <w:rPr>
                <w:sz w:val="6"/>
                <w:szCs w:val="6"/>
                <w:color w:val="auto"/>
              </w:rPr>
            </w:pPr>
          </w:p>
        </w:tc>
        <w:tc>
          <w:tcPr>
            <w:tcW w:w="300" w:type="dxa"/>
            <w:vAlign w:val="bottom"/>
            <w:tcBorders>
              <w:bottom w:val="single" w:sz="8" w:color="3E3935"/>
            </w:tcBorders>
          </w:tcPr>
          <w:p>
            <w:pPr>
              <w:spacing w:after="0"/>
              <w:rPr>
                <w:sz w:val="6"/>
                <w:szCs w:val="6"/>
                <w:color w:val="auto"/>
              </w:rPr>
            </w:pPr>
          </w:p>
        </w:tc>
        <w:tc>
          <w:tcPr>
            <w:tcW w:w="2680" w:type="dxa"/>
            <w:vAlign w:val="bottom"/>
            <w:tcBorders>
              <w:bottom w:val="single" w:sz="8" w:color="3E3935"/>
            </w:tcBorders>
          </w:tcPr>
          <w:p>
            <w:pPr>
              <w:spacing w:after="0"/>
              <w:rPr>
                <w:sz w:val="6"/>
                <w:szCs w:val="6"/>
                <w:color w:val="auto"/>
              </w:rPr>
            </w:pPr>
          </w:p>
        </w:tc>
        <w:tc>
          <w:tcPr>
            <w:tcW w:w="140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300" w:type="dxa"/>
            <w:vAlign w:val="bottom"/>
            <w:tcBorders>
              <w:bottom w:val="single" w:sz="8" w:color="3E3935"/>
            </w:tcBorders>
          </w:tcPr>
          <w:p>
            <w:pPr>
              <w:spacing w:after="0"/>
              <w:rPr>
                <w:sz w:val="6"/>
                <w:szCs w:val="6"/>
                <w:color w:val="auto"/>
              </w:rPr>
            </w:pPr>
          </w:p>
        </w:tc>
        <w:tc>
          <w:tcPr>
            <w:tcW w:w="64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0280" w:type="dxa"/>
            <w:vAlign w:val="bottom"/>
            <w:gridSpan w:val="46"/>
          </w:tcPr>
          <w:p>
            <w:pPr>
              <w:spacing w:after="0"/>
              <w:rPr>
                <w:sz w:val="20"/>
                <w:szCs w:val="20"/>
                <w:color w:val="auto"/>
              </w:rPr>
            </w:pPr>
            <w:r>
              <w:rPr>
                <w:rFonts w:ascii="Arial" w:cs="Arial" w:eastAsia="Arial" w:hAnsi="Arial"/>
                <w:sz w:val="18"/>
                <w:szCs w:val="18"/>
                <w:b w:val="1"/>
                <w:bCs w:val="1"/>
                <w:color w:val="0000EE"/>
              </w:rPr>
              <w:t>ITEM NO. 1 – ANNUAL ELECTION OF DIRECTORS</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3E3935"/>
              </w:rPr>
              <w:t>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280" w:type="dxa"/>
            <w:vAlign w:val="bottom"/>
            <w:gridSpan w:val="46"/>
          </w:tcPr>
          <w:p>
            <w:pPr>
              <w:spacing w:after="0" w:line="154" w:lineRule="exact"/>
              <w:rPr>
                <w:sz w:val="20"/>
                <w:szCs w:val="20"/>
                <w:color w:val="auto"/>
              </w:rPr>
            </w:pPr>
            <w:r>
              <w:rPr>
                <w:rFonts w:ascii="Arial" w:cs="Arial" w:eastAsia="Arial" w:hAnsi="Arial"/>
                <w:sz w:val="17"/>
                <w:szCs w:val="17"/>
                <w:color w:val="0000EE"/>
              </w:rPr>
              <w:t>Snapshot of Our Board Nominees</w:t>
            </w:r>
          </w:p>
        </w:tc>
        <w:tc>
          <w:tcPr>
            <w:tcW w:w="640" w:type="dxa"/>
            <w:vAlign w:val="bottom"/>
          </w:tcPr>
          <w:p>
            <w:pPr>
              <w:jc w:val="right"/>
              <w:spacing w:after="0" w:line="154" w:lineRule="exact"/>
              <w:rPr>
                <w:sz w:val="20"/>
                <w:szCs w:val="20"/>
                <w:color w:val="auto"/>
              </w:rPr>
            </w:pPr>
            <w:r>
              <w:rPr>
                <w:rFonts w:ascii="Arial" w:cs="Arial" w:eastAsia="Arial" w:hAnsi="Arial"/>
                <w:sz w:val="17"/>
                <w:szCs w:val="17"/>
                <w:i w:val="1"/>
                <w:iCs w:val="1"/>
                <w:color w:val="3E3935"/>
              </w:rPr>
              <w:t>3</w:t>
            </w:r>
          </w:p>
        </w:tc>
        <w:tc>
          <w:tcPr>
            <w:tcW w:w="0" w:type="dxa"/>
            <w:vAlign w:val="bottom"/>
          </w:tcPr>
          <w:p>
            <w:pPr>
              <w:spacing w:after="0"/>
              <w:rPr>
                <w:sz w:val="1"/>
                <w:szCs w:val="1"/>
                <w:color w:val="auto"/>
              </w:rPr>
            </w:pPr>
          </w:p>
        </w:tc>
      </w:tr>
      <w:tr>
        <w:trPr>
          <w:trHeight w:val="181"/>
        </w:trPr>
        <w:tc>
          <w:tcPr>
            <w:tcW w:w="2680" w:type="dxa"/>
            <w:vAlign w:val="bottom"/>
            <w:tcBorders>
              <w:top w:val="single" w:sz="8" w:color="0000EE"/>
            </w:tcBorders>
            <w:gridSpan w:val="22"/>
          </w:tcPr>
          <w:p>
            <w:pPr>
              <w:spacing w:after="0" w:line="181" w:lineRule="exact"/>
              <w:rPr>
                <w:sz w:val="20"/>
                <w:szCs w:val="20"/>
                <w:color w:val="auto"/>
              </w:rPr>
            </w:pPr>
            <w:r>
              <w:rPr>
                <w:rFonts w:ascii="Arial" w:cs="Arial" w:eastAsia="Arial" w:hAnsi="Arial"/>
                <w:sz w:val="18"/>
                <w:szCs w:val="18"/>
                <w:color w:val="0000EE"/>
              </w:rPr>
              <w:t>Board Experience and Expertise</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5</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960" w:type="dxa"/>
            <w:vAlign w:val="bottom"/>
            <w:tcBorders>
              <w:top w:val="single" w:sz="8" w:color="0000EE"/>
              <w:bottom w:val="single" w:sz="8" w:color="0000EE"/>
            </w:tcBorders>
            <w:gridSpan w:val="2"/>
          </w:tcPr>
          <w:p>
            <w:pPr>
              <w:spacing w:after="0" w:line="181" w:lineRule="exact"/>
              <w:rPr>
                <w:sz w:val="20"/>
                <w:szCs w:val="20"/>
                <w:color w:val="auto"/>
              </w:rPr>
            </w:pPr>
            <w:r>
              <w:rPr>
                <w:rFonts w:ascii="Arial" w:cs="Arial" w:eastAsia="Arial" w:hAnsi="Arial"/>
                <w:sz w:val="18"/>
                <w:szCs w:val="18"/>
                <w:color w:val="0000EE"/>
                <w:w w:val="97"/>
              </w:rPr>
              <w:t>Skills Matrix</w:t>
            </w:r>
          </w:p>
        </w:tc>
        <w:tc>
          <w:tcPr>
            <w:tcW w:w="1420" w:type="dxa"/>
            <w:vAlign w:val="bottom"/>
            <w:tcBorders>
              <w:top w:val="single" w:sz="8" w:color="0000EE"/>
            </w:tcBorders>
            <w:gridSpan w:val="17"/>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5</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10100" w:type="dxa"/>
            <w:vAlign w:val="bottom"/>
            <w:gridSpan w:val="45"/>
          </w:tcPr>
          <w:p>
            <w:pPr>
              <w:spacing w:after="0" w:line="181" w:lineRule="exact"/>
              <w:rPr>
                <w:sz w:val="20"/>
                <w:szCs w:val="20"/>
                <w:color w:val="auto"/>
              </w:rPr>
            </w:pPr>
            <w:r>
              <w:rPr>
                <w:rFonts w:ascii="Arial" w:cs="Arial" w:eastAsia="Arial" w:hAnsi="Arial"/>
                <w:sz w:val="18"/>
                <w:szCs w:val="18"/>
                <w:color w:val="0000EE"/>
              </w:rPr>
              <w:t>Director Biographies</w:t>
            </w: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right"/>
              <w:spacing w:after="0" w:line="201" w:lineRule="exact"/>
              <w:rPr>
                <w:sz w:val="20"/>
                <w:szCs w:val="20"/>
                <w:color w:val="auto"/>
              </w:rPr>
            </w:pPr>
            <w:r>
              <w:rPr>
                <w:rFonts w:ascii="Arial" w:cs="Arial" w:eastAsia="Arial" w:hAnsi="Arial"/>
                <w:sz w:val="18"/>
                <w:szCs w:val="18"/>
                <w:i w:val="1"/>
                <w:iCs w:val="1"/>
                <w:color w:val="3E3935"/>
              </w:rPr>
              <w:t>13</w:t>
            </w:r>
          </w:p>
        </w:tc>
        <w:tc>
          <w:tcPr>
            <w:tcW w:w="0" w:type="dxa"/>
            <w:vAlign w:val="bottom"/>
          </w:tcPr>
          <w:p>
            <w:pPr>
              <w:spacing w:after="0" w:line="20" w:lineRule="exact"/>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Board Membership Criteria, Refreshment, and Succession Planning</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60" w:type="dxa"/>
            <w:vAlign w:val="bottom"/>
            <w:tcBorders>
              <w:top w:val="single" w:sz="8" w:color="0000EE"/>
              <w:bottom w:val="single" w:sz="8" w:color="0000EE"/>
            </w:tcBorders>
            <w:gridSpan w:val="24"/>
          </w:tcPr>
          <w:p>
            <w:pPr>
              <w:spacing w:after="0" w:line="181" w:lineRule="exact"/>
              <w:rPr>
                <w:sz w:val="20"/>
                <w:szCs w:val="20"/>
                <w:color w:val="auto"/>
              </w:rPr>
            </w:pPr>
            <w:r>
              <w:rPr>
                <w:rFonts w:ascii="Arial" w:cs="Arial" w:eastAsia="Arial" w:hAnsi="Arial"/>
                <w:sz w:val="18"/>
                <w:szCs w:val="18"/>
                <w:color w:val="0000EE"/>
                <w:w w:val="98"/>
              </w:rPr>
              <w:t>Non-Employee Director Compensation</w:t>
            </w:r>
          </w:p>
        </w:tc>
        <w:tc>
          <w:tcPr>
            <w:tcW w:w="2300" w:type="dxa"/>
            <w:vAlign w:val="bottom"/>
            <w:tcBorders>
              <w:top w:val="single" w:sz="8" w:color="0000EE"/>
            </w:tcBorders>
            <w:gridSpan w:val="16"/>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14</w:t>
            </w:r>
          </w:p>
        </w:tc>
        <w:tc>
          <w:tcPr>
            <w:tcW w:w="0" w:type="dxa"/>
            <w:vAlign w:val="bottom"/>
          </w:tcPr>
          <w:p>
            <w:pPr>
              <w:spacing w:after="0"/>
              <w:rPr>
                <w:sz w:val="1"/>
                <w:szCs w:val="1"/>
                <w:color w:val="auto"/>
              </w:rPr>
            </w:pPr>
          </w:p>
        </w:tc>
      </w:tr>
      <w:tr>
        <w:trPr>
          <w:trHeight w:val="261"/>
        </w:trPr>
        <w:tc>
          <w:tcPr>
            <w:tcW w:w="10280" w:type="dxa"/>
            <w:vAlign w:val="bottom"/>
            <w:gridSpan w:val="46"/>
          </w:tcPr>
          <w:p>
            <w:pPr>
              <w:spacing w:after="0"/>
              <w:rPr>
                <w:sz w:val="20"/>
                <w:szCs w:val="20"/>
                <w:color w:val="auto"/>
              </w:rPr>
            </w:pPr>
            <w:r>
              <w:rPr>
                <w:rFonts w:ascii="Arial" w:cs="Arial" w:eastAsia="Arial" w:hAnsi="Arial"/>
                <w:sz w:val="18"/>
                <w:szCs w:val="18"/>
                <w:color w:val="0000EE"/>
              </w:rPr>
              <w:t>CORPORATE GOVERNANCE</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19</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280" w:type="dxa"/>
            <w:vAlign w:val="bottom"/>
            <w:gridSpan w:val="46"/>
          </w:tcPr>
          <w:p>
            <w:pPr>
              <w:spacing w:after="0" w:line="154" w:lineRule="exact"/>
              <w:rPr>
                <w:sz w:val="20"/>
                <w:szCs w:val="20"/>
                <w:color w:val="auto"/>
              </w:rPr>
            </w:pPr>
            <w:r>
              <w:rPr>
                <w:rFonts w:ascii="Arial" w:cs="Arial" w:eastAsia="Arial" w:hAnsi="Arial"/>
                <w:sz w:val="17"/>
                <w:szCs w:val="17"/>
                <w:color w:val="0000EE"/>
              </w:rPr>
              <w:t>The Board of Directors</w:t>
            </w:r>
          </w:p>
        </w:tc>
        <w:tc>
          <w:tcPr>
            <w:tcW w:w="640" w:type="dxa"/>
            <w:vAlign w:val="bottom"/>
          </w:tcPr>
          <w:p>
            <w:pPr>
              <w:jc w:val="right"/>
              <w:spacing w:after="0" w:line="154" w:lineRule="exact"/>
              <w:rPr>
                <w:sz w:val="20"/>
                <w:szCs w:val="20"/>
                <w:color w:val="auto"/>
              </w:rPr>
            </w:pPr>
            <w:r>
              <w:rPr>
                <w:rFonts w:ascii="Arial" w:cs="Arial" w:eastAsia="Arial" w:hAnsi="Arial"/>
                <w:sz w:val="17"/>
                <w:szCs w:val="17"/>
                <w:i w:val="1"/>
                <w:iCs w:val="1"/>
                <w:color w:val="3E3935"/>
              </w:rPr>
              <w:t>19</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right"/>
              <w:spacing w:after="0" w:line="201" w:lineRule="exact"/>
              <w:rPr>
                <w:sz w:val="20"/>
                <w:szCs w:val="20"/>
                <w:color w:val="auto"/>
              </w:rPr>
            </w:pPr>
            <w:r>
              <w:rPr>
                <w:rFonts w:ascii="Arial" w:cs="Arial" w:eastAsia="Arial" w:hAnsi="Arial"/>
                <w:sz w:val="18"/>
                <w:szCs w:val="18"/>
                <w:i w:val="1"/>
                <w:iCs w:val="1"/>
                <w:color w:val="3E3935"/>
              </w:rPr>
              <w:t>20</w:t>
            </w:r>
          </w:p>
        </w:tc>
        <w:tc>
          <w:tcPr>
            <w:tcW w:w="0" w:type="dxa"/>
            <w:vAlign w:val="bottom"/>
          </w:tcPr>
          <w:p>
            <w:pPr>
              <w:spacing w:after="0" w:line="20" w:lineRule="exact"/>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Board Leadership Structure and Composition</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Borders>
              <w:top w:val="single" w:sz="8" w:color="0000EE"/>
            </w:tcBorders>
            <w:gridSpan w:val="28"/>
          </w:tcPr>
          <w:p>
            <w:pPr>
              <w:spacing w:after="0" w:line="181" w:lineRule="exact"/>
              <w:rPr>
                <w:sz w:val="20"/>
                <w:szCs w:val="20"/>
                <w:color w:val="auto"/>
              </w:rPr>
            </w:pPr>
            <w:r>
              <w:rPr>
                <w:rFonts w:ascii="Arial" w:cs="Arial" w:eastAsia="Arial" w:hAnsi="Arial"/>
                <w:sz w:val="18"/>
                <w:szCs w:val="18"/>
                <w:color w:val="0000EE"/>
              </w:rPr>
              <w:t>Board Committees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21</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right"/>
              <w:spacing w:after="0" w:line="201" w:lineRule="exact"/>
              <w:rPr>
                <w:sz w:val="20"/>
                <w:szCs w:val="20"/>
                <w:color w:val="auto"/>
              </w:rPr>
            </w:pPr>
            <w:r>
              <w:rPr>
                <w:rFonts w:ascii="Arial" w:cs="Arial" w:eastAsia="Arial" w:hAnsi="Arial"/>
                <w:sz w:val="18"/>
                <w:szCs w:val="18"/>
                <w:i w:val="1"/>
                <w:iCs w:val="1"/>
                <w:color w:val="3E3935"/>
              </w:rPr>
              <w:t>25</w:t>
            </w:r>
          </w:p>
        </w:tc>
        <w:tc>
          <w:tcPr>
            <w:tcW w:w="0" w:type="dxa"/>
            <w:vAlign w:val="bottom"/>
          </w:tcPr>
          <w:p>
            <w:pPr>
              <w:spacing w:after="0" w:line="20" w:lineRule="exact"/>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Board and Committee Oversight of Risk</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40" w:type="dxa"/>
            <w:vAlign w:val="bottom"/>
            <w:tcBorders>
              <w:top w:val="single" w:sz="8" w:color="0000EE"/>
            </w:tcBorders>
            <w:gridSpan w:val="25"/>
          </w:tcPr>
          <w:p>
            <w:pPr>
              <w:spacing w:after="0" w:line="181" w:lineRule="exact"/>
              <w:rPr>
                <w:sz w:val="20"/>
                <w:szCs w:val="20"/>
                <w:color w:val="auto"/>
              </w:rPr>
            </w:pPr>
            <w:r>
              <w:rPr>
                <w:rFonts w:ascii="Arial" w:cs="Arial" w:eastAsia="Arial" w:hAnsi="Arial"/>
                <w:sz w:val="18"/>
                <w:szCs w:val="18"/>
                <w:color w:val="0000EE"/>
              </w:rPr>
              <w:t>The Board’s Governance Policies and</w:t>
            </w:r>
          </w:p>
        </w:tc>
        <w:tc>
          <w:tcPr>
            <w:tcW w:w="7140" w:type="dxa"/>
            <w:vAlign w:val="bottom"/>
            <w:gridSpan w:val="21"/>
          </w:tcPr>
          <w:p>
            <w:pPr>
              <w:spacing w:after="0" w:line="181" w:lineRule="exact"/>
              <w:rPr>
                <w:sz w:val="20"/>
                <w:szCs w:val="20"/>
                <w:color w:val="auto"/>
              </w:rPr>
            </w:pPr>
            <w:r>
              <w:rPr>
                <w:rFonts w:ascii="Arial" w:cs="Arial" w:eastAsia="Arial" w:hAnsi="Arial"/>
                <w:sz w:val="18"/>
                <w:szCs w:val="18"/>
                <w:color w:val="0000EE"/>
              </w:rPr>
              <w:t>Practices</w:t>
            </w: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27</w:t>
            </w:r>
          </w:p>
        </w:tc>
        <w:tc>
          <w:tcPr>
            <w:tcW w:w="0" w:type="dxa"/>
            <w:vAlign w:val="bottom"/>
          </w:tcPr>
          <w:p>
            <w:pPr>
              <w:spacing w:after="0"/>
              <w:rPr>
                <w:sz w:val="1"/>
                <w:szCs w:val="1"/>
                <w:color w:val="auto"/>
              </w:rPr>
            </w:pPr>
          </w:p>
        </w:tc>
      </w:tr>
      <w:tr>
        <w:trPr>
          <w:trHeight w:val="181"/>
        </w:trPr>
        <w:tc>
          <w:tcPr>
            <w:tcW w:w="3780" w:type="dxa"/>
            <w:vAlign w:val="bottom"/>
            <w:tcBorders>
              <w:top w:val="single" w:sz="8" w:color="0000EE"/>
            </w:tcBorders>
            <w:gridSpan w:val="29"/>
          </w:tcPr>
          <w:p>
            <w:pPr>
              <w:spacing w:after="0" w:line="181" w:lineRule="exact"/>
              <w:rPr>
                <w:sz w:val="20"/>
                <w:szCs w:val="20"/>
                <w:color w:val="auto"/>
              </w:rPr>
            </w:pPr>
            <w:r>
              <w:rPr>
                <w:rFonts w:ascii="Arial" w:cs="Arial" w:eastAsia="Arial" w:hAnsi="Arial"/>
                <w:sz w:val="18"/>
                <w:szCs w:val="18"/>
                <w:color w:val="0000EE"/>
              </w:rPr>
              <w:t>Shareholder Engagement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30</w:t>
            </w:r>
          </w:p>
        </w:tc>
        <w:tc>
          <w:tcPr>
            <w:tcW w:w="0" w:type="dxa"/>
            <w:vAlign w:val="bottom"/>
          </w:tcPr>
          <w:p>
            <w:pPr>
              <w:spacing w:after="0"/>
              <w:rPr>
                <w:sz w:val="1"/>
                <w:szCs w:val="1"/>
                <w:color w:val="auto"/>
              </w:rPr>
            </w:pPr>
          </w:p>
        </w:tc>
      </w:tr>
      <w:tr>
        <w:trPr>
          <w:trHeight w:val="181"/>
        </w:trPr>
        <w:tc>
          <w:tcPr>
            <w:tcW w:w="2040" w:type="dxa"/>
            <w:vAlign w:val="bottom"/>
            <w:tcBorders>
              <w:top w:val="single" w:sz="8" w:color="0000EE"/>
              <w:bottom w:val="single" w:sz="8" w:color="0000EE"/>
            </w:tcBorders>
            <w:gridSpan w:val="13"/>
          </w:tcPr>
          <w:p>
            <w:pPr>
              <w:spacing w:after="0" w:line="181" w:lineRule="exact"/>
              <w:rPr>
                <w:sz w:val="20"/>
                <w:szCs w:val="20"/>
                <w:color w:val="auto"/>
              </w:rPr>
            </w:pPr>
            <w:r>
              <w:rPr>
                <w:rFonts w:ascii="Arial" w:cs="Arial" w:eastAsia="Arial" w:hAnsi="Arial"/>
                <w:sz w:val="18"/>
                <w:szCs w:val="18"/>
                <w:color w:val="0000EE"/>
              </w:rPr>
              <w:t>Shareholder Protections</w:t>
            </w:r>
          </w:p>
        </w:tc>
        <w:tc>
          <w:tcPr>
            <w:tcW w:w="2440" w:type="dxa"/>
            <w:vAlign w:val="bottom"/>
            <w:tcBorders>
              <w:bottom w:val="single" w:sz="8" w:color="0000EE"/>
            </w:tcBorders>
            <w:gridSpan w:val="23"/>
          </w:tcPr>
          <w:p>
            <w:pPr>
              <w:spacing w:after="0" w:line="181" w:lineRule="exact"/>
              <w:rPr>
                <w:sz w:val="20"/>
                <w:szCs w:val="20"/>
                <w:color w:val="auto"/>
              </w:rPr>
            </w:pPr>
            <w:r>
              <w:rPr>
                <w:rFonts w:ascii="Arial" w:cs="Arial" w:eastAsia="Arial" w:hAnsi="Arial"/>
                <w:sz w:val="18"/>
                <w:szCs w:val="18"/>
                <w:color w:val="0000EE"/>
                <w:w w:val="95"/>
              </w:rPr>
              <w:t>and Governance Best Practices</w:t>
            </w:r>
          </w:p>
        </w:tc>
        <w:tc>
          <w:tcPr>
            <w:tcW w:w="5800" w:type="dxa"/>
            <w:vAlign w:val="bottom"/>
            <w:gridSpan w:val="10"/>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32</w:t>
            </w:r>
          </w:p>
        </w:tc>
        <w:tc>
          <w:tcPr>
            <w:tcW w:w="0" w:type="dxa"/>
            <w:vAlign w:val="bottom"/>
          </w:tcPr>
          <w:p>
            <w:pPr>
              <w:spacing w:after="0"/>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Corporate Political Contributions and Lobbying Expenditures</w:t>
            </w: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33</w:t>
            </w:r>
          </w:p>
        </w:tc>
        <w:tc>
          <w:tcPr>
            <w:tcW w:w="0" w:type="dxa"/>
            <w:vAlign w:val="bottom"/>
          </w:tcPr>
          <w:p>
            <w:pPr>
              <w:spacing w:after="0"/>
              <w:rPr>
                <w:sz w:val="1"/>
                <w:szCs w:val="1"/>
                <w:color w:val="auto"/>
              </w:rPr>
            </w:pPr>
          </w:p>
        </w:tc>
      </w:tr>
      <w:tr>
        <w:trPr>
          <w:trHeight w:val="181"/>
        </w:trPr>
        <w:tc>
          <w:tcPr>
            <w:tcW w:w="4240" w:type="dxa"/>
            <w:vAlign w:val="bottom"/>
            <w:tcBorders>
              <w:top w:val="single" w:sz="8" w:color="0000EE"/>
              <w:bottom w:val="single" w:sz="8" w:color="0000EE"/>
            </w:tcBorders>
            <w:gridSpan w:val="34"/>
          </w:tcPr>
          <w:p>
            <w:pPr>
              <w:spacing w:after="0" w:line="181" w:lineRule="exact"/>
              <w:rPr>
                <w:sz w:val="20"/>
                <w:szCs w:val="20"/>
                <w:color w:val="auto"/>
              </w:rPr>
            </w:pPr>
            <w:r>
              <w:rPr>
                <w:rFonts w:ascii="Arial" w:cs="Arial" w:eastAsia="Arial" w:hAnsi="Arial"/>
                <w:sz w:val="18"/>
                <w:szCs w:val="18"/>
                <w:color w:val="0000EE"/>
                <w:w w:val="98"/>
              </w:rPr>
              <w:t>Certain Relationships and Related Party Transactions</w:t>
            </w:r>
          </w:p>
        </w:tc>
        <w:tc>
          <w:tcPr>
            <w:tcW w:w="540" w:type="dxa"/>
            <w:vAlign w:val="bottom"/>
            <w:tcBorders>
              <w:top w:val="single" w:sz="8" w:color="0000EE"/>
            </w:tcBorders>
            <w:gridSpan w:val="4"/>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34</w:t>
            </w:r>
          </w:p>
        </w:tc>
        <w:tc>
          <w:tcPr>
            <w:tcW w:w="0" w:type="dxa"/>
            <w:vAlign w:val="bottom"/>
          </w:tcPr>
          <w:p>
            <w:pPr>
              <w:spacing w:after="0"/>
              <w:rPr>
                <w:sz w:val="1"/>
                <w:szCs w:val="1"/>
                <w:color w:val="auto"/>
              </w:rPr>
            </w:pPr>
          </w:p>
        </w:tc>
      </w:tr>
      <w:tr>
        <w:trPr>
          <w:trHeight w:val="261"/>
        </w:trPr>
        <w:tc>
          <w:tcPr>
            <w:tcW w:w="10280" w:type="dxa"/>
            <w:vAlign w:val="bottom"/>
            <w:gridSpan w:val="46"/>
          </w:tcPr>
          <w:p>
            <w:pPr>
              <w:spacing w:after="0"/>
              <w:rPr>
                <w:sz w:val="20"/>
                <w:szCs w:val="20"/>
                <w:color w:val="auto"/>
              </w:rPr>
            </w:pPr>
            <w:r>
              <w:rPr>
                <w:rFonts w:ascii="Arial" w:cs="Arial" w:eastAsia="Arial" w:hAnsi="Arial"/>
                <w:sz w:val="18"/>
                <w:szCs w:val="18"/>
                <w:color w:val="0000EE"/>
              </w:rPr>
              <w:t>OUR PURPOSE, OUR VALUES, AND OUR BEHAVIORS</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36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280" w:type="dxa"/>
            <w:vAlign w:val="bottom"/>
            <w:gridSpan w:val="46"/>
          </w:tcPr>
          <w:p>
            <w:pPr>
              <w:spacing w:after="0"/>
              <w:rPr>
                <w:sz w:val="20"/>
                <w:szCs w:val="20"/>
                <w:color w:val="auto"/>
              </w:rPr>
            </w:pPr>
            <w:r>
              <w:rPr>
                <w:rFonts w:ascii="Arial" w:cs="Arial" w:eastAsia="Arial" w:hAnsi="Arial"/>
                <w:sz w:val="18"/>
                <w:szCs w:val="18"/>
                <w:color w:val="0000EE"/>
              </w:rPr>
              <w:t>SOCIAL AND ENVIRONMENTAL HIGHLIGHTS</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37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280" w:type="dxa"/>
            <w:vAlign w:val="bottom"/>
            <w:gridSpan w:val="46"/>
          </w:tcPr>
          <w:p>
            <w:pPr>
              <w:spacing w:after="0" w:line="154" w:lineRule="exact"/>
              <w:rPr>
                <w:sz w:val="20"/>
                <w:szCs w:val="20"/>
                <w:color w:val="auto"/>
              </w:rPr>
            </w:pPr>
            <w:r>
              <w:rPr>
                <w:rFonts w:ascii="Arial" w:cs="Arial" w:eastAsia="Arial" w:hAnsi="Arial"/>
                <w:sz w:val="17"/>
                <w:szCs w:val="17"/>
                <w:color w:val="0000EE"/>
              </w:rPr>
              <w:t>Our People</w:t>
            </w:r>
          </w:p>
        </w:tc>
        <w:tc>
          <w:tcPr>
            <w:tcW w:w="640" w:type="dxa"/>
            <w:vAlign w:val="bottom"/>
          </w:tcPr>
          <w:p>
            <w:pPr>
              <w:jc w:val="right"/>
              <w:spacing w:after="0" w:line="154" w:lineRule="exact"/>
              <w:rPr>
                <w:sz w:val="20"/>
                <w:szCs w:val="20"/>
                <w:color w:val="auto"/>
              </w:rPr>
            </w:pPr>
            <w:r>
              <w:rPr>
                <w:rFonts w:ascii="Arial" w:cs="Arial" w:eastAsia="Arial" w:hAnsi="Arial"/>
                <w:sz w:val="17"/>
                <w:szCs w:val="17"/>
                <w:i w:val="1"/>
                <w:iCs w:val="1"/>
                <w:color w:val="3E3935"/>
              </w:rPr>
              <w:t>37</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right"/>
              <w:spacing w:after="0" w:line="201" w:lineRule="exact"/>
              <w:rPr>
                <w:sz w:val="20"/>
                <w:szCs w:val="20"/>
                <w:color w:val="auto"/>
              </w:rPr>
            </w:pPr>
            <w:r>
              <w:rPr>
                <w:rFonts w:ascii="Arial" w:cs="Arial" w:eastAsia="Arial" w:hAnsi="Arial"/>
                <w:sz w:val="18"/>
                <w:szCs w:val="18"/>
                <w:i w:val="1"/>
                <w:iCs w:val="1"/>
                <w:color w:val="3E3935"/>
              </w:rPr>
              <w:t>39</w:t>
            </w:r>
          </w:p>
        </w:tc>
        <w:tc>
          <w:tcPr>
            <w:tcW w:w="0" w:type="dxa"/>
            <w:vAlign w:val="bottom"/>
          </w:tcPr>
          <w:p>
            <w:pPr>
              <w:spacing w:after="0" w:line="20" w:lineRule="exact"/>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Our Communities</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60" w:type="dxa"/>
            <w:vAlign w:val="bottom"/>
            <w:tcBorders>
              <w:top w:val="single" w:sz="8" w:color="0000EE"/>
              <w:bottom w:val="single" w:sz="8" w:color="0000EE"/>
            </w:tcBorders>
            <w:gridSpan w:val="5"/>
          </w:tcPr>
          <w:p>
            <w:pPr>
              <w:spacing w:after="0" w:line="181" w:lineRule="exact"/>
              <w:rPr>
                <w:sz w:val="20"/>
                <w:szCs w:val="20"/>
                <w:color w:val="auto"/>
              </w:rPr>
            </w:pPr>
            <w:r>
              <w:rPr>
                <w:rFonts w:ascii="Arial" w:cs="Arial" w:eastAsia="Arial" w:hAnsi="Arial"/>
                <w:sz w:val="18"/>
                <w:szCs w:val="18"/>
                <w:color w:val="0000EE"/>
                <w:w w:val="98"/>
              </w:rPr>
              <w:t>Our Environment</w:t>
            </w:r>
          </w:p>
        </w:tc>
        <w:tc>
          <w:tcPr>
            <w:tcW w:w="40" w:type="dxa"/>
            <w:vAlign w:val="bottom"/>
            <w:tcBorders>
              <w:top w:val="single" w:sz="8" w:color="0000EE"/>
            </w:tcBorders>
          </w:tcPr>
          <w:p>
            <w:pPr>
              <w:spacing w:after="0"/>
              <w:rPr>
                <w:sz w:val="15"/>
                <w:szCs w:val="15"/>
                <w:color w:val="auto"/>
              </w:rPr>
            </w:pPr>
          </w:p>
        </w:tc>
        <w:tc>
          <w:tcPr>
            <w:tcW w:w="4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39</w:t>
            </w:r>
          </w:p>
        </w:tc>
        <w:tc>
          <w:tcPr>
            <w:tcW w:w="0" w:type="dxa"/>
            <w:vAlign w:val="bottom"/>
          </w:tcPr>
          <w:p>
            <w:pPr>
              <w:spacing w:after="0"/>
              <w:rPr>
                <w:sz w:val="1"/>
                <w:szCs w:val="1"/>
                <w:color w:val="auto"/>
              </w:rPr>
            </w:pPr>
          </w:p>
        </w:tc>
      </w:tr>
      <w:tr>
        <w:trPr>
          <w:trHeight w:val="261"/>
        </w:trPr>
        <w:tc>
          <w:tcPr>
            <w:tcW w:w="10280" w:type="dxa"/>
            <w:vAlign w:val="bottom"/>
            <w:gridSpan w:val="46"/>
          </w:tcPr>
          <w:p>
            <w:pPr>
              <w:spacing w:after="0"/>
              <w:rPr>
                <w:sz w:val="20"/>
                <w:szCs w:val="20"/>
                <w:color w:val="auto"/>
              </w:rPr>
            </w:pPr>
            <w:r>
              <w:rPr>
                <w:rFonts w:ascii="Arial" w:cs="Arial" w:eastAsia="Arial" w:hAnsi="Arial"/>
                <w:sz w:val="18"/>
                <w:szCs w:val="18"/>
                <w:color w:val="0000EE"/>
              </w:rPr>
              <w:t>SECURITY OWNERSHIP INFORMATION</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41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80" w:type="dxa"/>
            <w:vAlign w:val="bottom"/>
            <w:gridSpan w:val="46"/>
          </w:tcPr>
          <w:p>
            <w:pPr>
              <w:spacing w:after="0"/>
              <w:rPr>
                <w:sz w:val="20"/>
                <w:szCs w:val="20"/>
                <w:color w:val="auto"/>
              </w:rPr>
            </w:pPr>
            <w:r>
              <w:rPr>
                <w:rFonts w:ascii="Arial" w:cs="Arial" w:eastAsia="Arial" w:hAnsi="Arial"/>
                <w:sz w:val="18"/>
                <w:szCs w:val="18"/>
                <w:color w:val="0000EE"/>
              </w:rPr>
              <w:t>AUDIT COMMITTEE REPORT</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43</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40" w:type="dxa"/>
            <w:vAlign w:val="bottom"/>
            <w:tcBorders>
              <w:bottom w:val="single" w:sz="8" w:color="0000EE"/>
            </w:tcBorders>
            <w:gridSpan w:val="39"/>
          </w:tcPr>
          <w:p>
            <w:pPr>
              <w:spacing w:after="0" w:line="154" w:lineRule="exact"/>
              <w:rPr>
                <w:sz w:val="20"/>
                <w:szCs w:val="20"/>
                <w:color w:val="auto"/>
              </w:rPr>
            </w:pPr>
            <w:r>
              <w:rPr>
                <w:rFonts w:ascii="Arial" w:cs="Arial" w:eastAsia="Arial" w:hAnsi="Arial"/>
                <w:sz w:val="17"/>
                <w:szCs w:val="17"/>
                <w:color w:val="0000EE"/>
              </w:rPr>
              <w:t>Fees Paid to Independent Registered Public Accounting Firm</w:t>
            </w:r>
          </w:p>
        </w:tc>
        <w:tc>
          <w:tcPr>
            <w:tcW w:w="5440" w:type="dxa"/>
            <w:vAlign w:val="bottom"/>
            <w:gridSpan w:val="7"/>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7"/>
                <w:szCs w:val="17"/>
                <w:i w:val="1"/>
                <w:iCs w:val="1"/>
                <w:color w:val="3E3935"/>
              </w:rPr>
              <w:t>45</w:t>
            </w:r>
          </w:p>
        </w:tc>
        <w:tc>
          <w:tcPr>
            <w:tcW w:w="0" w:type="dxa"/>
            <w:vAlign w:val="bottom"/>
          </w:tcPr>
          <w:p>
            <w:pPr>
              <w:spacing w:after="0"/>
              <w:rPr>
                <w:sz w:val="1"/>
                <w:szCs w:val="1"/>
                <w:color w:val="auto"/>
              </w:rPr>
            </w:pPr>
          </w:p>
        </w:tc>
      </w:tr>
      <w:tr>
        <w:trPr>
          <w:trHeight w:val="261"/>
        </w:trPr>
        <w:tc>
          <w:tcPr>
            <w:tcW w:w="10280" w:type="dxa"/>
            <w:vAlign w:val="bottom"/>
            <w:gridSpan w:val="46"/>
          </w:tcPr>
          <w:p>
            <w:pPr>
              <w:spacing w:after="0"/>
              <w:rPr>
                <w:sz w:val="20"/>
                <w:szCs w:val="20"/>
                <w:color w:val="auto"/>
              </w:rPr>
            </w:pPr>
            <w:r>
              <w:rPr>
                <w:rFonts w:ascii="Arial" w:cs="Arial" w:eastAsia="Arial" w:hAnsi="Arial"/>
                <w:sz w:val="18"/>
                <w:szCs w:val="18"/>
                <w:color w:val="0000EE"/>
              </w:rPr>
              <w:t>EXECUTIVE COMPENSATION</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46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280" w:type="dxa"/>
            <w:vAlign w:val="bottom"/>
            <w:gridSpan w:val="46"/>
          </w:tcPr>
          <w:p>
            <w:pPr>
              <w:spacing w:after="0" w:line="154" w:lineRule="exact"/>
              <w:rPr>
                <w:sz w:val="20"/>
                <w:szCs w:val="20"/>
                <w:color w:val="auto"/>
              </w:rPr>
            </w:pPr>
            <w:r>
              <w:rPr>
                <w:rFonts w:ascii="Arial" w:cs="Arial" w:eastAsia="Arial" w:hAnsi="Arial"/>
                <w:sz w:val="17"/>
                <w:szCs w:val="17"/>
                <w:color w:val="0000EE"/>
              </w:rPr>
              <w:t>Our Company Performance</w:t>
            </w:r>
          </w:p>
        </w:tc>
        <w:tc>
          <w:tcPr>
            <w:tcW w:w="640" w:type="dxa"/>
            <w:vAlign w:val="bottom"/>
          </w:tcPr>
          <w:p>
            <w:pPr>
              <w:jc w:val="right"/>
              <w:spacing w:after="0" w:line="154" w:lineRule="exact"/>
              <w:rPr>
                <w:sz w:val="20"/>
                <w:szCs w:val="20"/>
                <w:color w:val="auto"/>
              </w:rPr>
            </w:pPr>
            <w:r>
              <w:rPr>
                <w:rFonts w:ascii="Arial" w:cs="Arial" w:eastAsia="Arial" w:hAnsi="Arial"/>
                <w:sz w:val="17"/>
                <w:szCs w:val="17"/>
                <w:i w:val="1"/>
                <w:iCs w:val="1"/>
                <w:color w:val="3E3935"/>
              </w:rPr>
              <w:t>47</w:t>
            </w:r>
          </w:p>
        </w:tc>
        <w:tc>
          <w:tcPr>
            <w:tcW w:w="0" w:type="dxa"/>
            <w:vAlign w:val="bottom"/>
          </w:tcPr>
          <w:p>
            <w:pPr>
              <w:spacing w:after="0"/>
              <w:rPr>
                <w:sz w:val="1"/>
                <w:szCs w:val="1"/>
                <w:color w:val="auto"/>
              </w:rPr>
            </w:pPr>
          </w:p>
        </w:tc>
      </w:tr>
      <w:tr>
        <w:trPr>
          <w:trHeight w:val="181"/>
        </w:trPr>
        <w:tc>
          <w:tcPr>
            <w:tcW w:w="2180" w:type="dxa"/>
            <w:vAlign w:val="bottom"/>
            <w:tcBorders>
              <w:top w:val="single" w:sz="8" w:color="0000EE"/>
            </w:tcBorders>
            <w:gridSpan w:val="14"/>
          </w:tcPr>
          <w:p>
            <w:pPr>
              <w:spacing w:after="0" w:line="181" w:lineRule="exact"/>
              <w:rPr>
                <w:sz w:val="20"/>
                <w:szCs w:val="20"/>
                <w:color w:val="auto"/>
              </w:rPr>
            </w:pPr>
            <w:r>
              <w:rPr>
                <w:rFonts w:ascii="Arial" w:cs="Arial" w:eastAsia="Arial" w:hAnsi="Arial"/>
                <w:sz w:val="18"/>
                <w:szCs w:val="18"/>
                <w:color w:val="0000EE"/>
              </w:rPr>
              <w:t>Compensation Overview</w:t>
            </w:r>
          </w:p>
        </w:tc>
        <w:tc>
          <w:tcPr>
            <w:tcW w:w="36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4"/>
          </w:tcPr>
          <w:p>
            <w:pPr>
              <w:spacing w:after="0"/>
              <w:rPr>
                <w:sz w:val="15"/>
                <w:szCs w:val="15"/>
                <w:color w:val="auto"/>
              </w:rPr>
            </w:pPr>
          </w:p>
        </w:tc>
        <w:tc>
          <w:tcPr>
            <w:tcW w:w="4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49</w:t>
            </w:r>
          </w:p>
        </w:tc>
        <w:tc>
          <w:tcPr>
            <w:tcW w:w="0" w:type="dxa"/>
            <w:vAlign w:val="bottom"/>
          </w:tcPr>
          <w:p>
            <w:pPr>
              <w:spacing w:after="0"/>
              <w:rPr>
                <w:sz w:val="1"/>
                <w:szCs w:val="1"/>
                <w:color w:val="auto"/>
              </w:rPr>
            </w:pPr>
          </w:p>
        </w:tc>
      </w:tr>
      <w:tr>
        <w:trPr>
          <w:trHeight w:val="181"/>
        </w:trPr>
        <w:tc>
          <w:tcPr>
            <w:tcW w:w="1940" w:type="dxa"/>
            <w:vAlign w:val="bottom"/>
            <w:tcBorders>
              <w:top w:val="single" w:sz="8" w:color="0000EE"/>
              <w:bottom w:val="single" w:sz="8" w:color="0000EE"/>
            </w:tcBorders>
            <w:gridSpan w:val="10"/>
          </w:tcPr>
          <w:p>
            <w:pPr>
              <w:spacing w:after="0" w:line="181" w:lineRule="exact"/>
              <w:rPr>
                <w:sz w:val="20"/>
                <w:szCs w:val="20"/>
                <w:color w:val="auto"/>
              </w:rPr>
            </w:pPr>
            <w:r>
              <w:rPr>
                <w:rFonts w:ascii="Arial" w:cs="Arial" w:eastAsia="Arial" w:hAnsi="Arial"/>
                <w:sz w:val="18"/>
                <w:szCs w:val="18"/>
                <w:color w:val="0000EE"/>
                <w:w w:val="96"/>
              </w:rPr>
              <w:t>Compensation Principles</w:t>
            </w: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60" w:type="dxa"/>
            <w:vAlign w:val="bottom"/>
            <w:gridSpan w:val="7"/>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4"/>
          </w:tcPr>
          <w:p>
            <w:pPr>
              <w:spacing w:after="0"/>
              <w:rPr>
                <w:sz w:val="15"/>
                <w:szCs w:val="15"/>
                <w:color w:val="auto"/>
              </w:rPr>
            </w:pPr>
          </w:p>
        </w:tc>
        <w:tc>
          <w:tcPr>
            <w:tcW w:w="4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55</w:t>
            </w:r>
          </w:p>
        </w:tc>
        <w:tc>
          <w:tcPr>
            <w:tcW w:w="0" w:type="dxa"/>
            <w:vAlign w:val="bottom"/>
          </w:tcPr>
          <w:p>
            <w:pPr>
              <w:spacing w:after="0"/>
              <w:rPr>
                <w:sz w:val="1"/>
                <w:szCs w:val="1"/>
                <w:color w:val="auto"/>
              </w:rPr>
            </w:pPr>
          </w:p>
        </w:tc>
      </w:tr>
      <w:tr>
        <w:trPr>
          <w:trHeight w:val="181"/>
        </w:trPr>
        <w:tc>
          <w:tcPr>
            <w:tcW w:w="1980" w:type="dxa"/>
            <w:vAlign w:val="bottom"/>
            <w:gridSpan w:val="12"/>
          </w:tcPr>
          <w:p>
            <w:pPr>
              <w:spacing w:after="0" w:line="181" w:lineRule="exact"/>
              <w:rPr>
                <w:sz w:val="20"/>
                <w:szCs w:val="20"/>
                <w:color w:val="auto"/>
              </w:rPr>
            </w:pPr>
            <w:r>
              <w:rPr>
                <w:rFonts w:ascii="Arial" w:cs="Arial" w:eastAsia="Arial" w:hAnsi="Arial"/>
                <w:sz w:val="18"/>
                <w:szCs w:val="18"/>
                <w:color w:val="0000EE"/>
                <w:w w:val="99"/>
              </w:rPr>
              <w:t>Compensation Elements</w:t>
            </w:r>
          </w:p>
        </w:tc>
        <w:tc>
          <w:tcPr>
            <w:tcW w:w="560" w:type="dxa"/>
            <w:vAlign w:val="bottom"/>
            <w:gridSpan w:val="7"/>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4"/>
          </w:tcPr>
          <w:p>
            <w:pPr>
              <w:spacing w:after="0"/>
              <w:rPr>
                <w:sz w:val="15"/>
                <w:szCs w:val="15"/>
                <w:color w:val="auto"/>
              </w:rPr>
            </w:pPr>
          </w:p>
        </w:tc>
        <w:tc>
          <w:tcPr>
            <w:tcW w:w="4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55</w:t>
            </w:r>
          </w:p>
        </w:tc>
        <w:tc>
          <w:tcPr>
            <w:tcW w:w="0" w:type="dxa"/>
            <w:vAlign w:val="bottom"/>
          </w:tcPr>
          <w:p>
            <w:pPr>
              <w:spacing w:after="0"/>
              <w:rPr>
                <w:sz w:val="1"/>
                <w:szCs w:val="1"/>
                <w:color w:val="auto"/>
              </w:rPr>
            </w:pPr>
          </w:p>
        </w:tc>
      </w:tr>
      <w:tr>
        <w:trPr>
          <w:trHeight w:val="181"/>
        </w:trPr>
        <w:tc>
          <w:tcPr>
            <w:tcW w:w="1860" w:type="dxa"/>
            <w:vAlign w:val="bottom"/>
            <w:tcBorders>
              <w:top w:val="single" w:sz="8" w:color="0000EE"/>
              <w:bottom w:val="single" w:sz="8" w:color="0000EE"/>
            </w:tcBorders>
            <w:gridSpan w:val="9"/>
          </w:tcPr>
          <w:p>
            <w:pPr>
              <w:spacing w:after="0" w:line="181" w:lineRule="exact"/>
              <w:rPr>
                <w:sz w:val="20"/>
                <w:szCs w:val="20"/>
                <w:color w:val="auto"/>
              </w:rPr>
            </w:pPr>
            <w:r>
              <w:rPr>
                <w:rFonts w:ascii="Arial" w:cs="Arial" w:eastAsia="Arial" w:hAnsi="Arial"/>
                <w:sz w:val="18"/>
                <w:szCs w:val="18"/>
                <w:color w:val="0000EE"/>
                <w:w w:val="98"/>
              </w:rPr>
              <w:t>Performance Measures</w:t>
            </w:r>
          </w:p>
        </w:tc>
        <w:tc>
          <w:tcPr>
            <w:tcW w:w="100" w:type="dxa"/>
            <w:vAlign w:val="bottom"/>
            <w:tcBorders>
              <w:top w:val="single" w:sz="8" w:color="0000EE"/>
            </w:tcBorders>
            <w:gridSpan w:val="2"/>
          </w:tcPr>
          <w:p>
            <w:pPr>
              <w:spacing w:after="0"/>
              <w:rPr>
                <w:sz w:val="15"/>
                <w:szCs w:val="15"/>
                <w:color w:val="auto"/>
              </w:rPr>
            </w:pPr>
          </w:p>
        </w:tc>
        <w:tc>
          <w:tcPr>
            <w:tcW w:w="580" w:type="dxa"/>
            <w:vAlign w:val="bottom"/>
            <w:gridSpan w:val="8"/>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4"/>
          </w:tcPr>
          <w:p>
            <w:pPr>
              <w:spacing w:after="0"/>
              <w:rPr>
                <w:sz w:val="15"/>
                <w:szCs w:val="15"/>
                <w:color w:val="auto"/>
              </w:rPr>
            </w:pPr>
          </w:p>
        </w:tc>
        <w:tc>
          <w:tcPr>
            <w:tcW w:w="4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57</w:t>
            </w:r>
          </w:p>
        </w:tc>
        <w:tc>
          <w:tcPr>
            <w:tcW w:w="0" w:type="dxa"/>
            <w:vAlign w:val="bottom"/>
          </w:tcPr>
          <w:p>
            <w:pPr>
              <w:spacing w:after="0"/>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Performance Results and Compensation Decisions</w:t>
            </w: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60</w:t>
            </w:r>
          </w:p>
        </w:tc>
        <w:tc>
          <w:tcPr>
            <w:tcW w:w="0" w:type="dxa"/>
            <w:vAlign w:val="bottom"/>
          </w:tcPr>
          <w:p>
            <w:pPr>
              <w:spacing w:after="0"/>
              <w:rPr>
                <w:sz w:val="1"/>
                <w:szCs w:val="1"/>
                <w:color w:val="auto"/>
              </w:rPr>
            </w:pPr>
          </w:p>
        </w:tc>
      </w:tr>
      <w:tr>
        <w:trPr>
          <w:trHeight w:val="181"/>
        </w:trPr>
        <w:tc>
          <w:tcPr>
            <w:tcW w:w="4040" w:type="dxa"/>
            <w:vAlign w:val="bottom"/>
            <w:tcBorders>
              <w:top w:val="single" w:sz="8" w:color="0000EE"/>
            </w:tcBorders>
            <w:gridSpan w:val="32"/>
          </w:tcPr>
          <w:p>
            <w:pPr>
              <w:spacing w:after="0" w:line="181" w:lineRule="exact"/>
              <w:rPr>
                <w:sz w:val="20"/>
                <w:szCs w:val="20"/>
                <w:color w:val="auto"/>
              </w:rPr>
            </w:pPr>
            <w:r>
              <w:rPr>
                <w:rFonts w:ascii="Arial" w:cs="Arial" w:eastAsia="Arial" w:hAnsi="Arial"/>
                <w:sz w:val="18"/>
                <w:szCs w:val="18"/>
                <w:color w:val="0000EE"/>
              </w:rPr>
              <w:t>Compensation Policies and Governance Practices</w:t>
            </w: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66</w:t>
            </w:r>
          </w:p>
        </w:tc>
        <w:tc>
          <w:tcPr>
            <w:tcW w:w="0" w:type="dxa"/>
            <w:vAlign w:val="bottom"/>
          </w:tcPr>
          <w:p>
            <w:pPr>
              <w:spacing w:after="0"/>
              <w:rPr>
                <w:sz w:val="1"/>
                <w:szCs w:val="1"/>
                <w:color w:val="auto"/>
              </w:rPr>
            </w:pPr>
          </w:p>
        </w:tc>
      </w:tr>
      <w:tr>
        <w:trPr>
          <w:trHeight w:val="181"/>
        </w:trPr>
        <w:tc>
          <w:tcPr>
            <w:tcW w:w="3980" w:type="dxa"/>
            <w:vAlign w:val="bottom"/>
            <w:tcBorders>
              <w:top w:val="single" w:sz="8" w:color="0000EE"/>
            </w:tcBorders>
            <w:gridSpan w:val="31"/>
          </w:tcPr>
          <w:p>
            <w:pPr>
              <w:spacing w:after="0" w:line="181" w:lineRule="exact"/>
              <w:rPr>
                <w:sz w:val="20"/>
                <w:szCs w:val="20"/>
                <w:color w:val="auto"/>
              </w:rPr>
            </w:pPr>
            <w:r>
              <w:rPr>
                <w:rFonts w:ascii="Arial" w:cs="Arial" w:eastAsia="Arial" w:hAnsi="Arial"/>
                <w:sz w:val="18"/>
                <w:szCs w:val="18"/>
                <w:color w:val="0000EE"/>
              </w:rPr>
              <w:t>Compensation Committee Report</w:t>
            </w:r>
          </w:p>
        </w:tc>
        <w:tc>
          <w:tcPr>
            <w:tcW w:w="180" w:type="dxa"/>
            <w:vAlign w:val="bottom"/>
            <w:gridSpan w:val="2"/>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69</w:t>
            </w:r>
          </w:p>
        </w:tc>
        <w:tc>
          <w:tcPr>
            <w:tcW w:w="0" w:type="dxa"/>
            <w:vAlign w:val="bottom"/>
          </w:tcPr>
          <w:p>
            <w:pPr>
              <w:spacing w:after="0"/>
              <w:rPr>
                <w:sz w:val="1"/>
                <w:szCs w:val="1"/>
                <w:color w:val="auto"/>
              </w:rPr>
            </w:pPr>
          </w:p>
        </w:tc>
      </w:tr>
      <w:tr>
        <w:trPr>
          <w:trHeight w:val="181"/>
        </w:trPr>
        <w:tc>
          <w:tcPr>
            <w:tcW w:w="2660" w:type="dxa"/>
            <w:vAlign w:val="bottom"/>
            <w:tcBorders>
              <w:top w:val="single" w:sz="8" w:color="0000EE"/>
            </w:tcBorders>
            <w:gridSpan w:val="21"/>
          </w:tcPr>
          <w:p>
            <w:pPr>
              <w:spacing w:after="0" w:line="181" w:lineRule="exact"/>
              <w:rPr>
                <w:sz w:val="20"/>
                <w:szCs w:val="20"/>
                <w:color w:val="auto"/>
              </w:rPr>
            </w:pPr>
            <w:r>
              <w:rPr>
                <w:rFonts w:ascii="Arial" w:cs="Arial" w:eastAsia="Arial" w:hAnsi="Arial"/>
                <w:sz w:val="18"/>
                <w:szCs w:val="18"/>
                <w:color w:val="0000EE"/>
              </w:rPr>
              <w:t>Executive Compensation Tables</w:t>
            </w:r>
          </w:p>
        </w:tc>
        <w:tc>
          <w:tcPr>
            <w:tcW w:w="380" w:type="dxa"/>
            <w:vAlign w:val="bottom"/>
            <w:gridSpan w:val="2"/>
          </w:tcPr>
          <w:p>
            <w:pPr>
              <w:spacing w:after="0"/>
              <w:rPr>
                <w:sz w:val="15"/>
                <w:szCs w:val="15"/>
                <w:color w:val="auto"/>
              </w:rPr>
            </w:pPr>
          </w:p>
        </w:tc>
        <w:tc>
          <w:tcPr>
            <w:tcW w:w="480" w:type="dxa"/>
            <w:vAlign w:val="bottom"/>
            <w:gridSpan w:val="4"/>
          </w:tcPr>
          <w:p>
            <w:pPr>
              <w:spacing w:after="0"/>
              <w:rPr>
                <w:sz w:val="15"/>
                <w:szCs w:val="15"/>
                <w:color w:val="auto"/>
              </w:rPr>
            </w:pPr>
          </w:p>
        </w:tc>
        <w:tc>
          <w:tcPr>
            <w:tcW w:w="640" w:type="dxa"/>
            <w:vAlign w:val="bottom"/>
            <w:gridSpan w:val="6"/>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70</w:t>
            </w:r>
          </w:p>
        </w:tc>
        <w:tc>
          <w:tcPr>
            <w:tcW w:w="0" w:type="dxa"/>
            <w:vAlign w:val="bottom"/>
          </w:tcPr>
          <w:p>
            <w:pPr>
              <w:spacing w:after="0"/>
              <w:rPr>
                <w:sz w:val="1"/>
                <w:szCs w:val="1"/>
                <w:color w:val="auto"/>
              </w:rPr>
            </w:pPr>
          </w:p>
        </w:tc>
      </w:tr>
      <w:tr>
        <w:trPr>
          <w:trHeight w:val="181"/>
        </w:trPr>
        <w:tc>
          <w:tcPr>
            <w:tcW w:w="1220" w:type="dxa"/>
            <w:vAlign w:val="bottom"/>
            <w:tcBorders>
              <w:top w:val="single" w:sz="8" w:color="0000EE"/>
              <w:bottom w:val="single" w:sz="8" w:color="0000EE"/>
            </w:tcBorders>
            <w:gridSpan w:val="4"/>
          </w:tcPr>
          <w:p>
            <w:pPr>
              <w:spacing w:after="0" w:line="181" w:lineRule="exact"/>
              <w:rPr>
                <w:sz w:val="20"/>
                <w:szCs w:val="20"/>
                <w:color w:val="auto"/>
              </w:rPr>
            </w:pPr>
            <w:r>
              <w:rPr>
                <w:rFonts w:ascii="Arial" w:cs="Arial" w:eastAsia="Arial" w:hAnsi="Arial"/>
                <w:sz w:val="18"/>
                <w:szCs w:val="18"/>
                <w:color w:val="0000EE"/>
                <w:w w:val="98"/>
              </w:rPr>
              <w:t>CEO Pay Ratio</w:t>
            </w:r>
          </w:p>
        </w:tc>
        <w:tc>
          <w:tcPr>
            <w:tcW w:w="1320" w:type="dxa"/>
            <w:vAlign w:val="bottom"/>
            <w:tcBorders>
              <w:top w:val="single" w:sz="8" w:color="0000EE"/>
            </w:tcBorders>
            <w:gridSpan w:val="15"/>
          </w:tcPr>
          <w:p>
            <w:pPr>
              <w:spacing w:after="0"/>
              <w:rPr>
                <w:sz w:val="15"/>
                <w:szCs w:val="15"/>
                <w:color w:val="auto"/>
              </w:rPr>
            </w:pPr>
          </w:p>
        </w:tc>
        <w:tc>
          <w:tcPr>
            <w:tcW w:w="500" w:type="dxa"/>
            <w:vAlign w:val="bottom"/>
            <w:gridSpan w:val="4"/>
          </w:tcPr>
          <w:p>
            <w:pPr>
              <w:spacing w:after="0"/>
              <w:rPr>
                <w:sz w:val="15"/>
                <w:szCs w:val="15"/>
                <w:color w:val="auto"/>
              </w:rPr>
            </w:pPr>
          </w:p>
        </w:tc>
        <w:tc>
          <w:tcPr>
            <w:tcW w:w="480" w:type="dxa"/>
            <w:vAlign w:val="bottom"/>
            <w:gridSpan w:val="4"/>
          </w:tcPr>
          <w:p>
            <w:pPr>
              <w:spacing w:after="0"/>
              <w:rPr>
                <w:sz w:val="15"/>
                <w:szCs w:val="15"/>
                <w:color w:val="auto"/>
              </w:rPr>
            </w:pPr>
          </w:p>
        </w:tc>
        <w:tc>
          <w:tcPr>
            <w:tcW w:w="640" w:type="dxa"/>
            <w:vAlign w:val="bottom"/>
            <w:gridSpan w:val="6"/>
          </w:tcPr>
          <w:p>
            <w:pPr>
              <w:spacing w:after="0"/>
              <w:rPr>
                <w:sz w:val="15"/>
                <w:szCs w:val="15"/>
                <w:color w:val="auto"/>
              </w:rPr>
            </w:pPr>
          </w:p>
        </w:tc>
        <w:tc>
          <w:tcPr>
            <w:tcW w:w="680" w:type="dxa"/>
            <w:vAlign w:val="bottom"/>
            <w:gridSpan w:val="6"/>
          </w:tcPr>
          <w:p>
            <w:pPr>
              <w:spacing w:after="0"/>
              <w:rPr>
                <w:sz w:val="15"/>
                <w:szCs w:val="15"/>
                <w:color w:val="auto"/>
              </w:rPr>
            </w:pPr>
          </w:p>
        </w:tc>
        <w:tc>
          <w:tcPr>
            <w:tcW w:w="82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81</w:t>
            </w:r>
          </w:p>
        </w:tc>
        <w:tc>
          <w:tcPr>
            <w:tcW w:w="0" w:type="dxa"/>
            <w:vAlign w:val="bottom"/>
          </w:tcPr>
          <w:p>
            <w:pPr>
              <w:spacing w:after="0"/>
              <w:rPr>
                <w:sz w:val="1"/>
                <w:szCs w:val="1"/>
                <w:color w:val="auto"/>
              </w:rPr>
            </w:pPr>
          </w:p>
        </w:tc>
      </w:tr>
      <w:tr>
        <w:trPr>
          <w:trHeight w:val="181"/>
        </w:trPr>
        <w:tc>
          <w:tcPr>
            <w:tcW w:w="10280" w:type="dxa"/>
            <w:vAlign w:val="bottom"/>
            <w:gridSpan w:val="46"/>
          </w:tcPr>
          <w:p>
            <w:pPr>
              <w:spacing w:after="0" w:line="181" w:lineRule="exact"/>
              <w:rPr>
                <w:sz w:val="20"/>
                <w:szCs w:val="20"/>
                <w:color w:val="auto"/>
              </w:rPr>
            </w:pPr>
            <w:r>
              <w:rPr>
                <w:rFonts w:ascii="Arial" w:cs="Arial" w:eastAsia="Arial" w:hAnsi="Arial"/>
                <w:sz w:val="18"/>
                <w:szCs w:val="18"/>
                <w:color w:val="0000EE"/>
              </w:rPr>
              <w:t>Equity Compensation Plan Information</w:t>
            </w:r>
          </w:p>
        </w:tc>
        <w:tc>
          <w:tcPr>
            <w:tcW w:w="640" w:type="dxa"/>
            <w:vAlign w:val="bottom"/>
          </w:tcPr>
          <w:p>
            <w:pPr>
              <w:jc w:val="right"/>
              <w:spacing w:after="0" w:line="181" w:lineRule="exact"/>
              <w:rPr>
                <w:sz w:val="20"/>
                <w:szCs w:val="20"/>
                <w:color w:val="auto"/>
              </w:rPr>
            </w:pPr>
            <w:r>
              <w:rPr>
                <w:rFonts w:ascii="Arial" w:cs="Arial" w:eastAsia="Arial" w:hAnsi="Arial"/>
                <w:sz w:val="18"/>
                <w:szCs w:val="18"/>
                <w:i w:val="1"/>
                <w:iCs w:val="1"/>
                <w:color w:val="3E3935"/>
              </w:rPr>
              <w:t>82</w:t>
            </w:r>
          </w:p>
        </w:tc>
        <w:tc>
          <w:tcPr>
            <w:tcW w:w="0" w:type="dxa"/>
            <w:vAlign w:val="bottom"/>
          </w:tcPr>
          <w:p>
            <w:pPr>
              <w:spacing w:after="0"/>
              <w:rPr>
                <w:sz w:val="1"/>
                <w:szCs w:val="1"/>
                <w:color w:val="auto"/>
              </w:rPr>
            </w:pPr>
          </w:p>
        </w:tc>
      </w:tr>
      <w:tr>
        <w:trPr>
          <w:trHeight w:val="20"/>
        </w:trPr>
        <w:tc>
          <w:tcPr>
            <w:tcW w:w="3040" w:type="dxa"/>
            <w:vAlign w:val="bottom"/>
            <w:gridSpan w:val="2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0280" w:type="dxa"/>
            <w:vAlign w:val="bottom"/>
            <w:gridSpan w:val="46"/>
          </w:tcPr>
          <w:p>
            <w:pPr>
              <w:spacing w:after="0"/>
              <w:rPr>
                <w:sz w:val="20"/>
                <w:szCs w:val="20"/>
                <w:color w:val="auto"/>
              </w:rPr>
            </w:pPr>
            <w:r>
              <w:rPr>
                <w:rFonts w:ascii="Arial" w:cs="Arial" w:eastAsia="Arial" w:hAnsi="Arial"/>
                <w:sz w:val="18"/>
                <w:szCs w:val="18"/>
                <w:b w:val="1"/>
                <w:bCs w:val="1"/>
                <w:color w:val="0000EE"/>
              </w:rPr>
              <w:t>ITEM NO. 2 – PROPOSAL TO APPROVE, ON AN ADVISORY BASIS, NAMED EXECUTIVE OFFICER COMPENSATION</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3E3935"/>
              </w:rPr>
              <w:t>83</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520" w:type="dxa"/>
            <w:vAlign w:val="bottom"/>
            <w:tcBorders>
              <w:top w:val="single" w:sz="8" w:color="0000EE"/>
              <w:bottom w:val="single" w:sz="8" w:color="3E3935"/>
            </w:tcBorders>
          </w:tcPr>
          <w:p>
            <w:pPr>
              <w:spacing w:after="0" w:line="20" w:lineRule="exact"/>
              <w:rPr>
                <w:sz w:val="1"/>
                <w:szCs w:val="1"/>
                <w:color w:val="auto"/>
              </w:rPr>
            </w:pPr>
          </w:p>
        </w:tc>
        <w:tc>
          <w:tcPr>
            <w:tcW w:w="300" w:type="dxa"/>
            <w:vAlign w:val="bottom"/>
            <w:tcBorders>
              <w:top w:val="single" w:sz="8" w:color="0000EE"/>
              <w:bottom w:val="single" w:sz="8" w:color="3E3935"/>
            </w:tcBorders>
          </w:tcPr>
          <w:p>
            <w:pPr>
              <w:spacing w:after="0" w:line="20" w:lineRule="exact"/>
              <w:rPr>
                <w:sz w:val="1"/>
                <w:szCs w:val="1"/>
                <w:color w:val="auto"/>
              </w:rPr>
            </w:pPr>
          </w:p>
        </w:tc>
        <w:tc>
          <w:tcPr>
            <w:tcW w:w="2680" w:type="dxa"/>
            <w:vAlign w:val="bottom"/>
            <w:tcBorders>
              <w:top w:val="single" w:sz="8" w:color="0000EE"/>
              <w:bottom w:val="single" w:sz="8" w:color="3E3935"/>
            </w:tcBorders>
          </w:tcPr>
          <w:p>
            <w:pPr>
              <w:spacing w:after="0" w:line="20" w:lineRule="exact"/>
              <w:rPr>
                <w:sz w:val="1"/>
                <w:szCs w:val="1"/>
                <w:color w:val="auto"/>
              </w:rPr>
            </w:pPr>
          </w:p>
        </w:tc>
        <w:tc>
          <w:tcPr>
            <w:tcW w:w="14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280" w:type="dxa"/>
            <w:vAlign w:val="bottom"/>
            <w:gridSpan w:val="46"/>
          </w:tcPr>
          <w:p>
            <w:pPr>
              <w:spacing w:after="0"/>
              <w:rPr>
                <w:sz w:val="20"/>
                <w:szCs w:val="20"/>
                <w:color w:val="auto"/>
              </w:rPr>
            </w:pPr>
            <w:r>
              <w:rPr>
                <w:rFonts w:ascii="Arial" w:cs="Arial" w:eastAsia="Arial" w:hAnsi="Arial"/>
                <w:sz w:val="18"/>
                <w:szCs w:val="18"/>
                <w:b w:val="1"/>
                <w:bCs w:val="1"/>
                <w:color w:val="0000EE"/>
              </w:rPr>
              <w:t>ITEM NO. 3 – PROPOSAL TO RATIFY THE SELECTION OF ERNST &amp; YOUNG LLP AS THE COMPANY’S INDEPENDENT</w:t>
            </w:r>
          </w:p>
        </w:tc>
        <w:tc>
          <w:tcPr>
            <w:tcW w:w="6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85</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820" w:type="dxa"/>
            <w:vAlign w:val="bottom"/>
            <w:tcBorders>
              <w:top w:val="single" w:sz="8" w:color="0000EE"/>
            </w:tcBorders>
            <w:gridSpan w:val="41"/>
          </w:tcPr>
          <w:p>
            <w:pPr>
              <w:ind w:left="40"/>
              <w:spacing w:after="0" w:line="181" w:lineRule="exact"/>
              <w:rPr>
                <w:sz w:val="20"/>
                <w:szCs w:val="20"/>
                <w:color w:val="auto"/>
              </w:rPr>
            </w:pPr>
            <w:r>
              <w:rPr>
                <w:rFonts w:ascii="Arial" w:cs="Arial" w:eastAsia="Arial" w:hAnsi="Arial"/>
                <w:sz w:val="18"/>
                <w:szCs w:val="18"/>
                <w:b w:val="1"/>
                <w:bCs w:val="1"/>
                <w:color w:val="0000EE"/>
              </w:rPr>
              <w:t>REGISTERED PUBLIC ACCOUNTING FIRM FOR 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520" w:type="dxa"/>
            <w:vAlign w:val="bottom"/>
            <w:tcBorders>
              <w:top w:val="single" w:sz="8" w:color="0000EE"/>
              <w:bottom w:val="single" w:sz="8" w:color="3E3935"/>
            </w:tcBorders>
          </w:tcPr>
          <w:p>
            <w:pPr>
              <w:spacing w:after="0" w:line="20" w:lineRule="exact"/>
              <w:rPr>
                <w:sz w:val="1"/>
                <w:szCs w:val="1"/>
                <w:color w:val="auto"/>
              </w:rPr>
            </w:pPr>
          </w:p>
        </w:tc>
        <w:tc>
          <w:tcPr>
            <w:tcW w:w="300" w:type="dxa"/>
            <w:vAlign w:val="bottom"/>
            <w:tcBorders>
              <w:top w:val="single" w:sz="8" w:color="0000EE"/>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80" w:type="dxa"/>
            <w:vAlign w:val="bottom"/>
            <w:gridSpan w:val="46"/>
          </w:tcPr>
          <w:p>
            <w:pPr>
              <w:spacing w:after="0"/>
              <w:rPr>
                <w:sz w:val="20"/>
                <w:szCs w:val="20"/>
                <w:color w:val="auto"/>
              </w:rPr>
            </w:pPr>
            <w:r>
              <w:rPr>
                <w:rFonts w:ascii="Arial" w:cs="Arial" w:eastAsia="Arial" w:hAnsi="Arial"/>
                <w:sz w:val="18"/>
                <w:szCs w:val="18"/>
                <w:b w:val="1"/>
                <w:bCs w:val="1"/>
                <w:color w:val="0000EE"/>
              </w:rPr>
              <w:t>ITEM NO. 4 – SHAREHOLDER PROPOSAL TO LOWER THE OWNERSHIP THRESHOLD TO CALL A SPECIAL MEETING</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3E3935"/>
              </w:rPr>
              <w:t>86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520" w:type="dxa"/>
            <w:vAlign w:val="bottom"/>
            <w:tcBorders>
              <w:top w:val="single" w:sz="8" w:color="0000EE"/>
              <w:bottom w:val="single" w:sz="8" w:color="3E3935"/>
            </w:tcBorders>
          </w:tcPr>
          <w:p>
            <w:pPr>
              <w:spacing w:after="0" w:line="20" w:lineRule="exact"/>
              <w:rPr>
                <w:sz w:val="1"/>
                <w:szCs w:val="1"/>
                <w:color w:val="auto"/>
              </w:rPr>
            </w:pPr>
          </w:p>
        </w:tc>
        <w:tc>
          <w:tcPr>
            <w:tcW w:w="300" w:type="dxa"/>
            <w:vAlign w:val="bottom"/>
            <w:tcBorders>
              <w:top w:val="single" w:sz="8" w:color="0000EE"/>
              <w:bottom w:val="single" w:sz="8" w:color="3E3935"/>
            </w:tcBorders>
          </w:tcPr>
          <w:p>
            <w:pPr>
              <w:spacing w:after="0" w:line="20" w:lineRule="exact"/>
              <w:rPr>
                <w:sz w:val="1"/>
                <w:szCs w:val="1"/>
                <w:color w:val="auto"/>
              </w:rPr>
            </w:pPr>
          </w:p>
        </w:tc>
        <w:tc>
          <w:tcPr>
            <w:tcW w:w="2680" w:type="dxa"/>
            <w:vAlign w:val="bottom"/>
            <w:tcBorders>
              <w:top w:val="single" w:sz="8" w:color="0000EE"/>
              <w:bottom w:val="single" w:sz="8" w:color="3E3935"/>
            </w:tcBorders>
          </w:tcPr>
          <w:p>
            <w:pPr>
              <w:spacing w:after="0" w:line="20" w:lineRule="exact"/>
              <w:rPr>
                <w:sz w:val="1"/>
                <w:szCs w:val="1"/>
                <w:color w:val="auto"/>
              </w:rPr>
            </w:pPr>
          </w:p>
        </w:tc>
        <w:tc>
          <w:tcPr>
            <w:tcW w:w="14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80" w:type="dxa"/>
            <w:vAlign w:val="bottom"/>
            <w:gridSpan w:val="46"/>
          </w:tcPr>
          <w:p>
            <w:pPr>
              <w:spacing w:after="0"/>
              <w:rPr>
                <w:sz w:val="20"/>
                <w:szCs w:val="20"/>
                <w:color w:val="auto"/>
              </w:rPr>
            </w:pPr>
            <w:r>
              <w:rPr>
                <w:rFonts w:ascii="Arial" w:cs="Arial" w:eastAsia="Arial" w:hAnsi="Arial"/>
                <w:sz w:val="18"/>
                <w:szCs w:val="18"/>
                <w:b w:val="1"/>
                <w:bCs w:val="1"/>
                <w:color w:val="0000EE"/>
              </w:rPr>
              <w:t>ITEM NO. 5 – SHAREHOLDER PROPOSAL REGARDING SEPARATION OF CHAIR AND CEO ROLES</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3E3935"/>
              </w:rPr>
              <w:t>88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520" w:type="dxa"/>
            <w:vAlign w:val="bottom"/>
            <w:tcBorders>
              <w:top w:val="single" w:sz="8" w:color="0000EE"/>
              <w:bottom w:val="single" w:sz="8" w:color="3E3935"/>
            </w:tcBorders>
          </w:tcPr>
          <w:p>
            <w:pPr>
              <w:spacing w:after="0" w:line="20" w:lineRule="exact"/>
              <w:rPr>
                <w:sz w:val="1"/>
                <w:szCs w:val="1"/>
                <w:color w:val="auto"/>
              </w:rPr>
            </w:pPr>
          </w:p>
        </w:tc>
        <w:tc>
          <w:tcPr>
            <w:tcW w:w="300" w:type="dxa"/>
            <w:vAlign w:val="bottom"/>
            <w:tcBorders>
              <w:top w:val="single" w:sz="8" w:color="0000EE"/>
              <w:bottom w:val="single" w:sz="8" w:color="3E3935"/>
            </w:tcBorders>
          </w:tcPr>
          <w:p>
            <w:pPr>
              <w:spacing w:after="0" w:line="20" w:lineRule="exact"/>
              <w:rPr>
                <w:sz w:val="1"/>
                <w:szCs w:val="1"/>
                <w:color w:val="auto"/>
              </w:rPr>
            </w:pPr>
          </w:p>
        </w:tc>
        <w:tc>
          <w:tcPr>
            <w:tcW w:w="2680" w:type="dxa"/>
            <w:vAlign w:val="bottom"/>
            <w:tcBorders>
              <w:top w:val="single" w:sz="8" w:color="0000EE"/>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80" w:type="dxa"/>
            <w:vAlign w:val="bottom"/>
            <w:gridSpan w:val="46"/>
          </w:tcPr>
          <w:p>
            <w:pPr>
              <w:spacing w:after="0"/>
              <w:rPr>
                <w:sz w:val="20"/>
                <w:szCs w:val="20"/>
                <w:color w:val="auto"/>
              </w:rPr>
            </w:pPr>
            <w:r>
              <w:rPr>
                <w:rFonts w:ascii="Arial" w:cs="Arial" w:eastAsia="Arial" w:hAnsi="Arial"/>
                <w:sz w:val="18"/>
                <w:szCs w:val="18"/>
                <w:b w:val="1"/>
                <w:bCs w:val="1"/>
                <w:color w:val="0000EE"/>
              </w:rPr>
              <w:t>ITEM NO. 6 – SHAREHOLDER PROPOSAL REQUESTING A REPORT ON THE USE OF CHILD LABOR IN CONNECTION</w:t>
            </w:r>
          </w:p>
        </w:tc>
        <w:tc>
          <w:tcPr>
            <w:tcW w:w="6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90</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820" w:type="dxa"/>
            <w:vAlign w:val="bottom"/>
            <w:tcBorders>
              <w:top w:val="single" w:sz="8" w:color="0000EE"/>
            </w:tcBorders>
            <w:gridSpan w:val="41"/>
          </w:tcPr>
          <w:p>
            <w:pPr>
              <w:ind w:left="40"/>
              <w:spacing w:after="0" w:line="181" w:lineRule="exact"/>
              <w:rPr>
                <w:sz w:val="20"/>
                <w:szCs w:val="20"/>
                <w:color w:val="auto"/>
              </w:rPr>
            </w:pPr>
            <w:r>
              <w:rPr>
                <w:rFonts w:ascii="Arial" w:cs="Arial" w:eastAsia="Arial" w:hAnsi="Arial"/>
                <w:sz w:val="18"/>
                <w:szCs w:val="18"/>
                <w:b w:val="1"/>
                <w:bCs w:val="1"/>
                <w:color w:val="0000EE"/>
              </w:rPr>
              <w:t>WITH ELECTRIC VEHICLES</w:t>
            </w:r>
          </w:p>
        </w:tc>
        <w:tc>
          <w:tcPr>
            <w:tcW w:w="32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80" w:type="dxa"/>
            <w:vAlign w:val="bottom"/>
            <w:gridSpan w:val="46"/>
          </w:tcPr>
          <w:p>
            <w:pPr>
              <w:spacing w:after="0"/>
              <w:rPr>
                <w:sz w:val="20"/>
                <w:szCs w:val="20"/>
                <w:color w:val="auto"/>
              </w:rPr>
            </w:pPr>
            <w:r>
              <w:rPr>
                <w:rFonts w:ascii="Arial" w:cs="Arial" w:eastAsia="Arial" w:hAnsi="Arial"/>
                <w:sz w:val="18"/>
                <w:szCs w:val="18"/>
                <w:color w:val="0000EE"/>
              </w:rPr>
              <w:t>GENERAL INFORMATION ABOUT THE ANNUAL MEETING</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92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80" w:type="dxa"/>
            <w:vAlign w:val="bottom"/>
            <w:gridSpan w:val="46"/>
          </w:tcPr>
          <w:p>
            <w:pPr>
              <w:spacing w:after="0"/>
              <w:rPr>
                <w:sz w:val="20"/>
                <w:szCs w:val="20"/>
                <w:color w:val="auto"/>
              </w:rPr>
            </w:pPr>
            <w:r>
              <w:rPr>
                <w:rFonts w:ascii="Arial" w:cs="Arial" w:eastAsia="Arial" w:hAnsi="Arial"/>
                <w:sz w:val="18"/>
                <w:szCs w:val="18"/>
                <w:color w:val="0000EE"/>
              </w:rPr>
              <w:t>APPENDIX A: NON-GAAP FINANCIAL MEASURES</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00C1DE"/>
              </w:rPr>
              <w:t>A-1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7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3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26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30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10700"/>
        <w:spacing w:after="0"/>
        <w:rPr>
          <w:sz w:val="20"/>
          <w:szCs w:val="20"/>
          <w:color w:val="auto"/>
        </w:rPr>
      </w:pPr>
      <w:r>
        <w:rPr>
          <w:rFonts w:ascii="Arial" w:cs="Arial" w:eastAsia="Arial" w:hAnsi="Arial"/>
          <w:sz w:val="14"/>
          <w:szCs w:val="14"/>
          <w:color w:val="0071CE"/>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-95885</wp:posOffset>
            </wp:positionV>
            <wp:extent cx="5927725" cy="101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5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PROXY VOTING ROADMAP</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Shareholders will be asked to vote on the following matters at the Annual Meeting of Shareholders: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8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3E3935"/>
                <w:w w:val="99"/>
              </w:rPr>
              <w:t>BOARD VOTE</w:t>
            </w:r>
          </w:p>
        </w:tc>
        <w:tc>
          <w:tcPr>
            <w:tcW w:w="1500" w:type="dxa"/>
            <w:vAlign w:val="bottom"/>
          </w:tcPr>
          <w:p>
            <w:pPr>
              <w:jc w:val="center"/>
              <w:ind w:left="169"/>
              <w:spacing w:after="0"/>
              <w:rPr>
                <w:sz w:val="20"/>
                <w:szCs w:val="20"/>
                <w:color w:val="auto"/>
              </w:rPr>
            </w:pPr>
            <w:r>
              <w:rPr>
                <w:rFonts w:ascii="Arial" w:cs="Arial" w:eastAsia="Arial" w:hAnsi="Arial"/>
                <w:sz w:val="16"/>
                <w:szCs w:val="16"/>
                <w:b w:val="1"/>
                <w:bCs w:val="1"/>
                <w:color w:val="3E3935"/>
                <w:w w:val="96"/>
              </w:rPr>
              <w:t>PAGE</w:t>
            </w:r>
          </w:p>
        </w:tc>
        <w:tc>
          <w:tcPr>
            <w:tcW w:w="0" w:type="dxa"/>
            <w:vAlign w:val="bottom"/>
          </w:tcPr>
          <w:p>
            <w:pPr>
              <w:spacing w:after="0"/>
              <w:rPr>
                <w:sz w:val="1"/>
                <w:szCs w:val="1"/>
                <w:color w:val="auto"/>
              </w:rPr>
            </w:pPr>
          </w:p>
        </w:tc>
      </w:tr>
      <w:tr>
        <w:trPr>
          <w:trHeight w:val="221"/>
        </w:trPr>
        <w:tc>
          <w:tcPr>
            <w:tcW w:w="800" w:type="dxa"/>
            <w:vAlign w:val="bottom"/>
            <w:tcBorders>
              <w:bottom w:val="single" w:sz="8" w:color="3E3935"/>
            </w:tcBorders>
          </w:tcPr>
          <w:p>
            <w:pPr>
              <w:spacing w:after="0"/>
              <w:rPr>
                <w:sz w:val="19"/>
                <w:szCs w:val="19"/>
                <w:color w:val="auto"/>
              </w:rPr>
            </w:pPr>
          </w:p>
        </w:tc>
        <w:tc>
          <w:tcPr>
            <w:tcW w:w="5960" w:type="dxa"/>
            <w:vAlign w:val="bottom"/>
            <w:tcBorders>
              <w:bottom w:val="single" w:sz="8" w:color="3E3935"/>
            </w:tcBorders>
          </w:tcPr>
          <w:p>
            <w:pPr>
              <w:ind w:left="1820"/>
              <w:spacing w:after="0"/>
              <w:rPr>
                <w:sz w:val="20"/>
                <w:szCs w:val="20"/>
                <w:color w:val="auto"/>
              </w:rPr>
            </w:pPr>
            <w:r>
              <w:rPr>
                <w:rFonts w:ascii="Arial" w:cs="Arial" w:eastAsia="Arial" w:hAnsi="Arial"/>
                <w:sz w:val="16"/>
                <w:szCs w:val="16"/>
                <w:b w:val="1"/>
                <w:bCs w:val="1"/>
                <w:color w:val="3E3935"/>
              </w:rPr>
              <w:t>VOTING MATTER</w:t>
            </w:r>
          </w:p>
        </w:tc>
        <w:tc>
          <w:tcPr>
            <w:tcW w:w="2660" w:type="dxa"/>
            <w:vAlign w:val="bottom"/>
            <w:tcBorders>
              <w:bottom w:val="single" w:sz="8" w:color="3E3935"/>
            </w:tcBorders>
          </w:tcPr>
          <w:p>
            <w:pPr>
              <w:jc w:val="center"/>
              <w:spacing w:after="0"/>
              <w:rPr>
                <w:sz w:val="20"/>
                <w:szCs w:val="20"/>
                <w:color w:val="auto"/>
              </w:rPr>
            </w:pPr>
            <w:r>
              <w:rPr>
                <w:rFonts w:ascii="Arial" w:cs="Arial" w:eastAsia="Arial" w:hAnsi="Arial"/>
                <w:sz w:val="16"/>
                <w:szCs w:val="16"/>
                <w:b w:val="1"/>
                <w:bCs w:val="1"/>
                <w:color w:val="3E3935"/>
                <w:w w:val="99"/>
              </w:rPr>
              <w:t>RECOMMENDATION</w:t>
            </w:r>
          </w:p>
        </w:tc>
        <w:tc>
          <w:tcPr>
            <w:tcW w:w="1500" w:type="dxa"/>
            <w:vAlign w:val="bottom"/>
            <w:tcBorders>
              <w:bottom w:val="single" w:sz="8" w:color="3E3935"/>
            </w:tcBorders>
          </w:tcPr>
          <w:p>
            <w:pPr>
              <w:jc w:val="center"/>
              <w:ind w:left="189"/>
              <w:spacing w:after="0"/>
              <w:rPr>
                <w:sz w:val="20"/>
                <w:szCs w:val="20"/>
                <w:color w:val="auto"/>
              </w:rPr>
            </w:pPr>
            <w:r>
              <w:rPr>
                <w:rFonts w:ascii="Arial" w:cs="Arial" w:eastAsia="Arial" w:hAnsi="Arial"/>
                <w:sz w:val="16"/>
                <w:szCs w:val="16"/>
                <w:b w:val="1"/>
                <w:bCs w:val="1"/>
                <w:color w:val="3E3935"/>
                <w:w w:val="99"/>
              </w:rPr>
              <w:t>REFERENCE</w:t>
            </w:r>
          </w:p>
        </w:tc>
        <w:tc>
          <w:tcPr>
            <w:tcW w:w="0" w:type="dxa"/>
            <w:vAlign w:val="bottom"/>
          </w:tcPr>
          <w:p>
            <w:pPr>
              <w:spacing w:after="0"/>
              <w:rPr>
                <w:sz w:val="1"/>
                <w:szCs w:val="1"/>
                <w:color w:val="auto"/>
              </w:rPr>
            </w:pPr>
          </w:p>
        </w:tc>
      </w:tr>
      <w:tr>
        <w:trPr>
          <w:trHeight w:val="393"/>
        </w:trPr>
        <w:tc>
          <w:tcPr>
            <w:tcW w:w="800" w:type="dxa"/>
            <w:vAlign w:val="bottom"/>
            <w:vMerge w:val="restart"/>
          </w:tcPr>
          <w:p>
            <w:pPr>
              <w:ind w:left="60"/>
              <w:spacing w:after="0"/>
              <w:rPr>
                <w:sz w:val="20"/>
                <w:szCs w:val="20"/>
                <w:color w:val="auto"/>
              </w:rPr>
            </w:pPr>
            <w:r>
              <w:rPr>
                <w:rFonts w:ascii="Arial" w:cs="Arial" w:eastAsia="Arial" w:hAnsi="Arial"/>
                <w:sz w:val="20"/>
                <w:szCs w:val="20"/>
                <w:b w:val="1"/>
                <w:bCs w:val="1"/>
                <w:color w:val="3E3935"/>
                <w:w w:val="86"/>
              </w:rPr>
              <w:t>Item 1</w:t>
            </w:r>
            <w:r>
              <w:rPr>
                <w:rFonts w:ascii="Arial" w:cs="Arial" w:eastAsia="Arial" w:hAnsi="Arial"/>
                <w:sz w:val="20"/>
                <w:szCs w:val="20"/>
                <w:color w:val="3E3935"/>
                <w:w w:val="86"/>
              </w:rPr>
              <w:t>: </w:t>
            </w:r>
          </w:p>
        </w:tc>
        <w:tc>
          <w:tcPr>
            <w:tcW w:w="5960" w:type="dxa"/>
            <w:vAlign w:val="bottom"/>
            <w:vMerge w:val="restart"/>
          </w:tcPr>
          <w:p>
            <w:pPr>
              <w:ind w:left="80"/>
              <w:spacing w:after="0"/>
              <w:rPr>
                <w:sz w:val="20"/>
                <w:szCs w:val="20"/>
                <w:color w:val="auto"/>
              </w:rPr>
            </w:pPr>
            <w:r>
              <w:rPr>
                <w:rFonts w:ascii="Arial" w:cs="Arial" w:eastAsia="Arial" w:hAnsi="Arial"/>
                <w:sz w:val="20"/>
                <w:szCs w:val="20"/>
                <w:color w:val="3E3935"/>
              </w:rPr>
              <w:t> Annual Election of Directors</w:t>
            </w:r>
          </w:p>
        </w:tc>
        <w:tc>
          <w:tcPr>
            <w:tcW w:w="2660" w:type="dxa"/>
            <w:vAlign w:val="bottom"/>
          </w:tcPr>
          <w:p>
            <w:pPr>
              <w:jc w:val="center"/>
              <w:spacing w:after="0"/>
              <w:rPr>
                <w:sz w:val="20"/>
                <w:szCs w:val="20"/>
                <w:color w:val="auto"/>
              </w:rPr>
            </w:pPr>
            <w:r>
              <w:rPr>
                <w:rFonts w:ascii="Arial" w:cs="Arial" w:eastAsia="Arial" w:hAnsi="Arial"/>
                <w:sz w:val="20"/>
                <w:szCs w:val="20"/>
                <w:b w:val="1"/>
                <w:bCs w:val="1"/>
                <w:color w:val="00C1DE"/>
                <w:w w:val="99"/>
              </w:rPr>
              <w:t>FOR</w:t>
            </w:r>
          </w:p>
        </w:tc>
        <w:tc>
          <w:tcPr>
            <w:tcW w:w="1500" w:type="dxa"/>
            <w:vAlign w:val="bottom"/>
            <w:vMerge w:val="restart"/>
          </w:tcPr>
          <w:p>
            <w:pPr>
              <w:jc w:val="center"/>
              <w:ind w:left="189"/>
              <w:spacing w:after="0"/>
              <w:rPr>
                <w:sz w:val="20"/>
                <w:szCs w:val="20"/>
                <w:color w:val="auto"/>
              </w:rPr>
            </w:pPr>
            <w:r>
              <w:rPr>
                <w:rFonts w:ascii="Arial" w:cs="Arial" w:eastAsia="Arial" w:hAnsi="Arial"/>
                <w:sz w:val="20"/>
                <w:szCs w:val="20"/>
                <w:color w:val="3E3935"/>
                <w:w w:val="89"/>
              </w:rPr>
              <w:t>2</w:t>
            </w:r>
          </w:p>
        </w:tc>
        <w:tc>
          <w:tcPr>
            <w:tcW w:w="0" w:type="dxa"/>
            <w:vAlign w:val="bottom"/>
          </w:tcPr>
          <w:p>
            <w:pPr>
              <w:spacing w:after="0"/>
              <w:rPr>
                <w:sz w:val="1"/>
                <w:szCs w:val="1"/>
                <w:color w:val="auto"/>
              </w:rPr>
            </w:pPr>
          </w:p>
        </w:tc>
      </w:tr>
      <w:tr>
        <w:trPr>
          <w:trHeight w:val="174"/>
        </w:trPr>
        <w:tc>
          <w:tcPr>
            <w:tcW w:w="800" w:type="dxa"/>
            <w:vAlign w:val="bottom"/>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660" w:type="dxa"/>
            <w:vAlign w:val="bottom"/>
            <w:vMerge w:val="restart"/>
          </w:tcPr>
          <w:p>
            <w:pPr>
              <w:jc w:val="center"/>
              <w:spacing w:after="0"/>
              <w:rPr>
                <w:sz w:val="20"/>
                <w:szCs w:val="20"/>
                <w:color w:val="auto"/>
              </w:rPr>
            </w:pPr>
            <w:r>
              <w:rPr>
                <w:rFonts w:ascii="Arial" w:cs="Arial" w:eastAsia="Arial" w:hAnsi="Arial"/>
                <w:sz w:val="20"/>
                <w:szCs w:val="20"/>
                <w:color w:val="00C1DE"/>
                <w:w w:val="98"/>
              </w:rPr>
              <w:t>each director nominee</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0" w:type="dxa"/>
            <w:vAlign w:val="bottom"/>
          </w:tcPr>
          <w:p>
            <w:pPr>
              <w:spacing w:after="0"/>
              <w:rPr>
                <w:sz w:val="7"/>
                <w:szCs w:val="7"/>
                <w:color w:val="auto"/>
              </w:rPr>
            </w:pPr>
          </w:p>
        </w:tc>
        <w:tc>
          <w:tcPr>
            <w:tcW w:w="596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00" w:type="dxa"/>
            <w:vAlign w:val="bottom"/>
            <w:tcBorders>
              <w:bottom w:val="single" w:sz="8" w:color="E2E1E0"/>
            </w:tcBorders>
          </w:tcPr>
          <w:p>
            <w:pPr>
              <w:spacing w:after="0"/>
              <w:rPr>
                <w:sz w:val="18"/>
                <w:szCs w:val="18"/>
                <w:color w:val="auto"/>
              </w:rPr>
            </w:pPr>
          </w:p>
        </w:tc>
        <w:tc>
          <w:tcPr>
            <w:tcW w:w="5960" w:type="dxa"/>
            <w:vAlign w:val="bottom"/>
            <w:tcBorders>
              <w:bottom w:val="single" w:sz="8" w:color="E2E1E0"/>
            </w:tcBorders>
          </w:tcPr>
          <w:p>
            <w:pPr>
              <w:spacing w:after="0"/>
              <w:rPr>
                <w:sz w:val="18"/>
                <w:szCs w:val="18"/>
                <w:color w:val="auto"/>
              </w:rPr>
            </w:pPr>
          </w:p>
        </w:tc>
        <w:tc>
          <w:tcPr>
            <w:tcW w:w="2660" w:type="dxa"/>
            <w:vAlign w:val="bottom"/>
            <w:tcBorders>
              <w:bottom w:val="single" w:sz="8" w:color="E2E1E0"/>
            </w:tcBorders>
          </w:tcPr>
          <w:p>
            <w:pPr>
              <w:spacing w:after="0"/>
              <w:rPr>
                <w:sz w:val="18"/>
                <w:szCs w:val="18"/>
                <w:color w:val="auto"/>
              </w:rPr>
            </w:pPr>
          </w:p>
        </w:tc>
        <w:tc>
          <w:tcPr>
            <w:tcW w:w="1500" w:type="dxa"/>
            <w:vAlign w:val="bottom"/>
            <w:tcBorders>
              <w:bottom w:val="single" w:sz="8" w:color="E2E1E0"/>
            </w:tcBorders>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2</w:t>
            </w:r>
            <w:r>
              <w:rPr>
                <w:rFonts w:ascii="Arial" w:cs="Arial" w:eastAsia="Arial" w:hAnsi="Arial"/>
                <w:sz w:val="20"/>
                <w:szCs w:val="20"/>
                <w:color w:val="3E3935"/>
                <w:w w:val="86"/>
              </w:rPr>
              <w:t>: </w:t>
            </w:r>
          </w:p>
        </w:tc>
        <w:tc>
          <w:tcPr>
            <w:tcW w:w="5960" w:type="dxa"/>
            <w:vAlign w:val="bottom"/>
          </w:tcPr>
          <w:p>
            <w:pPr>
              <w:ind w:left="80"/>
              <w:spacing w:after="0"/>
              <w:rPr>
                <w:sz w:val="20"/>
                <w:szCs w:val="20"/>
                <w:color w:val="auto"/>
              </w:rPr>
            </w:pPr>
            <w:r>
              <w:rPr>
                <w:rFonts w:ascii="Arial" w:cs="Arial" w:eastAsia="Arial" w:hAnsi="Arial"/>
                <w:sz w:val="20"/>
                <w:szCs w:val="20"/>
                <w:color w:val="3E3935"/>
              </w:rPr>
              <w:t>Proposal to Approve, on an Advisory Basis, Named Executive</w:t>
            </w:r>
          </w:p>
        </w:tc>
        <w:tc>
          <w:tcPr>
            <w:tcW w:w="266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9"/>
              </w:rPr>
              <w:t>FOR</w:t>
            </w:r>
          </w:p>
        </w:tc>
        <w:tc>
          <w:tcPr>
            <w:tcW w:w="1500" w:type="dxa"/>
            <w:vAlign w:val="bottom"/>
            <w:vMerge w:val="restart"/>
          </w:tcPr>
          <w:p>
            <w:pPr>
              <w:jc w:val="center"/>
              <w:ind w:left="189"/>
              <w:spacing w:after="0"/>
              <w:rPr>
                <w:sz w:val="20"/>
                <w:szCs w:val="20"/>
                <w:color w:val="auto"/>
              </w:rPr>
            </w:pPr>
            <w:r>
              <w:rPr>
                <w:rFonts w:ascii="Arial" w:cs="Arial" w:eastAsia="Arial" w:hAnsi="Arial"/>
                <w:sz w:val="20"/>
                <w:szCs w:val="20"/>
                <w:color w:val="3E3935"/>
                <w:w w:val="98"/>
              </w:rPr>
              <w:t>83</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960" w:type="dxa"/>
            <w:vAlign w:val="bottom"/>
            <w:vMerge w:val="restart"/>
          </w:tcPr>
          <w:p>
            <w:pPr>
              <w:ind w:left="100"/>
              <w:spacing w:after="0"/>
              <w:rPr>
                <w:sz w:val="20"/>
                <w:szCs w:val="20"/>
                <w:color w:val="auto"/>
              </w:rPr>
            </w:pPr>
            <w:r>
              <w:rPr>
                <w:rFonts w:ascii="Arial" w:cs="Arial" w:eastAsia="Arial" w:hAnsi="Arial"/>
                <w:sz w:val="20"/>
                <w:szCs w:val="20"/>
                <w:color w:val="3E3935"/>
              </w:rPr>
              <w:t>Officer Compensation</w:t>
            </w:r>
          </w:p>
        </w:tc>
        <w:tc>
          <w:tcPr>
            <w:tcW w:w="26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0" w:type="dxa"/>
            <w:vAlign w:val="bottom"/>
          </w:tcPr>
          <w:p>
            <w:pPr>
              <w:spacing w:after="0"/>
              <w:rPr>
                <w:sz w:val="7"/>
                <w:szCs w:val="7"/>
                <w:color w:val="auto"/>
              </w:rPr>
            </w:pPr>
          </w:p>
        </w:tc>
        <w:tc>
          <w:tcPr>
            <w:tcW w:w="596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0" w:type="dxa"/>
            <w:vAlign w:val="bottom"/>
            <w:tcBorders>
              <w:bottom w:val="single" w:sz="8" w:color="E2E1E0"/>
            </w:tcBorders>
          </w:tcPr>
          <w:p>
            <w:pPr>
              <w:spacing w:after="0"/>
              <w:rPr>
                <w:sz w:val="17"/>
                <w:szCs w:val="17"/>
                <w:color w:val="auto"/>
              </w:rPr>
            </w:pPr>
          </w:p>
        </w:tc>
        <w:tc>
          <w:tcPr>
            <w:tcW w:w="5960" w:type="dxa"/>
            <w:vAlign w:val="bottom"/>
            <w:tcBorders>
              <w:bottom w:val="single" w:sz="8" w:color="E2E1E0"/>
            </w:tcBorders>
          </w:tcPr>
          <w:p>
            <w:pPr>
              <w:spacing w:after="0"/>
              <w:rPr>
                <w:sz w:val="17"/>
                <w:szCs w:val="17"/>
                <w:color w:val="auto"/>
              </w:rPr>
            </w:pPr>
          </w:p>
        </w:tc>
        <w:tc>
          <w:tcPr>
            <w:tcW w:w="2660" w:type="dxa"/>
            <w:vAlign w:val="bottom"/>
            <w:tcBorders>
              <w:bottom w:val="single" w:sz="8" w:color="E2E1E0"/>
            </w:tcBorders>
          </w:tcPr>
          <w:p>
            <w:pPr>
              <w:spacing w:after="0"/>
              <w:rPr>
                <w:sz w:val="17"/>
                <w:szCs w:val="17"/>
                <w:color w:val="auto"/>
              </w:rPr>
            </w:pPr>
          </w:p>
        </w:tc>
        <w:tc>
          <w:tcPr>
            <w:tcW w:w="1500" w:type="dxa"/>
            <w:vAlign w:val="bottom"/>
            <w:tcBorders>
              <w:bottom w:val="single" w:sz="8" w:color="E2E1E0"/>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3</w:t>
            </w:r>
            <w:r>
              <w:rPr>
                <w:rFonts w:ascii="Arial" w:cs="Arial" w:eastAsia="Arial" w:hAnsi="Arial"/>
                <w:sz w:val="20"/>
                <w:szCs w:val="20"/>
                <w:color w:val="3E3935"/>
                <w:w w:val="86"/>
              </w:rPr>
              <w:t>: </w:t>
            </w:r>
          </w:p>
        </w:tc>
        <w:tc>
          <w:tcPr>
            <w:tcW w:w="5960" w:type="dxa"/>
            <w:vAlign w:val="bottom"/>
          </w:tcPr>
          <w:p>
            <w:pPr>
              <w:ind w:left="80"/>
              <w:spacing w:after="0"/>
              <w:rPr>
                <w:sz w:val="20"/>
                <w:szCs w:val="20"/>
                <w:color w:val="auto"/>
              </w:rPr>
            </w:pPr>
            <w:r>
              <w:rPr>
                <w:rFonts w:ascii="Arial" w:cs="Arial" w:eastAsia="Arial" w:hAnsi="Arial"/>
                <w:sz w:val="20"/>
                <w:szCs w:val="20"/>
                <w:color w:val="3E3935"/>
              </w:rPr>
              <w:t>Proposal to Ratify the Selection of Ernst &amp; Young LLP as the</w:t>
            </w:r>
          </w:p>
        </w:tc>
        <w:tc>
          <w:tcPr>
            <w:tcW w:w="266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9"/>
              </w:rPr>
              <w:t>FOR</w:t>
            </w:r>
          </w:p>
        </w:tc>
        <w:tc>
          <w:tcPr>
            <w:tcW w:w="1500" w:type="dxa"/>
            <w:vAlign w:val="bottom"/>
            <w:vMerge w:val="restart"/>
          </w:tcPr>
          <w:p>
            <w:pPr>
              <w:jc w:val="center"/>
              <w:ind w:left="189"/>
              <w:spacing w:after="0"/>
              <w:rPr>
                <w:sz w:val="20"/>
                <w:szCs w:val="20"/>
                <w:color w:val="auto"/>
              </w:rPr>
            </w:pPr>
            <w:r>
              <w:rPr>
                <w:rFonts w:ascii="Arial" w:cs="Arial" w:eastAsia="Arial" w:hAnsi="Arial"/>
                <w:sz w:val="20"/>
                <w:szCs w:val="20"/>
                <w:color w:val="3E3935"/>
                <w:w w:val="98"/>
              </w:rPr>
              <w:t>85</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960" w:type="dxa"/>
            <w:vAlign w:val="bottom"/>
            <w:vMerge w:val="restart"/>
          </w:tcPr>
          <w:p>
            <w:pPr>
              <w:ind w:left="100"/>
              <w:spacing w:after="0" w:line="214" w:lineRule="exact"/>
              <w:rPr>
                <w:sz w:val="20"/>
                <w:szCs w:val="20"/>
                <w:color w:val="auto"/>
              </w:rPr>
            </w:pPr>
            <w:r>
              <w:rPr>
                <w:rFonts w:ascii="Arial" w:cs="Arial" w:eastAsia="Arial" w:hAnsi="Arial"/>
                <w:sz w:val="20"/>
                <w:szCs w:val="20"/>
                <w:color w:val="3E3935"/>
              </w:rPr>
              <w:t>Company’s Independent Registered Public Accounting Firm for</w:t>
            </w:r>
          </w:p>
        </w:tc>
        <w:tc>
          <w:tcPr>
            <w:tcW w:w="26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5960" w:type="dxa"/>
            <w:vAlign w:val="bottom"/>
            <w:vMerge w:val="continue"/>
          </w:tcPr>
          <w:p>
            <w:pPr>
              <w:spacing w:after="0"/>
              <w:rPr>
                <w:sz w:val="3"/>
                <w:szCs w:val="3"/>
                <w:color w:val="auto"/>
              </w:rPr>
            </w:pPr>
          </w:p>
        </w:tc>
        <w:tc>
          <w:tcPr>
            <w:tcW w:w="26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00" w:type="dxa"/>
            <w:vAlign w:val="bottom"/>
          </w:tcPr>
          <w:p>
            <w:pPr>
              <w:spacing w:after="0"/>
              <w:rPr>
                <w:sz w:val="22"/>
                <w:szCs w:val="22"/>
                <w:color w:val="auto"/>
              </w:rPr>
            </w:pPr>
          </w:p>
        </w:tc>
        <w:tc>
          <w:tcPr>
            <w:tcW w:w="5960" w:type="dxa"/>
            <w:vAlign w:val="bottom"/>
          </w:tcPr>
          <w:p>
            <w:pPr>
              <w:ind w:left="100"/>
              <w:spacing w:after="0"/>
              <w:rPr>
                <w:sz w:val="20"/>
                <w:szCs w:val="20"/>
                <w:color w:val="auto"/>
              </w:rPr>
            </w:pPr>
            <w:r>
              <w:rPr>
                <w:rFonts w:ascii="Arial" w:cs="Arial" w:eastAsia="Arial" w:hAnsi="Arial"/>
                <w:sz w:val="20"/>
                <w:szCs w:val="20"/>
                <w:color w:val="3E3935"/>
              </w:rPr>
              <w:t>2022</w:t>
            </w:r>
          </w:p>
        </w:tc>
        <w:tc>
          <w:tcPr>
            <w:tcW w:w="26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800" w:type="dxa"/>
            <w:vAlign w:val="bottom"/>
            <w:tcBorders>
              <w:bottom w:val="single" w:sz="8" w:color="E2E1E0"/>
            </w:tcBorders>
          </w:tcPr>
          <w:p>
            <w:pPr>
              <w:spacing w:after="0"/>
              <w:rPr>
                <w:sz w:val="17"/>
                <w:szCs w:val="17"/>
                <w:color w:val="auto"/>
              </w:rPr>
            </w:pPr>
          </w:p>
        </w:tc>
        <w:tc>
          <w:tcPr>
            <w:tcW w:w="5960" w:type="dxa"/>
            <w:vAlign w:val="bottom"/>
            <w:tcBorders>
              <w:bottom w:val="single" w:sz="8" w:color="E2E1E0"/>
            </w:tcBorders>
          </w:tcPr>
          <w:p>
            <w:pPr>
              <w:spacing w:after="0"/>
              <w:rPr>
                <w:sz w:val="17"/>
                <w:szCs w:val="17"/>
                <w:color w:val="auto"/>
              </w:rPr>
            </w:pPr>
          </w:p>
        </w:tc>
        <w:tc>
          <w:tcPr>
            <w:tcW w:w="2660" w:type="dxa"/>
            <w:vAlign w:val="bottom"/>
            <w:tcBorders>
              <w:bottom w:val="single" w:sz="8" w:color="E2E1E0"/>
            </w:tcBorders>
          </w:tcPr>
          <w:p>
            <w:pPr>
              <w:spacing w:after="0"/>
              <w:rPr>
                <w:sz w:val="17"/>
                <w:szCs w:val="17"/>
                <w:color w:val="auto"/>
              </w:rPr>
            </w:pPr>
          </w:p>
        </w:tc>
        <w:tc>
          <w:tcPr>
            <w:tcW w:w="1500" w:type="dxa"/>
            <w:vAlign w:val="bottom"/>
            <w:tcBorders>
              <w:bottom w:val="single" w:sz="8" w:color="E2E1E0"/>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4</w:t>
            </w:r>
            <w:r>
              <w:rPr>
                <w:rFonts w:ascii="Arial" w:cs="Arial" w:eastAsia="Arial" w:hAnsi="Arial"/>
                <w:sz w:val="20"/>
                <w:szCs w:val="20"/>
                <w:color w:val="3E3935"/>
                <w:w w:val="86"/>
              </w:rPr>
              <w:t>: </w:t>
            </w:r>
          </w:p>
        </w:tc>
        <w:tc>
          <w:tcPr>
            <w:tcW w:w="5960" w:type="dxa"/>
            <w:vAlign w:val="bottom"/>
          </w:tcPr>
          <w:p>
            <w:pPr>
              <w:ind w:left="80"/>
              <w:spacing w:after="0"/>
              <w:rPr>
                <w:sz w:val="20"/>
                <w:szCs w:val="20"/>
                <w:color w:val="auto"/>
              </w:rPr>
            </w:pPr>
            <w:r>
              <w:rPr>
                <w:rFonts w:ascii="Arial" w:cs="Arial" w:eastAsia="Arial" w:hAnsi="Arial"/>
                <w:sz w:val="20"/>
                <w:szCs w:val="20"/>
                <w:color w:val="3E3935"/>
              </w:rPr>
              <w:t>Shareholder Proposal to Lower the Ownership Threshold to Call</w:t>
            </w:r>
          </w:p>
        </w:tc>
        <w:tc>
          <w:tcPr>
            <w:tcW w:w="266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00" w:type="dxa"/>
            <w:vAlign w:val="bottom"/>
            <w:vMerge w:val="restart"/>
          </w:tcPr>
          <w:p>
            <w:pPr>
              <w:jc w:val="center"/>
              <w:ind w:left="189"/>
              <w:spacing w:after="0"/>
              <w:rPr>
                <w:sz w:val="20"/>
                <w:szCs w:val="20"/>
                <w:color w:val="auto"/>
              </w:rPr>
            </w:pPr>
            <w:r>
              <w:rPr>
                <w:rFonts w:ascii="Arial" w:cs="Arial" w:eastAsia="Arial" w:hAnsi="Arial"/>
                <w:sz w:val="20"/>
                <w:szCs w:val="20"/>
                <w:color w:val="3E3935"/>
                <w:w w:val="98"/>
              </w:rPr>
              <w:t>86</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960" w:type="dxa"/>
            <w:vAlign w:val="bottom"/>
            <w:vMerge w:val="restart"/>
          </w:tcPr>
          <w:p>
            <w:pPr>
              <w:ind w:left="100"/>
              <w:spacing w:after="0"/>
              <w:rPr>
                <w:sz w:val="20"/>
                <w:szCs w:val="20"/>
                <w:color w:val="auto"/>
              </w:rPr>
            </w:pPr>
            <w:r>
              <w:rPr>
                <w:rFonts w:ascii="Arial" w:cs="Arial" w:eastAsia="Arial" w:hAnsi="Arial"/>
                <w:sz w:val="20"/>
                <w:szCs w:val="20"/>
                <w:color w:val="3E3935"/>
              </w:rPr>
              <w:t>a Special Meeting</w:t>
            </w:r>
          </w:p>
        </w:tc>
        <w:tc>
          <w:tcPr>
            <w:tcW w:w="26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0" w:type="dxa"/>
            <w:vAlign w:val="bottom"/>
          </w:tcPr>
          <w:p>
            <w:pPr>
              <w:spacing w:after="0"/>
              <w:rPr>
                <w:sz w:val="7"/>
                <w:szCs w:val="7"/>
                <w:color w:val="auto"/>
              </w:rPr>
            </w:pPr>
          </w:p>
        </w:tc>
        <w:tc>
          <w:tcPr>
            <w:tcW w:w="596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0" w:type="dxa"/>
            <w:vAlign w:val="bottom"/>
            <w:tcBorders>
              <w:bottom w:val="single" w:sz="8" w:color="E2E1E0"/>
            </w:tcBorders>
          </w:tcPr>
          <w:p>
            <w:pPr>
              <w:spacing w:after="0"/>
              <w:rPr>
                <w:sz w:val="17"/>
                <w:szCs w:val="17"/>
                <w:color w:val="auto"/>
              </w:rPr>
            </w:pPr>
          </w:p>
        </w:tc>
        <w:tc>
          <w:tcPr>
            <w:tcW w:w="5960" w:type="dxa"/>
            <w:vAlign w:val="bottom"/>
            <w:tcBorders>
              <w:bottom w:val="single" w:sz="8" w:color="E2E1E0"/>
            </w:tcBorders>
          </w:tcPr>
          <w:p>
            <w:pPr>
              <w:spacing w:after="0"/>
              <w:rPr>
                <w:sz w:val="17"/>
                <w:szCs w:val="17"/>
                <w:color w:val="auto"/>
              </w:rPr>
            </w:pPr>
          </w:p>
        </w:tc>
        <w:tc>
          <w:tcPr>
            <w:tcW w:w="2660" w:type="dxa"/>
            <w:vAlign w:val="bottom"/>
            <w:tcBorders>
              <w:bottom w:val="single" w:sz="8" w:color="E2E1E0"/>
            </w:tcBorders>
          </w:tcPr>
          <w:p>
            <w:pPr>
              <w:spacing w:after="0"/>
              <w:rPr>
                <w:sz w:val="17"/>
                <w:szCs w:val="17"/>
                <w:color w:val="auto"/>
              </w:rPr>
            </w:pPr>
          </w:p>
        </w:tc>
        <w:tc>
          <w:tcPr>
            <w:tcW w:w="1500" w:type="dxa"/>
            <w:vAlign w:val="bottom"/>
            <w:tcBorders>
              <w:bottom w:val="single" w:sz="8" w:color="E2E1E0"/>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5</w:t>
            </w:r>
            <w:r>
              <w:rPr>
                <w:rFonts w:ascii="Arial" w:cs="Arial" w:eastAsia="Arial" w:hAnsi="Arial"/>
                <w:sz w:val="20"/>
                <w:szCs w:val="20"/>
                <w:color w:val="3E3935"/>
                <w:w w:val="86"/>
              </w:rPr>
              <w:t>: </w:t>
            </w:r>
          </w:p>
        </w:tc>
        <w:tc>
          <w:tcPr>
            <w:tcW w:w="5960" w:type="dxa"/>
            <w:vAlign w:val="bottom"/>
          </w:tcPr>
          <w:p>
            <w:pPr>
              <w:ind w:left="80"/>
              <w:spacing w:after="0"/>
              <w:rPr>
                <w:sz w:val="20"/>
                <w:szCs w:val="20"/>
                <w:color w:val="auto"/>
              </w:rPr>
            </w:pPr>
            <w:r>
              <w:rPr>
                <w:rFonts w:ascii="Arial" w:cs="Arial" w:eastAsia="Arial" w:hAnsi="Arial"/>
                <w:sz w:val="20"/>
                <w:szCs w:val="20"/>
                <w:color w:val="3E3935"/>
              </w:rPr>
              <w:t>Shareholder Proposal Regarding Separation of Chair and CEO</w:t>
            </w:r>
          </w:p>
        </w:tc>
        <w:tc>
          <w:tcPr>
            <w:tcW w:w="266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00" w:type="dxa"/>
            <w:vAlign w:val="bottom"/>
            <w:vMerge w:val="restart"/>
          </w:tcPr>
          <w:p>
            <w:pPr>
              <w:jc w:val="center"/>
              <w:ind w:left="189"/>
              <w:spacing w:after="0"/>
              <w:rPr>
                <w:sz w:val="20"/>
                <w:szCs w:val="20"/>
                <w:color w:val="auto"/>
              </w:rPr>
            </w:pPr>
            <w:r>
              <w:rPr>
                <w:rFonts w:ascii="Arial" w:cs="Arial" w:eastAsia="Arial" w:hAnsi="Arial"/>
                <w:sz w:val="20"/>
                <w:szCs w:val="20"/>
                <w:color w:val="3E3935"/>
                <w:w w:val="98"/>
              </w:rPr>
              <w:t>88</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960" w:type="dxa"/>
            <w:vAlign w:val="bottom"/>
            <w:vMerge w:val="restart"/>
          </w:tcPr>
          <w:p>
            <w:pPr>
              <w:ind w:left="100"/>
              <w:spacing w:after="0"/>
              <w:rPr>
                <w:sz w:val="20"/>
                <w:szCs w:val="20"/>
                <w:color w:val="auto"/>
              </w:rPr>
            </w:pPr>
            <w:r>
              <w:rPr>
                <w:rFonts w:ascii="Arial" w:cs="Arial" w:eastAsia="Arial" w:hAnsi="Arial"/>
                <w:sz w:val="20"/>
                <w:szCs w:val="20"/>
                <w:color w:val="3E3935"/>
              </w:rPr>
              <w:t>Roles</w:t>
            </w:r>
          </w:p>
        </w:tc>
        <w:tc>
          <w:tcPr>
            <w:tcW w:w="26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0" w:type="dxa"/>
            <w:vAlign w:val="bottom"/>
          </w:tcPr>
          <w:p>
            <w:pPr>
              <w:spacing w:after="0"/>
              <w:rPr>
                <w:sz w:val="7"/>
                <w:szCs w:val="7"/>
                <w:color w:val="auto"/>
              </w:rPr>
            </w:pPr>
          </w:p>
        </w:tc>
        <w:tc>
          <w:tcPr>
            <w:tcW w:w="596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0" w:type="dxa"/>
            <w:vAlign w:val="bottom"/>
            <w:tcBorders>
              <w:bottom w:val="single" w:sz="8" w:color="E2E1E0"/>
            </w:tcBorders>
          </w:tcPr>
          <w:p>
            <w:pPr>
              <w:spacing w:after="0"/>
              <w:rPr>
                <w:sz w:val="17"/>
                <w:szCs w:val="17"/>
                <w:color w:val="auto"/>
              </w:rPr>
            </w:pPr>
          </w:p>
        </w:tc>
        <w:tc>
          <w:tcPr>
            <w:tcW w:w="5960" w:type="dxa"/>
            <w:vAlign w:val="bottom"/>
            <w:tcBorders>
              <w:bottom w:val="single" w:sz="8" w:color="E2E1E0"/>
            </w:tcBorders>
          </w:tcPr>
          <w:p>
            <w:pPr>
              <w:spacing w:after="0"/>
              <w:rPr>
                <w:sz w:val="17"/>
                <w:szCs w:val="17"/>
                <w:color w:val="auto"/>
              </w:rPr>
            </w:pPr>
          </w:p>
        </w:tc>
        <w:tc>
          <w:tcPr>
            <w:tcW w:w="2660" w:type="dxa"/>
            <w:vAlign w:val="bottom"/>
            <w:tcBorders>
              <w:bottom w:val="single" w:sz="8" w:color="E2E1E0"/>
            </w:tcBorders>
          </w:tcPr>
          <w:p>
            <w:pPr>
              <w:spacing w:after="0"/>
              <w:rPr>
                <w:sz w:val="17"/>
                <w:szCs w:val="17"/>
                <w:color w:val="auto"/>
              </w:rPr>
            </w:pPr>
          </w:p>
        </w:tc>
        <w:tc>
          <w:tcPr>
            <w:tcW w:w="1500" w:type="dxa"/>
            <w:vAlign w:val="bottom"/>
            <w:tcBorders>
              <w:bottom w:val="single" w:sz="8" w:color="E2E1E0"/>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6</w:t>
            </w:r>
            <w:r>
              <w:rPr>
                <w:rFonts w:ascii="Arial" w:cs="Arial" w:eastAsia="Arial" w:hAnsi="Arial"/>
                <w:sz w:val="20"/>
                <w:szCs w:val="20"/>
                <w:color w:val="3E3935"/>
                <w:w w:val="86"/>
              </w:rPr>
              <w:t>: </w:t>
            </w:r>
          </w:p>
        </w:tc>
        <w:tc>
          <w:tcPr>
            <w:tcW w:w="5960" w:type="dxa"/>
            <w:vAlign w:val="bottom"/>
          </w:tcPr>
          <w:p>
            <w:pPr>
              <w:ind w:left="80"/>
              <w:spacing w:after="0"/>
              <w:rPr>
                <w:sz w:val="20"/>
                <w:szCs w:val="20"/>
                <w:color w:val="auto"/>
              </w:rPr>
            </w:pPr>
            <w:r>
              <w:rPr>
                <w:rFonts w:ascii="Arial" w:cs="Arial" w:eastAsia="Arial" w:hAnsi="Arial"/>
                <w:sz w:val="20"/>
                <w:szCs w:val="20"/>
                <w:color w:val="3E3935"/>
              </w:rPr>
              <w:t>Shareholder Proposal Requesting a Report on the Use of Child</w:t>
            </w:r>
          </w:p>
        </w:tc>
        <w:tc>
          <w:tcPr>
            <w:tcW w:w="266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00" w:type="dxa"/>
            <w:vAlign w:val="bottom"/>
            <w:vMerge w:val="restart"/>
          </w:tcPr>
          <w:p>
            <w:pPr>
              <w:jc w:val="center"/>
              <w:ind w:left="189"/>
              <w:spacing w:after="0"/>
              <w:rPr>
                <w:sz w:val="20"/>
                <w:szCs w:val="20"/>
                <w:color w:val="auto"/>
              </w:rPr>
            </w:pPr>
            <w:r>
              <w:rPr>
                <w:rFonts w:ascii="Arial" w:cs="Arial" w:eastAsia="Arial" w:hAnsi="Arial"/>
                <w:sz w:val="20"/>
                <w:szCs w:val="20"/>
                <w:color w:val="3E3935"/>
                <w:w w:val="98"/>
              </w:rPr>
              <w:t>90</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960" w:type="dxa"/>
            <w:vAlign w:val="bottom"/>
            <w:vMerge w:val="restart"/>
          </w:tcPr>
          <w:p>
            <w:pPr>
              <w:ind w:left="100"/>
              <w:spacing w:after="0"/>
              <w:rPr>
                <w:sz w:val="20"/>
                <w:szCs w:val="20"/>
                <w:color w:val="auto"/>
              </w:rPr>
            </w:pPr>
            <w:r>
              <w:rPr>
                <w:rFonts w:ascii="Arial" w:cs="Arial" w:eastAsia="Arial" w:hAnsi="Arial"/>
                <w:sz w:val="20"/>
                <w:szCs w:val="20"/>
                <w:color w:val="3E3935"/>
              </w:rPr>
              <w:t>Labor in Connection with Electric Vehicles</w:t>
            </w:r>
          </w:p>
        </w:tc>
        <w:tc>
          <w:tcPr>
            <w:tcW w:w="26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0" w:type="dxa"/>
            <w:vAlign w:val="bottom"/>
          </w:tcPr>
          <w:p>
            <w:pPr>
              <w:spacing w:after="0"/>
              <w:rPr>
                <w:sz w:val="7"/>
                <w:szCs w:val="7"/>
                <w:color w:val="auto"/>
              </w:rPr>
            </w:pPr>
          </w:p>
        </w:tc>
        <w:tc>
          <w:tcPr>
            <w:tcW w:w="596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0" w:type="dxa"/>
            <w:vAlign w:val="bottom"/>
            <w:tcBorders>
              <w:bottom w:val="single" w:sz="8" w:color="E2E1E0"/>
            </w:tcBorders>
          </w:tcPr>
          <w:p>
            <w:pPr>
              <w:spacing w:after="0"/>
              <w:rPr>
                <w:sz w:val="17"/>
                <w:szCs w:val="17"/>
                <w:color w:val="auto"/>
              </w:rPr>
            </w:pPr>
          </w:p>
        </w:tc>
        <w:tc>
          <w:tcPr>
            <w:tcW w:w="5960" w:type="dxa"/>
            <w:vAlign w:val="bottom"/>
            <w:tcBorders>
              <w:bottom w:val="single" w:sz="8" w:color="E2E1E0"/>
            </w:tcBorders>
          </w:tcPr>
          <w:p>
            <w:pPr>
              <w:spacing w:after="0"/>
              <w:rPr>
                <w:sz w:val="17"/>
                <w:szCs w:val="17"/>
                <w:color w:val="auto"/>
              </w:rPr>
            </w:pPr>
          </w:p>
        </w:tc>
        <w:tc>
          <w:tcPr>
            <w:tcW w:w="2660" w:type="dxa"/>
            <w:vAlign w:val="bottom"/>
            <w:tcBorders>
              <w:bottom w:val="single" w:sz="8" w:color="E2E1E0"/>
            </w:tcBorders>
          </w:tcPr>
          <w:p>
            <w:pPr>
              <w:spacing w:after="0"/>
              <w:rPr>
                <w:sz w:val="17"/>
                <w:szCs w:val="17"/>
                <w:color w:val="auto"/>
              </w:rPr>
            </w:pPr>
          </w:p>
        </w:tc>
        <w:tc>
          <w:tcPr>
            <w:tcW w:w="1500" w:type="dxa"/>
            <w:vAlign w:val="bottom"/>
            <w:tcBorders>
              <w:bottom w:val="single" w:sz="8" w:color="E2E1E0"/>
            </w:tcBorders>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8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jc w:val="right"/>
              <w:ind w:right="229"/>
              <w:spacing w:after="0"/>
              <w:rPr>
                <w:sz w:val="20"/>
                <w:szCs w:val="20"/>
                <w:color w:val="auto"/>
              </w:rPr>
            </w:pPr>
            <w:r>
              <w:rPr>
                <w:rFonts w:ascii="Arial" w:cs="Arial" w:eastAsia="Arial" w:hAnsi="Arial"/>
                <w:sz w:val="14"/>
                <w:szCs w:val="14"/>
                <w:color w:val="0071CE"/>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-113665</wp:posOffset>
            </wp:positionV>
            <wp:extent cx="5927725" cy="101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6" w:lineRule="exact"/>
        <w:rPr>
          <w:sz w:val="20"/>
          <w:szCs w:val="20"/>
          <w:color w:val="auto"/>
        </w:rPr>
      </w:pPr>
    </w:p>
    <w:p>
      <w:pPr>
        <w:ind w:left="160"/>
        <w:spacing w:after="0"/>
        <w:tabs>
          <w:tab w:leader="none" w:pos="2280" w:val="left"/>
        </w:tabs>
        <w:rPr>
          <w:sz w:val="20"/>
          <w:szCs w:val="20"/>
          <w:color w:val="auto"/>
        </w:rPr>
      </w:pPr>
      <w:r>
        <w:rPr>
          <w:rFonts w:ascii="Arial" w:cs="Arial" w:eastAsia="Arial" w:hAnsi="Arial"/>
          <w:sz w:val="32"/>
          <w:szCs w:val="32"/>
          <w:b w:val="1"/>
          <w:bCs w:val="1"/>
          <w:color w:val="3E3935"/>
        </w:rPr>
        <w:t>ITEM NO. 1:</w:t>
      </w:r>
      <w:r>
        <w:rPr>
          <w:sz w:val="20"/>
          <w:szCs w:val="20"/>
          <w:color w:val="auto"/>
        </w:rPr>
        <w:tab/>
      </w:r>
      <w:r>
        <w:rPr>
          <w:rFonts w:ascii="Arial" w:cs="Arial" w:eastAsia="Arial" w:hAnsi="Arial"/>
          <w:sz w:val="31"/>
          <w:szCs w:val="31"/>
          <w:b w:val="1"/>
          <w:bCs w:val="1"/>
          <w:color w:val="00C1DE"/>
        </w:rPr>
        <w:t>ANNUAL ELECTION OF DIRECTORS</w:t>
      </w:r>
    </w:p>
    <w:p>
      <w:pPr>
        <w:spacing w:after="0" w:line="241"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At the Annual Meeting, 12 directors will be nominated for election to GM’s Board of Directors. The Governance Committee evaluated the nominees in accordance with the Committee’s charter and our Corporate Governance Guidelines and submitted the nominees to the full Board for approval. Other than Aneel Bhusri, who was elected to the Board in October 2021, all of the nominees were elected at the 2021 Annual Meeting.</w:t>
      </w:r>
    </w:p>
    <w:p>
      <w:pPr>
        <w:spacing w:after="0" w:line="106"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If elected, the directors will serve on the Board until the next annual meeting of shareholders, or until their successors are duly elected and qualified, or until their earlier resignation or removal. If any nominee becomes unable to serve, proxies will be voted for the election of such other person as the Board may designate unless the Board chooses to reduce the number of directors standing for re-election. Each of the directors has consented to being named in this Proxy Statement and serving on the Board if elected.</w:t>
      </w:r>
    </w:p>
    <w:p>
      <w:pPr>
        <w:spacing w:after="0" w:line="92"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Board believes that GM has the right Board at the right time and that these director nominees collectively possess the right mix of skills, qualifications, and experience to make strategic decisions that strengthen our business today and position it for long-term success.</w:t>
      </w:r>
    </w:p>
    <w:p>
      <w:pPr>
        <w:spacing w:after="0" w:line="10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Further information on the Board’s composition, as well as each nominee’s qualifications and relevant experience, are provided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132715</wp:posOffset>
            </wp:positionV>
            <wp:extent cx="6861810" cy="671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61810" cy="671195"/>
                    </a:xfrm>
                    <a:prstGeom prst="rect">
                      <a:avLst/>
                    </a:prstGeom>
                    <a:noFill/>
                  </pic:spPr>
                </pic:pic>
              </a:graphicData>
            </a:graphic>
          </wp:anchor>
        </w:drawing>
      </w: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294"/>
        </w:trPr>
        <w:tc>
          <w:tcPr>
            <w:tcW w:w="888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each of the nominees identified on</w:t>
            </w:r>
          </w:p>
        </w:tc>
        <w:tc>
          <w:tcPr>
            <w:tcW w:w="1060" w:type="dxa"/>
            <w:vAlign w:val="bottom"/>
          </w:tcPr>
          <w:p>
            <w:pPr>
              <w:spacing w:after="0"/>
              <w:rPr>
                <w:sz w:val="24"/>
                <w:szCs w:val="24"/>
                <w:color w:val="auto"/>
              </w:rPr>
            </w:pPr>
          </w:p>
        </w:tc>
      </w:tr>
      <w:tr>
        <w:trPr>
          <w:trHeight w:val="398"/>
        </w:trPr>
        <w:tc>
          <w:tcPr>
            <w:tcW w:w="8880" w:type="dxa"/>
            <w:vAlign w:val="bottom"/>
          </w:tcPr>
          <w:p>
            <w:pPr>
              <w:spacing w:after="0"/>
              <w:rPr>
                <w:sz w:val="20"/>
                <w:szCs w:val="20"/>
                <w:color w:val="auto"/>
              </w:rPr>
            </w:pPr>
            <w:r>
              <w:rPr>
                <w:rFonts w:ascii="Arial" w:cs="Arial" w:eastAsia="Arial" w:hAnsi="Arial"/>
                <w:sz w:val="25"/>
                <w:szCs w:val="25"/>
                <w:b w:val="1"/>
                <w:bCs w:val="1"/>
                <w:color w:val="0071CE"/>
              </w:rPr>
              <w:t>the following pages.</w:t>
            </w:r>
          </w:p>
        </w:tc>
        <w:tc>
          <w:tcPr>
            <w:tcW w:w="1060" w:type="dxa"/>
            <w:vAlign w:val="bottom"/>
          </w:tcPr>
          <w:p>
            <w:pPr>
              <w:ind w:left="460"/>
              <w:spacing w:after="0"/>
              <w:rPr>
                <w:sz w:val="20"/>
                <w:szCs w:val="20"/>
                <w:color w:val="auto"/>
              </w:rPr>
            </w:pPr>
            <w:r>
              <w:rPr>
                <w:rFonts w:ascii="Arial" w:cs="Arial" w:eastAsia="Arial" w:hAnsi="Arial"/>
                <w:sz w:val="29"/>
                <w:szCs w:val="29"/>
                <w:b w:val="1"/>
                <w:bCs w:val="1"/>
                <w:color w:val="0071CE"/>
                <w:w w:val="94"/>
              </w:rPr>
              <w:t>FOR</w:t>
            </w:r>
          </w:p>
        </w:tc>
      </w:tr>
    </w:tbl>
    <w:p>
      <w:pPr>
        <w:spacing w:after="0" w:line="339"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-95885</wp:posOffset>
            </wp:positionV>
            <wp:extent cx="5927725" cy="101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Snapshot of Our Board Nominees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6660" w:type="dxa"/>
            <w:vAlign w:val="bottom"/>
          </w:tcPr>
          <w:p>
            <w:pPr>
              <w:ind w:left="2640"/>
              <w:spacing w:after="0"/>
              <w:rPr>
                <w:sz w:val="20"/>
                <w:szCs w:val="20"/>
                <w:color w:val="auto"/>
              </w:rPr>
            </w:pPr>
            <w:r>
              <w:rPr>
                <w:rFonts w:ascii="Arial" w:cs="Arial" w:eastAsia="Arial" w:hAnsi="Arial"/>
                <w:sz w:val="14"/>
                <w:szCs w:val="14"/>
                <w:b w:val="1"/>
                <w:bCs w:val="1"/>
                <w:color w:val="0071CE"/>
              </w:rPr>
              <w:t>Director</w:t>
            </w:r>
          </w:p>
        </w:tc>
      </w:tr>
      <w:tr>
        <w:trPr>
          <w:trHeight w:val="208"/>
        </w:trPr>
        <w:tc>
          <w:tcPr>
            <w:tcW w:w="4260" w:type="dxa"/>
            <w:vAlign w:val="bottom"/>
          </w:tcPr>
          <w:p>
            <w:pPr>
              <w:spacing w:after="0"/>
              <w:rPr>
                <w:sz w:val="20"/>
                <w:szCs w:val="20"/>
                <w:color w:val="auto"/>
              </w:rPr>
            </w:pPr>
            <w:r>
              <w:rPr>
                <w:rFonts w:ascii="Arial" w:cs="Arial" w:eastAsia="Arial" w:hAnsi="Arial"/>
                <w:sz w:val="14"/>
                <w:szCs w:val="14"/>
                <w:b w:val="1"/>
                <w:bCs w:val="1"/>
                <w:color w:val="0071CE"/>
              </w:rPr>
              <w:t>Name &amp; Principal Occupation</w:t>
            </w:r>
          </w:p>
        </w:tc>
        <w:tc>
          <w:tcPr>
            <w:tcW w:w="6660" w:type="dxa"/>
            <w:vAlign w:val="bottom"/>
          </w:tcPr>
          <w:p>
            <w:pPr>
              <w:ind w:left="2260"/>
              <w:spacing w:after="0"/>
              <w:rPr>
                <w:sz w:val="20"/>
                <w:szCs w:val="20"/>
                <w:color w:val="auto"/>
              </w:rPr>
            </w:pPr>
            <w:r>
              <w:rPr>
                <w:rFonts w:ascii="Arial" w:cs="Arial" w:eastAsia="Arial" w:hAnsi="Arial"/>
                <w:sz w:val="14"/>
                <w:szCs w:val="14"/>
                <w:b w:val="1"/>
                <w:bCs w:val="1"/>
                <w:color w:val="0071CE"/>
              </w:rPr>
              <w:t>Age   Since   Independent  Committee Memberships</w:t>
            </w:r>
          </w:p>
        </w:tc>
      </w:tr>
      <w:tr>
        <w:trPr>
          <w:trHeight w:val="28"/>
        </w:trPr>
        <w:tc>
          <w:tcPr>
            <w:tcW w:w="4260" w:type="dxa"/>
            <w:vAlign w:val="bottom"/>
            <w:tcBorders>
              <w:bottom w:val="single" w:sz="8" w:color="0071CE"/>
            </w:tcBorders>
          </w:tcPr>
          <w:p>
            <w:pPr>
              <w:spacing w:after="0"/>
              <w:rPr>
                <w:sz w:val="2"/>
                <w:szCs w:val="2"/>
                <w:color w:val="auto"/>
              </w:rPr>
            </w:pPr>
          </w:p>
        </w:tc>
        <w:tc>
          <w:tcPr>
            <w:tcW w:w="6660" w:type="dxa"/>
            <w:vAlign w:val="bottom"/>
            <w:tcBorders>
              <w:bottom w:val="single" w:sz="8" w:color="0071C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33655</wp:posOffset>
            </wp:positionV>
            <wp:extent cx="365125" cy="399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153"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0071CE"/>
        </w:rPr>
        <w:t>Mary T. Barra</w:t>
      </w:r>
    </w:p>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60" w:type="dxa"/>
            <w:vAlign w:val="bottom"/>
          </w:tcPr>
          <w:p>
            <w:pPr>
              <w:ind w:left="1160"/>
              <w:spacing w:after="0"/>
              <w:rPr>
                <w:sz w:val="20"/>
                <w:szCs w:val="20"/>
                <w:color w:val="auto"/>
              </w:rPr>
            </w:pPr>
            <w:r>
              <w:rPr>
                <w:rFonts w:ascii="Arial" w:cs="Arial" w:eastAsia="Arial" w:hAnsi="Arial"/>
                <w:sz w:val="14"/>
                <w:szCs w:val="14"/>
                <w:color w:val="3E3935"/>
              </w:rPr>
              <w:t>Chair &amp; Chief Executive Officer</w:t>
            </w:r>
          </w:p>
        </w:tc>
        <w:tc>
          <w:tcPr>
            <w:tcW w:w="2020" w:type="dxa"/>
            <w:vAlign w:val="bottom"/>
          </w:tcPr>
          <w:p>
            <w:pPr>
              <w:jc w:val="right"/>
              <w:ind w:right="69"/>
              <w:spacing w:after="0"/>
              <w:rPr>
                <w:sz w:val="20"/>
                <w:szCs w:val="20"/>
                <w:color w:val="auto"/>
              </w:rPr>
            </w:pPr>
            <w:r>
              <w:rPr>
                <w:rFonts w:ascii="Arial" w:cs="Arial" w:eastAsia="Arial" w:hAnsi="Arial"/>
                <w:sz w:val="14"/>
                <w:szCs w:val="14"/>
                <w:color w:val="3E3935"/>
              </w:rPr>
              <w:t>60</w:t>
            </w:r>
          </w:p>
        </w:tc>
        <w:tc>
          <w:tcPr>
            <w:tcW w:w="1060" w:type="dxa"/>
            <w:vAlign w:val="bottom"/>
          </w:tcPr>
          <w:p>
            <w:pPr>
              <w:jc w:val="right"/>
              <w:ind w:right="529"/>
              <w:spacing w:after="0"/>
              <w:rPr>
                <w:sz w:val="20"/>
                <w:szCs w:val="20"/>
                <w:color w:val="auto"/>
              </w:rPr>
            </w:pPr>
            <w:r>
              <w:rPr>
                <w:rFonts w:ascii="Arial" w:cs="Arial" w:eastAsia="Arial" w:hAnsi="Arial"/>
                <w:sz w:val="14"/>
                <w:szCs w:val="14"/>
                <w:color w:val="3E3935"/>
              </w:rPr>
              <w:t>2014</w:t>
            </w:r>
          </w:p>
        </w:tc>
        <w:tc>
          <w:tcPr>
            <w:tcW w:w="2980" w:type="dxa"/>
            <w:vAlign w:val="bottom"/>
          </w:tcPr>
          <w:p>
            <w:pPr>
              <w:ind w:left="580"/>
              <w:spacing w:after="0"/>
              <w:rPr>
                <w:sz w:val="20"/>
                <w:szCs w:val="20"/>
                <w:color w:val="auto"/>
              </w:rPr>
            </w:pPr>
            <w:r>
              <w:rPr>
                <w:rFonts w:ascii="Arial" w:cs="Arial" w:eastAsia="Arial" w:hAnsi="Arial"/>
                <w:sz w:val="14"/>
                <w:szCs w:val="14"/>
                <w:color w:val="3E3935"/>
              </w:rPr>
              <w:t xml:space="preserve">Executive – </w:t>
            </w:r>
            <w:r>
              <w:rPr>
                <w:rFonts w:ascii="Arial" w:cs="Arial" w:eastAsia="Arial" w:hAnsi="Arial"/>
                <w:sz w:val="14"/>
                <w:szCs w:val="14"/>
                <w:b w:val="1"/>
                <w:bCs w:val="1"/>
                <w:color w:val="00C1DE"/>
              </w:rPr>
              <w:t>Chair</w:t>
            </w:r>
          </w:p>
        </w:tc>
      </w:tr>
      <w:tr>
        <w:trPr>
          <w:trHeight w:val="189"/>
        </w:trPr>
        <w:tc>
          <w:tcPr>
            <w:tcW w:w="4860" w:type="dxa"/>
            <w:vAlign w:val="bottom"/>
          </w:tcPr>
          <w:p>
            <w:pPr>
              <w:ind w:left="1160"/>
              <w:spacing w:after="0"/>
              <w:rPr>
                <w:sz w:val="20"/>
                <w:szCs w:val="20"/>
                <w:color w:val="auto"/>
              </w:rPr>
            </w:pPr>
            <w:r>
              <w:rPr>
                <w:rFonts w:ascii="Arial" w:cs="Arial" w:eastAsia="Arial" w:hAnsi="Arial"/>
                <w:sz w:val="14"/>
                <w:szCs w:val="14"/>
                <w:color w:val="3E3935"/>
              </w:rPr>
              <w:t>General Motors Company</w:t>
            </w: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168"/>
        </w:trPr>
        <w:tc>
          <w:tcPr>
            <w:tcW w:w="4860" w:type="dxa"/>
            <w:vAlign w:val="bottom"/>
            <w:tcBorders>
              <w:bottom w:val="single" w:sz="8" w:color="3E3935"/>
            </w:tcBorders>
          </w:tcPr>
          <w:p>
            <w:pPr>
              <w:spacing w:after="0"/>
              <w:rPr>
                <w:sz w:val="14"/>
                <w:szCs w:val="14"/>
                <w:color w:val="auto"/>
              </w:rPr>
            </w:pPr>
          </w:p>
        </w:tc>
        <w:tc>
          <w:tcPr>
            <w:tcW w:w="2020" w:type="dxa"/>
            <w:vAlign w:val="bottom"/>
            <w:tcBorders>
              <w:bottom w:val="single" w:sz="8" w:color="3E3935"/>
            </w:tcBorders>
          </w:tcPr>
          <w:p>
            <w:pPr>
              <w:spacing w:after="0"/>
              <w:rPr>
                <w:sz w:val="14"/>
                <w:szCs w:val="14"/>
                <w:color w:val="auto"/>
              </w:rPr>
            </w:pPr>
          </w:p>
        </w:tc>
        <w:tc>
          <w:tcPr>
            <w:tcW w:w="1060" w:type="dxa"/>
            <w:vAlign w:val="bottom"/>
            <w:tcBorders>
              <w:bottom w:val="single" w:sz="8" w:color="3E3935"/>
            </w:tcBorders>
          </w:tcPr>
          <w:p>
            <w:pPr>
              <w:spacing w:after="0"/>
              <w:rPr>
                <w:sz w:val="14"/>
                <w:szCs w:val="14"/>
                <w:color w:val="auto"/>
              </w:rPr>
            </w:pPr>
          </w:p>
        </w:tc>
        <w:tc>
          <w:tcPr>
            <w:tcW w:w="2980" w:type="dxa"/>
            <w:vAlign w:val="bottom"/>
            <w:tcBorders>
              <w:bottom w:val="single" w:sz="8" w:color="3E3935"/>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85090</wp:posOffset>
            </wp:positionV>
            <wp:extent cx="365125" cy="399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20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0071CE"/>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-5080</wp:posOffset>
            </wp:positionV>
            <wp:extent cx="118745" cy="118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61"/>
        </w:trPr>
        <w:tc>
          <w:tcPr>
            <w:tcW w:w="5520" w:type="dxa"/>
            <w:vAlign w:val="bottom"/>
          </w:tcPr>
          <w:p>
            <w:pPr>
              <w:ind w:left="1160"/>
              <w:spacing w:after="0"/>
              <w:rPr>
                <w:sz w:val="20"/>
                <w:szCs w:val="20"/>
                <w:color w:val="auto"/>
              </w:rPr>
            </w:pPr>
            <w:r>
              <w:rPr>
                <w:rFonts w:ascii="Arial" w:cs="Arial" w:eastAsia="Arial" w:hAnsi="Arial"/>
                <w:sz w:val="14"/>
                <w:szCs w:val="14"/>
                <w:color w:val="3E3935"/>
              </w:rPr>
              <w:t>Chairman, Co-Founder &amp; Co-Chief Executive Officer</w:t>
            </w:r>
          </w:p>
        </w:tc>
        <w:tc>
          <w:tcPr>
            <w:tcW w:w="1360" w:type="dxa"/>
            <w:vAlign w:val="bottom"/>
          </w:tcPr>
          <w:p>
            <w:pPr>
              <w:jc w:val="right"/>
              <w:ind w:right="69"/>
              <w:spacing w:after="0"/>
              <w:rPr>
                <w:sz w:val="20"/>
                <w:szCs w:val="20"/>
                <w:color w:val="auto"/>
              </w:rPr>
            </w:pPr>
            <w:r>
              <w:rPr>
                <w:rFonts w:ascii="Arial" w:cs="Arial" w:eastAsia="Arial" w:hAnsi="Arial"/>
                <w:sz w:val="14"/>
                <w:szCs w:val="14"/>
                <w:color w:val="3E3935"/>
              </w:rPr>
              <w:t>56</w:t>
            </w:r>
          </w:p>
        </w:tc>
        <w:tc>
          <w:tcPr>
            <w:tcW w:w="1060" w:type="dxa"/>
            <w:vAlign w:val="bottom"/>
          </w:tcPr>
          <w:p>
            <w:pPr>
              <w:jc w:val="right"/>
              <w:ind w:right="529"/>
              <w:spacing w:after="0"/>
              <w:rPr>
                <w:sz w:val="20"/>
                <w:szCs w:val="20"/>
                <w:color w:val="auto"/>
              </w:rPr>
            </w:pPr>
            <w:r>
              <w:rPr>
                <w:rFonts w:ascii="Arial" w:cs="Arial" w:eastAsia="Arial" w:hAnsi="Arial"/>
                <w:sz w:val="14"/>
                <w:szCs w:val="14"/>
                <w:color w:val="3E3935"/>
              </w:rPr>
              <w:t>2021</w:t>
            </w:r>
          </w:p>
        </w:tc>
        <w:tc>
          <w:tcPr>
            <w:tcW w:w="2980" w:type="dxa"/>
            <w:vAlign w:val="bottom"/>
          </w:tcPr>
          <w:p>
            <w:pPr>
              <w:ind w:left="580"/>
              <w:spacing w:after="0"/>
              <w:rPr>
                <w:sz w:val="20"/>
                <w:szCs w:val="20"/>
                <w:color w:val="auto"/>
              </w:rPr>
            </w:pPr>
            <w:r>
              <w:rPr>
                <w:rFonts w:ascii="Arial" w:cs="Arial" w:eastAsia="Arial" w:hAnsi="Arial"/>
                <w:sz w:val="14"/>
                <w:szCs w:val="14"/>
                <w:color w:val="3E3935"/>
              </w:rPr>
              <w:t>None</w:t>
            </w:r>
          </w:p>
        </w:tc>
      </w:tr>
      <w:tr>
        <w:trPr>
          <w:trHeight w:val="189"/>
        </w:trPr>
        <w:tc>
          <w:tcPr>
            <w:tcW w:w="5520" w:type="dxa"/>
            <w:vAlign w:val="bottom"/>
          </w:tcPr>
          <w:p>
            <w:pPr>
              <w:ind w:left="1160"/>
              <w:spacing w:after="0"/>
              <w:rPr>
                <w:sz w:val="20"/>
                <w:szCs w:val="20"/>
                <w:color w:val="auto"/>
              </w:rPr>
            </w:pPr>
            <w:r>
              <w:rPr>
                <w:rFonts w:ascii="Arial" w:cs="Arial" w:eastAsia="Arial" w:hAnsi="Arial"/>
                <w:sz w:val="14"/>
                <w:szCs w:val="14"/>
                <w:color w:val="3E3935"/>
              </w:rPr>
              <w:t>Workday, Inc.</w:t>
            </w: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195"/>
        </w:trPr>
        <w:tc>
          <w:tcPr>
            <w:tcW w:w="5520" w:type="dxa"/>
            <w:vAlign w:val="bottom"/>
            <w:tcBorders>
              <w:bottom w:val="single" w:sz="8" w:color="3E3935"/>
            </w:tcBorders>
          </w:tcPr>
          <w:p>
            <w:pPr>
              <w:spacing w:after="0"/>
              <w:rPr>
                <w:sz w:val="16"/>
                <w:szCs w:val="16"/>
                <w:color w:val="auto"/>
              </w:rPr>
            </w:pPr>
          </w:p>
        </w:tc>
        <w:tc>
          <w:tcPr>
            <w:tcW w:w="1360" w:type="dxa"/>
            <w:vAlign w:val="bottom"/>
            <w:tcBorders>
              <w:bottom w:val="single" w:sz="8" w:color="3E3935"/>
            </w:tcBorders>
          </w:tcPr>
          <w:p>
            <w:pPr>
              <w:spacing w:after="0"/>
              <w:rPr>
                <w:sz w:val="16"/>
                <w:szCs w:val="16"/>
                <w:color w:val="auto"/>
              </w:rPr>
            </w:pPr>
          </w:p>
        </w:tc>
        <w:tc>
          <w:tcPr>
            <w:tcW w:w="1060" w:type="dxa"/>
            <w:vAlign w:val="bottom"/>
            <w:tcBorders>
              <w:bottom w:val="single" w:sz="8" w:color="3E3935"/>
            </w:tcBorders>
          </w:tcPr>
          <w:p>
            <w:pPr>
              <w:spacing w:after="0"/>
              <w:rPr>
                <w:sz w:val="16"/>
                <w:szCs w:val="16"/>
                <w:color w:val="auto"/>
              </w:rPr>
            </w:pPr>
          </w:p>
        </w:tc>
        <w:tc>
          <w:tcPr>
            <w:tcW w:w="2980" w:type="dxa"/>
            <w:vAlign w:val="bottom"/>
            <w:tcBorders>
              <w:bottom w:val="single" w:sz="8" w:color="3E3935"/>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85090</wp:posOffset>
            </wp:positionV>
            <wp:extent cx="365125" cy="399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Wesley G. Bush</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160"/>
        </w:trPr>
        <w:tc>
          <w:tcPr>
            <w:tcW w:w="5380" w:type="dxa"/>
            <w:vAlign w:val="bottom"/>
          </w:tcPr>
          <w:p>
            <w:pPr>
              <w:ind w:left="1160"/>
              <w:spacing w:after="0"/>
              <w:rPr>
                <w:sz w:val="20"/>
                <w:szCs w:val="20"/>
                <w:color w:val="auto"/>
              </w:rPr>
            </w:pPr>
            <w:r>
              <w:rPr>
                <w:rFonts w:ascii="Arial" w:cs="Arial" w:eastAsia="Arial" w:hAnsi="Arial"/>
                <w:sz w:val="14"/>
                <w:szCs w:val="14"/>
                <w:color w:val="3E3935"/>
              </w:rPr>
              <w:t>Retired Chairman &amp; Chief Executive Officer</w:t>
            </w:r>
          </w:p>
        </w:tc>
        <w:tc>
          <w:tcPr>
            <w:tcW w:w="1500" w:type="dxa"/>
            <w:vAlign w:val="bottom"/>
          </w:tcPr>
          <w:p>
            <w:pPr>
              <w:jc w:val="right"/>
              <w:ind w:right="69"/>
              <w:spacing w:after="0"/>
              <w:rPr>
                <w:sz w:val="20"/>
                <w:szCs w:val="20"/>
                <w:color w:val="auto"/>
              </w:rPr>
            </w:pPr>
            <w:r>
              <w:rPr>
                <w:rFonts w:ascii="Arial" w:cs="Arial" w:eastAsia="Arial" w:hAnsi="Arial"/>
                <w:sz w:val="14"/>
                <w:szCs w:val="14"/>
                <w:color w:val="3E3935"/>
              </w:rPr>
              <w:t>61</w:t>
            </w:r>
          </w:p>
        </w:tc>
        <w:tc>
          <w:tcPr>
            <w:tcW w:w="1060" w:type="dxa"/>
            <w:vAlign w:val="bottom"/>
          </w:tcPr>
          <w:p>
            <w:pPr>
              <w:jc w:val="right"/>
              <w:ind w:right="529"/>
              <w:spacing w:after="0"/>
              <w:rPr>
                <w:sz w:val="20"/>
                <w:szCs w:val="20"/>
                <w:color w:val="auto"/>
              </w:rPr>
            </w:pPr>
            <w:r>
              <w:rPr>
                <w:rFonts w:ascii="Arial" w:cs="Arial" w:eastAsia="Arial" w:hAnsi="Arial"/>
                <w:sz w:val="14"/>
                <w:szCs w:val="14"/>
                <w:color w:val="3E3935"/>
              </w:rPr>
              <w:t>2019</w:t>
            </w:r>
          </w:p>
        </w:tc>
        <w:tc>
          <w:tcPr>
            <w:tcW w:w="2980" w:type="dxa"/>
            <w:vAlign w:val="bottom"/>
          </w:tcPr>
          <w:p>
            <w:pPr>
              <w:ind w:left="58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202"/>
        </w:trPr>
        <w:tc>
          <w:tcPr>
            <w:tcW w:w="5380" w:type="dxa"/>
            <w:vAlign w:val="bottom"/>
          </w:tcPr>
          <w:p>
            <w:pPr>
              <w:ind w:left="1160"/>
              <w:spacing w:after="0"/>
              <w:rPr>
                <w:sz w:val="20"/>
                <w:szCs w:val="20"/>
                <w:color w:val="auto"/>
              </w:rPr>
            </w:pPr>
            <w:r>
              <w:rPr>
                <w:rFonts w:ascii="Arial" w:cs="Arial" w:eastAsia="Arial" w:hAnsi="Arial"/>
                <w:sz w:val="14"/>
                <w:szCs w:val="14"/>
                <w:color w:val="3E3935"/>
              </w:rPr>
              <w:t>Northrop Grumman Corporation</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3E3935"/>
            </w:tcBorders>
          </w:tcPr>
          <w:p>
            <w:pPr>
              <w:spacing w:after="0"/>
              <w:rPr>
                <w:sz w:val="16"/>
                <w:szCs w:val="16"/>
                <w:color w:val="auto"/>
              </w:rPr>
            </w:pPr>
          </w:p>
        </w:tc>
        <w:tc>
          <w:tcPr>
            <w:tcW w:w="1500" w:type="dxa"/>
            <w:vAlign w:val="bottom"/>
            <w:tcBorders>
              <w:bottom w:val="single" w:sz="8" w:color="3E3935"/>
            </w:tcBorders>
          </w:tcPr>
          <w:p>
            <w:pPr>
              <w:spacing w:after="0"/>
              <w:rPr>
                <w:sz w:val="16"/>
                <w:szCs w:val="16"/>
                <w:color w:val="auto"/>
              </w:rPr>
            </w:pPr>
          </w:p>
        </w:tc>
        <w:tc>
          <w:tcPr>
            <w:tcW w:w="1060" w:type="dxa"/>
            <w:vAlign w:val="bottom"/>
            <w:tcBorders>
              <w:bottom w:val="single" w:sz="8" w:color="3E3935"/>
            </w:tcBorders>
          </w:tcPr>
          <w:p>
            <w:pPr>
              <w:spacing w:after="0"/>
              <w:rPr>
                <w:sz w:val="16"/>
                <w:szCs w:val="16"/>
                <w:color w:val="auto"/>
              </w:rPr>
            </w:pPr>
          </w:p>
        </w:tc>
        <w:tc>
          <w:tcPr>
            <w:tcW w:w="2980" w:type="dxa"/>
            <w:vAlign w:val="bottom"/>
            <w:tcBorders>
              <w:bottom w:val="single" w:sz="8" w:color="3E3935"/>
            </w:tcBorders>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Linda R. Gooden</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Retired Executive Vice President,</w:t>
            </w:r>
          </w:p>
        </w:tc>
        <w:tc>
          <w:tcPr>
            <w:tcW w:w="1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69</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2015</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240"/>
              <w:spacing w:after="0"/>
              <w:rPr>
                <w:sz w:val="20"/>
                <w:szCs w:val="20"/>
                <w:color w:val="auto"/>
              </w:rPr>
            </w:pPr>
            <w:r>
              <w:rPr>
                <w:rFonts w:ascii="Arial" w:cs="Arial" w:eastAsia="Arial" w:hAnsi="Arial"/>
                <w:sz w:val="14"/>
                <w:szCs w:val="14"/>
                <w:color w:val="3E3935"/>
              </w:rPr>
              <w:t>Information Systems &amp; Global Solutions</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Risk and Cybersecurity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101"/>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Lockheed Martin Corporation</w:t>
            </w: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38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5380" w:type="dxa"/>
            <w:vAlign w:val="bottom"/>
            <w:tcBorders>
              <w:bottom w:val="single" w:sz="8" w:color="3E3935"/>
            </w:tcBorders>
          </w:tcPr>
          <w:p>
            <w:pPr>
              <w:spacing w:after="0"/>
              <w:rPr>
                <w:sz w:val="12"/>
                <w:szCs w:val="12"/>
                <w:color w:val="auto"/>
              </w:rPr>
            </w:pPr>
          </w:p>
        </w:tc>
        <w:tc>
          <w:tcPr>
            <w:tcW w:w="1500" w:type="dxa"/>
            <w:vAlign w:val="bottom"/>
            <w:tcBorders>
              <w:bottom w:val="single" w:sz="8" w:color="3E3935"/>
            </w:tcBorders>
          </w:tcPr>
          <w:p>
            <w:pPr>
              <w:spacing w:after="0"/>
              <w:rPr>
                <w:sz w:val="12"/>
                <w:szCs w:val="12"/>
                <w:color w:val="auto"/>
              </w:rPr>
            </w:pPr>
          </w:p>
        </w:tc>
        <w:tc>
          <w:tcPr>
            <w:tcW w:w="1060" w:type="dxa"/>
            <w:vAlign w:val="bottom"/>
            <w:tcBorders>
              <w:bottom w:val="single" w:sz="8" w:color="3E3935"/>
            </w:tcBorders>
          </w:tcPr>
          <w:p>
            <w:pPr>
              <w:spacing w:after="0"/>
              <w:rPr>
                <w:sz w:val="12"/>
                <w:szCs w:val="12"/>
                <w:color w:val="auto"/>
              </w:rPr>
            </w:pPr>
          </w:p>
        </w:tc>
        <w:tc>
          <w:tcPr>
            <w:tcW w:w="2980" w:type="dxa"/>
            <w:vAlign w:val="bottom"/>
            <w:tcBorders>
              <w:bottom w:val="single" w:sz="8" w:color="3E3935"/>
            </w:tcBorders>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5380" w:type="dxa"/>
            <w:vAlign w:val="bottom"/>
            <w:vMerge w:val="restart"/>
          </w:tcPr>
          <w:p>
            <w:pPr>
              <w:ind w:left="1160"/>
              <w:spacing w:after="0"/>
              <w:rPr>
                <w:sz w:val="20"/>
                <w:szCs w:val="20"/>
                <w:color w:val="auto"/>
              </w:rPr>
            </w:pPr>
            <w:r>
              <w:rPr>
                <w:rFonts w:ascii="Arial" w:cs="Arial" w:eastAsia="Arial" w:hAnsi="Arial"/>
                <w:sz w:val="16"/>
                <w:szCs w:val="16"/>
                <w:b w:val="1"/>
                <w:bCs w:val="1"/>
                <w:color w:val="0071CE"/>
              </w:rPr>
              <w:t>Joseph Jimenez</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62</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2015</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Retired Chief Executive Officer</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Finance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Novartis AG</w:t>
            </w:r>
          </w:p>
        </w:tc>
        <w:tc>
          <w:tcPr>
            <w:tcW w:w="1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67"/>
        </w:trPr>
        <w:tc>
          <w:tcPr>
            <w:tcW w:w="53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380" w:type="dxa"/>
            <w:vAlign w:val="bottom"/>
            <w:tcBorders>
              <w:bottom w:val="single" w:sz="8" w:color="3E3935"/>
            </w:tcBorders>
          </w:tcPr>
          <w:p>
            <w:pPr>
              <w:spacing w:after="0"/>
              <w:rPr>
                <w:sz w:val="11"/>
                <w:szCs w:val="11"/>
                <w:color w:val="auto"/>
              </w:rPr>
            </w:pPr>
          </w:p>
        </w:tc>
        <w:tc>
          <w:tcPr>
            <w:tcW w:w="1500" w:type="dxa"/>
            <w:vAlign w:val="bottom"/>
            <w:tcBorders>
              <w:bottom w:val="single" w:sz="8" w:color="3E3935"/>
            </w:tcBorders>
          </w:tcPr>
          <w:p>
            <w:pPr>
              <w:spacing w:after="0"/>
              <w:rPr>
                <w:sz w:val="11"/>
                <w:szCs w:val="11"/>
                <w:color w:val="auto"/>
              </w:rPr>
            </w:pPr>
          </w:p>
        </w:tc>
        <w:tc>
          <w:tcPr>
            <w:tcW w:w="1060" w:type="dxa"/>
            <w:vAlign w:val="bottom"/>
            <w:tcBorders>
              <w:bottom w:val="single" w:sz="8" w:color="3E3935"/>
            </w:tcBorders>
          </w:tcPr>
          <w:p>
            <w:pPr>
              <w:spacing w:after="0"/>
              <w:rPr>
                <w:sz w:val="11"/>
                <w:szCs w:val="11"/>
                <w:color w:val="auto"/>
              </w:rPr>
            </w:pPr>
          </w:p>
        </w:tc>
        <w:tc>
          <w:tcPr>
            <w:tcW w:w="2980" w:type="dxa"/>
            <w:vAlign w:val="bottom"/>
            <w:tcBorders>
              <w:bottom w:val="single" w:sz="8" w:color="3E3935"/>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Judith A. Miscik</w:t>
            </w: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63</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2018</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Chief Executive Officer &amp; Vice Chairman</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95"/>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Kissinger Associates, Inc.</w:t>
            </w: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380" w:type="dxa"/>
            <w:vAlign w:val="bottom"/>
            <w:tcBorders>
              <w:bottom w:val="single" w:sz="8" w:color="3E3935"/>
            </w:tcBorders>
          </w:tcPr>
          <w:p>
            <w:pPr>
              <w:spacing w:after="0"/>
              <w:rPr>
                <w:sz w:val="16"/>
                <w:szCs w:val="16"/>
                <w:color w:val="auto"/>
              </w:rPr>
            </w:pPr>
          </w:p>
        </w:tc>
        <w:tc>
          <w:tcPr>
            <w:tcW w:w="1500" w:type="dxa"/>
            <w:vAlign w:val="bottom"/>
            <w:tcBorders>
              <w:bottom w:val="single" w:sz="8" w:color="3E3935"/>
            </w:tcBorders>
          </w:tcPr>
          <w:p>
            <w:pPr>
              <w:spacing w:after="0"/>
              <w:rPr>
                <w:sz w:val="16"/>
                <w:szCs w:val="16"/>
                <w:color w:val="auto"/>
              </w:rPr>
            </w:pPr>
          </w:p>
        </w:tc>
        <w:tc>
          <w:tcPr>
            <w:tcW w:w="1060" w:type="dxa"/>
            <w:vAlign w:val="bottom"/>
            <w:tcBorders>
              <w:bottom w:val="single" w:sz="8" w:color="3E3935"/>
            </w:tcBorders>
          </w:tcPr>
          <w:p>
            <w:pPr>
              <w:spacing w:after="0"/>
              <w:rPr>
                <w:sz w:val="16"/>
                <w:szCs w:val="16"/>
                <w:color w:val="auto"/>
              </w:rPr>
            </w:pPr>
          </w:p>
        </w:tc>
        <w:tc>
          <w:tcPr>
            <w:tcW w:w="2980" w:type="dxa"/>
            <w:vAlign w:val="bottom"/>
            <w:tcBorders>
              <w:bottom w:val="single" w:sz="8" w:color="3E3935"/>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380" w:type="dxa"/>
            <w:vAlign w:val="bottom"/>
            <w:vMerge w:val="restart"/>
          </w:tcPr>
          <w:p>
            <w:pPr>
              <w:ind w:left="1160"/>
              <w:spacing w:after="0"/>
              <w:rPr>
                <w:sz w:val="20"/>
                <w:szCs w:val="20"/>
                <w:color w:val="auto"/>
              </w:rPr>
            </w:pPr>
            <w:r>
              <w:rPr>
                <w:rFonts w:ascii="Arial" w:cs="Arial" w:eastAsia="Arial" w:hAnsi="Arial"/>
                <w:sz w:val="16"/>
                <w:szCs w:val="16"/>
                <w:b w:val="1"/>
                <w:bCs w:val="1"/>
                <w:color w:val="0071CE"/>
              </w:rPr>
              <w:t>Patricia F. Russo</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69</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2009</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Chair</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Hewlett Packard Enterprise Company</w:t>
            </w:r>
          </w:p>
        </w:tc>
        <w:tc>
          <w:tcPr>
            <w:tcW w:w="1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Governance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73"/>
        </w:trPr>
        <w:tc>
          <w:tcPr>
            <w:tcW w:w="53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380" w:type="dxa"/>
            <w:vAlign w:val="bottom"/>
            <w:tcBorders>
              <w:bottom w:val="single" w:sz="8" w:color="3E3935"/>
            </w:tcBorders>
          </w:tcPr>
          <w:p>
            <w:pPr>
              <w:spacing w:after="0"/>
              <w:rPr>
                <w:sz w:val="10"/>
                <w:szCs w:val="10"/>
                <w:color w:val="auto"/>
              </w:rPr>
            </w:pPr>
          </w:p>
        </w:tc>
        <w:tc>
          <w:tcPr>
            <w:tcW w:w="150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2980" w:type="dxa"/>
            <w:vAlign w:val="bottom"/>
            <w:tcBorders>
              <w:bottom w:val="single" w:sz="8" w:color="3E3935"/>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Thomas M. Schoewe</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 xml:space="preserve">Audit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160"/>
        </w:trPr>
        <w:tc>
          <w:tcPr>
            <w:tcW w:w="5380" w:type="dxa"/>
            <w:vAlign w:val="bottom"/>
          </w:tcPr>
          <w:p>
            <w:pPr>
              <w:ind w:left="1160"/>
              <w:spacing w:after="0"/>
              <w:rPr>
                <w:sz w:val="20"/>
                <w:szCs w:val="20"/>
                <w:color w:val="auto"/>
              </w:rPr>
            </w:pPr>
            <w:r>
              <w:rPr>
                <w:rFonts w:ascii="Arial" w:cs="Arial" w:eastAsia="Arial" w:hAnsi="Arial"/>
                <w:sz w:val="14"/>
                <w:szCs w:val="14"/>
                <w:color w:val="3E3935"/>
              </w:rPr>
              <w:t>Retired Executive Vice President &amp;</w:t>
            </w: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69</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2011</w:t>
            </w:r>
          </w:p>
        </w:tc>
        <w:tc>
          <w:tcPr>
            <w:tcW w:w="2980" w:type="dxa"/>
            <w:vAlign w:val="bottom"/>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109"/>
        </w:trPr>
        <w:tc>
          <w:tcPr>
            <w:tcW w:w="5380" w:type="dxa"/>
            <w:vAlign w:val="bottom"/>
            <w:vMerge w:val="restart"/>
          </w:tcPr>
          <w:p>
            <w:pPr>
              <w:ind w:left="1240"/>
              <w:spacing w:after="0"/>
              <w:rPr>
                <w:sz w:val="20"/>
                <w:szCs w:val="20"/>
                <w:color w:val="auto"/>
              </w:rPr>
            </w:pPr>
            <w:r>
              <w:rPr>
                <w:rFonts w:ascii="Arial" w:cs="Arial" w:eastAsia="Arial" w:hAnsi="Arial"/>
                <w:sz w:val="14"/>
                <w:szCs w:val="14"/>
                <w:color w:val="3E3935"/>
              </w:rPr>
              <w:t>Chief Financial Officer</w:t>
            </w:r>
          </w:p>
        </w:tc>
        <w:tc>
          <w:tcPr>
            <w:tcW w:w="15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52"/>
        </w:trPr>
        <w:tc>
          <w:tcPr>
            <w:tcW w:w="538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1160"/>
              <w:spacing w:after="0"/>
              <w:rPr>
                <w:sz w:val="20"/>
                <w:szCs w:val="20"/>
                <w:color w:val="auto"/>
              </w:rPr>
            </w:pPr>
            <w:r>
              <w:rPr>
                <w:rFonts w:ascii="Arial" w:cs="Arial" w:eastAsia="Arial" w:hAnsi="Arial"/>
                <w:sz w:val="14"/>
                <w:szCs w:val="14"/>
                <w:color w:val="3E3935"/>
              </w:rPr>
              <w:t>Wal-Mart Stores, Inc.</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114"/>
        </w:trPr>
        <w:tc>
          <w:tcPr>
            <w:tcW w:w="5380" w:type="dxa"/>
            <w:vAlign w:val="bottom"/>
            <w:tcBorders>
              <w:bottom w:val="single" w:sz="8" w:color="3E3935"/>
            </w:tcBorders>
          </w:tcPr>
          <w:p>
            <w:pPr>
              <w:spacing w:after="0"/>
              <w:rPr>
                <w:sz w:val="9"/>
                <w:szCs w:val="9"/>
                <w:color w:val="auto"/>
              </w:rPr>
            </w:pPr>
          </w:p>
        </w:tc>
        <w:tc>
          <w:tcPr>
            <w:tcW w:w="1500" w:type="dxa"/>
            <w:vAlign w:val="bottom"/>
            <w:tcBorders>
              <w:bottom w:val="single" w:sz="8" w:color="3E3935"/>
            </w:tcBorders>
          </w:tcPr>
          <w:p>
            <w:pPr>
              <w:spacing w:after="0"/>
              <w:rPr>
                <w:sz w:val="9"/>
                <w:szCs w:val="9"/>
                <w:color w:val="auto"/>
              </w:rPr>
            </w:pPr>
          </w:p>
        </w:tc>
        <w:tc>
          <w:tcPr>
            <w:tcW w:w="1060" w:type="dxa"/>
            <w:vAlign w:val="bottom"/>
            <w:tcBorders>
              <w:bottom w:val="single" w:sz="8" w:color="3E3935"/>
            </w:tcBorders>
          </w:tcPr>
          <w:p>
            <w:pPr>
              <w:spacing w:after="0"/>
              <w:rPr>
                <w:sz w:val="9"/>
                <w:szCs w:val="9"/>
                <w:color w:val="auto"/>
              </w:rPr>
            </w:pPr>
          </w:p>
        </w:tc>
        <w:tc>
          <w:tcPr>
            <w:tcW w:w="2980" w:type="dxa"/>
            <w:vAlign w:val="bottom"/>
            <w:tcBorders>
              <w:bottom w:val="single" w:sz="8" w:color="3E3935"/>
            </w:tcBorders>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Carol M. Stephenson</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Compensation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Retired Dean</w:t>
            </w:r>
          </w:p>
        </w:tc>
        <w:tc>
          <w:tcPr>
            <w:tcW w:w="1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71</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2009</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Ivey Business School,</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95"/>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The University of Western Ontario</w:t>
            </w: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380" w:type="dxa"/>
            <w:vAlign w:val="bottom"/>
            <w:tcBorders>
              <w:bottom w:val="single" w:sz="8" w:color="3E3935"/>
            </w:tcBorders>
          </w:tcPr>
          <w:p>
            <w:pPr>
              <w:spacing w:after="0"/>
              <w:rPr>
                <w:sz w:val="9"/>
                <w:szCs w:val="9"/>
                <w:color w:val="auto"/>
              </w:rPr>
            </w:pPr>
          </w:p>
        </w:tc>
        <w:tc>
          <w:tcPr>
            <w:tcW w:w="1500" w:type="dxa"/>
            <w:vAlign w:val="bottom"/>
            <w:tcBorders>
              <w:bottom w:val="single" w:sz="8" w:color="3E3935"/>
            </w:tcBorders>
          </w:tcPr>
          <w:p>
            <w:pPr>
              <w:spacing w:after="0"/>
              <w:rPr>
                <w:sz w:val="9"/>
                <w:szCs w:val="9"/>
                <w:color w:val="auto"/>
              </w:rPr>
            </w:pPr>
          </w:p>
        </w:tc>
        <w:tc>
          <w:tcPr>
            <w:tcW w:w="1060" w:type="dxa"/>
            <w:vAlign w:val="bottom"/>
            <w:tcBorders>
              <w:bottom w:val="single" w:sz="8" w:color="3E3935"/>
            </w:tcBorders>
          </w:tcPr>
          <w:p>
            <w:pPr>
              <w:spacing w:after="0"/>
              <w:rPr>
                <w:sz w:val="9"/>
                <w:szCs w:val="9"/>
                <w:color w:val="auto"/>
              </w:rPr>
            </w:pPr>
          </w:p>
        </w:tc>
        <w:tc>
          <w:tcPr>
            <w:tcW w:w="2980" w:type="dxa"/>
            <w:vAlign w:val="bottom"/>
            <w:tcBorders>
              <w:bottom w:val="single" w:sz="8" w:color="3E3935"/>
            </w:tcBorders>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Mark A. Tatum</w:t>
            </w: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52</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2021</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Deputy Commissioner &amp; Chief Operating Officer</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95"/>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National Basketball Association</w:t>
            </w: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380" w:type="dxa"/>
            <w:vAlign w:val="bottom"/>
            <w:tcBorders>
              <w:bottom w:val="single" w:sz="8" w:color="3E3935"/>
            </w:tcBorders>
          </w:tcPr>
          <w:p>
            <w:pPr>
              <w:spacing w:after="0"/>
              <w:rPr>
                <w:sz w:val="16"/>
                <w:szCs w:val="16"/>
                <w:color w:val="auto"/>
              </w:rPr>
            </w:pPr>
          </w:p>
        </w:tc>
        <w:tc>
          <w:tcPr>
            <w:tcW w:w="1500" w:type="dxa"/>
            <w:vAlign w:val="bottom"/>
            <w:tcBorders>
              <w:bottom w:val="single" w:sz="8" w:color="3E3935"/>
            </w:tcBorders>
          </w:tcPr>
          <w:p>
            <w:pPr>
              <w:spacing w:after="0"/>
              <w:rPr>
                <w:sz w:val="16"/>
                <w:szCs w:val="16"/>
                <w:color w:val="auto"/>
              </w:rPr>
            </w:pPr>
          </w:p>
        </w:tc>
        <w:tc>
          <w:tcPr>
            <w:tcW w:w="1060" w:type="dxa"/>
            <w:vAlign w:val="bottom"/>
            <w:tcBorders>
              <w:bottom w:val="single" w:sz="8" w:color="3E3935"/>
            </w:tcBorders>
          </w:tcPr>
          <w:p>
            <w:pPr>
              <w:spacing w:after="0"/>
              <w:rPr>
                <w:sz w:val="16"/>
                <w:szCs w:val="16"/>
                <w:color w:val="auto"/>
              </w:rPr>
            </w:pPr>
          </w:p>
        </w:tc>
        <w:tc>
          <w:tcPr>
            <w:tcW w:w="2980" w:type="dxa"/>
            <w:vAlign w:val="bottom"/>
            <w:tcBorders>
              <w:bottom w:val="single" w:sz="8" w:color="3E3935"/>
            </w:tcBorders>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Devin N. Wenig</w:t>
            </w: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55</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2018</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160"/>
        </w:trPr>
        <w:tc>
          <w:tcPr>
            <w:tcW w:w="5380" w:type="dxa"/>
            <w:vAlign w:val="bottom"/>
          </w:tcPr>
          <w:p>
            <w:pPr>
              <w:ind w:left="1160"/>
              <w:spacing w:after="0"/>
              <w:rPr>
                <w:sz w:val="20"/>
                <w:szCs w:val="20"/>
                <w:color w:val="auto"/>
              </w:rPr>
            </w:pPr>
            <w:r>
              <w:rPr>
                <w:rFonts w:ascii="Arial" w:cs="Arial" w:eastAsia="Arial" w:hAnsi="Arial"/>
                <w:sz w:val="14"/>
                <w:szCs w:val="14"/>
                <w:color w:val="3E3935"/>
              </w:rPr>
              <w:t>Retired President &amp; Chief Executive Officer</w:t>
            </w:r>
          </w:p>
        </w:tc>
        <w:tc>
          <w:tcPr>
            <w:tcW w:w="15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1160"/>
              <w:spacing w:after="0"/>
              <w:rPr>
                <w:sz w:val="20"/>
                <w:szCs w:val="20"/>
                <w:color w:val="auto"/>
              </w:rPr>
            </w:pPr>
            <w:r>
              <w:rPr>
                <w:rFonts w:ascii="Arial" w:cs="Arial" w:eastAsia="Arial" w:hAnsi="Arial"/>
                <w:sz w:val="14"/>
                <w:szCs w:val="14"/>
                <w:color w:val="3E3935"/>
              </w:rPr>
              <w:t>eBay Inc.</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80" w:type="dxa"/>
            <w:vAlign w:val="bottom"/>
            <w:tcBorders>
              <w:bottom w:val="single" w:sz="8" w:color="3E3935"/>
            </w:tcBorders>
          </w:tcPr>
          <w:p>
            <w:pPr>
              <w:spacing w:after="0"/>
              <w:rPr>
                <w:sz w:val="16"/>
                <w:szCs w:val="16"/>
                <w:color w:val="auto"/>
              </w:rPr>
            </w:pPr>
          </w:p>
        </w:tc>
        <w:tc>
          <w:tcPr>
            <w:tcW w:w="1500" w:type="dxa"/>
            <w:vAlign w:val="bottom"/>
            <w:tcBorders>
              <w:bottom w:val="single" w:sz="8" w:color="3E3935"/>
            </w:tcBorders>
          </w:tcPr>
          <w:p>
            <w:pPr>
              <w:spacing w:after="0"/>
              <w:rPr>
                <w:sz w:val="16"/>
                <w:szCs w:val="16"/>
                <w:color w:val="auto"/>
              </w:rPr>
            </w:pPr>
          </w:p>
        </w:tc>
        <w:tc>
          <w:tcPr>
            <w:tcW w:w="1060" w:type="dxa"/>
            <w:vAlign w:val="bottom"/>
            <w:tcBorders>
              <w:bottom w:val="single" w:sz="8" w:color="3E3935"/>
            </w:tcBorders>
          </w:tcPr>
          <w:p>
            <w:pPr>
              <w:spacing w:after="0"/>
              <w:rPr>
                <w:sz w:val="16"/>
                <w:szCs w:val="16"/>
                <w:color w:val="auto"/>
              </w:rPr>
            </w:pPr>
          </w:p>
        </w:tc>
        <w:tc>
          <w:tcPr>
            <w:tcW w:w="2980" w:type="dxa"/>
            <w:vAlign w:val="bottom"/>
            <w:tcBorders>
              <w:bottom w:val="single" w:sz="8" w:color="3E3935"/>
            </w:tcBorders>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5380" w:type="dxa"/>
            <w:vAlign w:val="bottom"/>
          </w:tcPr>
          <w:p>
            <w:pPr>
              <w:ind w:left="1160"/>
              <w:spacing w:after="0"/>
              <w:rPr>
                <w:sz w:val="20"/>
                <w:szCs w:val="20"/>
                <w:color w:val="auto"/>
              </w:rPr>
            </w:pPr>
            <w:r>
              <w:rPr>
                <w:rFonts w:ascii="Arial" w:cs="Arial" w:eastAsia="Arial" w:hAnsi="Arial"/>
                <w:sz w:val="16"/>
                <w:szCs w:val="16"/>
                <w:b w:val="1"/>
                <w:bCs w:val="1"/>
                <w:color w:val="0071CE"/>
              </w:rPr>
              <w:t>Margaret C. Whitman</w:t>
            </w:r>
          </w:p>
        </w:tc>
        <w:tc>
          <w:tcPr>
            <w:tcW w:w="1500" w:type="dxa"/>
            <w:vAlign w:val="bottom"/>
            <w:vMerge w:val="restart"/>
          </w:tcPr>
          <w:p>
            <w:pPr>
              <w:jc w:val="right"/>
              <w:ind w:right="69"/>
              <w:spacing w:after="0"/>
              <w:rPr>
                <w:sz w:val="20"/>
                <w:szCs w:val="20"/>
                <w:color w:val="auto"/>
              </w:rPr>
            </w:pPr>
            <w:r>
              <w:rPr>
                <w:rFonts w:ascii="Arial" w:cs="Arial" w:eastAsia="Arial" w:hAnsi="Arial"/>
                <w:sz w:val="14"/>
                <w:szCs w:val="14"/>
                <w:color w:val="3E3935"/>
              </w:rPr>
              <w:t>65</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2021</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67"/>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Retired President &amp; Chief Executive Officer</w:t>
            </w:r>
          </w:p>
        </w:tc>
        <w:tc>
          <w:tcPr>
            <w:tcW w:w="15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95"/>
        </w:trPr>
        <w:tc>
          <w:tcPr>
            <w:tcW w:w="5380" w:type="dxa"/>
            <w:vAlign w:val="bottom"/>
            <w:vMerge w:val="restart"/>
          </w:tcPr>
          <w:p>
            <w:pPr>
              <w:ind w:left="1160"/>
              <w:spacing w:after="0"/>
              <w:rPr>
                <w:sz w:val="20"/>
                <w:szCs w:val="20"/>
                <w:color w:val="auto"/>
              </w:rPr>
            </w:pPr>
            <w:r>
              <w:rPr>
                <w:rFonts w:ascii="Arial" w:cs="Arial" w:eastAsia="Arial" w:hAnsi="Arial"/>
                <w:sz w:val="14"/>
                <w:szCs w:val="14"/>
                <w:color w:val="3E3935"/>
              </w:rPr>
              <w:t>Hewlett Packard Enterprise</w:t>
            </w: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-5845810</wp:posOffset>
            </wp:positionV>
            <wp:extent cx="118745" cy="118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-5361940</wp:posOffset>
            </wp:positionV>
            <wp:extent cx="365125" cy="399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-5208905</wp:posOffset>
            </wp:positionV>
            <wp:extent cx="118745" cy="118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-4741545</wp:posOffset>
            </wp:positionV>
            <wp:extent cx="365125" cy="399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-4572000</wp:posOffset>
            </wp:positionV>
            <wp:extent cx="118745" cy="118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-3952240</wp:posOffset>
            </wp:positionV>
            <wp:extent cx="118745" cy="118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-3502025</wp:posOffset>
            </wp:positionV>
            <wp:extent cx="365125" cy="399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-3331845</wp:posOffset>
            </wp:positionV>
            <wp:extent cx="118745" cy="118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-2882265</wp:posOffset>
            </wp:positionV>
            <wp:extent cx="365125" cy="399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-2712085</wp:posOffset>
            </wp:positionV>
            <wp:extent cx="118745" cy="118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-2261870</wp:posOffset>
            </wp:positionV>
            <wp:extent cx="365125" cy="399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-2092325</wp:posOffset>
            </wp:positionV>
            <wp:extent cx="118745" cy="118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-1642110</wp:posOffset>
            </wp:positionV>
            <wp:extent cx="365125" cy="399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-1472565</wp:posOffset>
            </wp:positionV>
            <wp:extent cx="118745" cy="118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-1022350</wp:posOffset>
            </wp:positionV>
            <wp:extent cx="365125" cy="399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-852170</wp:posOffset>
            </wp:positionV>
            <wp:extent cx="118745" cy="118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-401955</wp:posOffset>
            </wp:positionV>
            <wp:extent cx="365125" cy="399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-232410</wp:posOffset>
            </wp:positionV>
            <wp:extent cx="118745" cy="118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26" w:lineRule="exact"/>
        <w:rPr>
          <w:sz w:val="20"/>
          <w:szCs w:val="20"/>
          <w:color w:val="auto"/>
        </w:rPr>
      </w:pPr>
    </w:p>
    <w:p>
      <w:pPr>
        <w:ind w:left="10680"/>
        <w:spacing w:after="0"/>
        <w:rPr>
          <w:sz w:val="20"/>
          <w:szCs w:val="20"/>
          <w:color w:val="auto"/>
        </w:rPr>
      </w:pPr>
      <w:r>
        <w:rPr>
          <w:rFonts w:ascii="Arial" w:cs="Arial" w:eastAsia="Arial" w:hAnsi="Arial"/>
          <w:sz w:val="14"/>
          <w:szCs w:val="14"/>
          <w:color w:val="0071C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-95885</wp:posOffset>
            </wp:positionV>
            <wp:extent cx="5927725" cy="101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7"/>
        </w:numPr>
        <w:rPr>
          <w:rFonts w:ascii="Times New Roman" w:cs="Times New Roman" w:eastAsia="Times New Roman" w:hAnsi="Times New Roman"/>
          <w:sz w:val="20"/>
          <w:szCs w:val="20"/>
          <w:color w:val="0071CE"/>
        </w:rPr>
      </w:pPr>
      <w:r>
        <w:rPr>
          <w:rFonts w:ascii="Arial" w:cs="Arial" w:eastAsia="Arial" w:hAnsi="Arial"/>
          <w:sz w:val="24"/>
          <w:szCs w:val="24"/>
          <w:color w:val="3E3935"/>
        </w:rPr>
        <w:t>2022 Board Nominee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255270</wp:posOffset>
            </wp:positionV>
            <wp:extent cx="5842635" cy="4857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635" cy="485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739"/>
        <w:spacing w:after="0"/>
        <w:rPr>
          <w:sz w:val="20"/>
          <w:szCs w:val="20"/>
          <w:color w:val="auto"/>
        </w:rPr>
      </w:pPr>
      <w:r>
        <w:rPr>
          <w:rFonts w:ascii="Arial" w:cs="Arial" w:eastAsia="Arial" w:hAnsi="Arial"/>
          <w:sz w:val="14"/>
          <w:szCs w:val="14"/>
          <w:color w:val="0071C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-95885</wp:posOffset>
            </wp:positionV>
            <wp:extent cx="5927725" cy="101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Board Experience and Expertise</w:t>
      </w:r>
    </w:p>
    <w:p>
      <w:pPr>
        <w:spacing w:after="0" w:line="251" w:lineRule="exact"/>
        <w:rPr>
          <w:sz w:val="20"/>
          <w:szCs w:val="20"/>
          <w:color w:val="auto"/>
        </w:rPr>
      </w:pPr>
    </w:p>
    <w:p>
      <w:pPr>
        <w:ind w:left="700" w:hanging="533"/>
        <w:spacing w:after="0"/>
        <w:tabs>
          <w:tab w:leader="none" w:pos="700" w:val="left"/>
        </w:tabs>
        <w:numPr>
          <w:ilvl w:val="0"/>
          <w:numId w:val="8"/>
        </w:numPr>
        <w:rPr>
          <w:rFonts w:ascii="Times New Roman" w:cs="Times New Roman" w:eastAsia="Times New Roman" w:hAnsi="Times New Roman"/>
          <w:sz w:val="21"/>
          <w:szCs w:val="21"/>
          <w:color w:val="0071CE"/>
        </w:rPr>
      </w:pPr>
      <w:r>
        <w:rPr>
          <w:rFonts w:ascii="Arial" w:cs="Arial" w:eastAsia="Arial" w:hAnsi="Arial"/>
          <w:sz w:val="25"/>
          <w:szCs w:val="25"/>
          <w:color w:val="3E3935"/>
        </w:rPr>
        <w:t>Skills Matrix</w:t>
      </w:r>
    </w:p>
    <w:p>
      <w:pPr>
        <w:spacing w:after="0" w:line="222"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3E3935"/>
        </w:rPr>
        <w:t>Our director nominees collectively possess the expertise, leadership skills, and diversity of experiences and backgrounds to oversee management’s execution of its growth strategy and protect long-term shareholder value. The skills matrix below summarizes the qualifications of our director nominees and more detailed information can be found in the director biographies beginning on page 7.</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2180" w:type="dxa"/>
            <w:vAlign w:val="bottom"/>
            <w:shd w:val="clear" w:color="auto" w:fill="0071CE"/>
          </w:tcPr>
          <w:p>
            <w:pPr>
              <w:spacing w:after="0"/>
              <w:rPr>
                <w:sz w:val="14"/>
                <w:szCs w:val="14"/>
                <w:color w:val="auto"/>
              </w:rPr>
            </w:pPr>
          </w:p>
        </w:tc>
        <w:tc>
          <w:tcPr>
            <w:tcW w:w="92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Senior</w:t>
            </w:r>
          </w:p>
        </w:tc>
        <w:tc>
          <w:tcPr>
            <w:tcW w:w="6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96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Risk</w:t>
            </w:r>
          </w:p>
        </w:tc>
        <w:tc>
          <w:tcPr>
            <w:tcW w:w="560" w:type="dxa"/>
            <w:vAlign w:val="bottom"/>
            <w:shd w:val="clear" w:color="auto" w:fill="0071CE"/>
          </w:tcPr>
          <w:p>
            <w:pPr>
              <w:spacing w:after="0"/>
              <w:rPr>
                <w:sz w:val="14"/>
                <w:szCs w:val="14"/>
                <w:color w:val="auto"/>
              </w:rPr>
            </w:pPr>
          </w:p>
        </w:tc>
        <w:tc>
          <w:tcPr>
            <w:tcW w:w="680" w:type="dxa"/>
            <w:vAlign w:val="bottom"/>
            <w:shd w:val="clear" w:color="auto" w:fill="0071CE"/>
          </w:tcPr>
          <w:p>
            <w:pPr>
              <w:spacing w:after="0"/>
              <w:rPr>
                <w:sz w:val="14"/>
                <w:szCs w:val="14"/>
                <w:color w:val="auto"/>
              </w:rPr>
            </w:pPr>
          </w:p>
        </w:tc>
        <w:tc>
          <w:tcPr>
            <w:tcW w:w="2980" w:type="dxa"/>
            <w:vAlign w:val="bottom"/>
            <w:shd w:val="clear" w:color="auto" w:fill="0071CE"/>
          </w:tcPr>
          <w:p>
            <w:pPr>
              <w:ind w:left="2520"/>
              <w:spacing w:after="0"/>
              <w:rPr>
                <w:sz w:val="20"/>
                <w:szCs w:val="20"/>
                <w:color w:val="auto"/>
              </w:rPr>
            </w:pPr>
            <w:r>
              <w:rPr>
                <w:rFonts w:ascii="Arial" w:cs="Arial" w:eastAsia="Arial" w:hAnsi="Arial"/>
                <w:sz w:val="12"/>
                <w:szCs w:val="12"/>
                <w:b w:val="1"/>
                <w:bCs w:val="1"/>
                <w:color w:val="FFFFFF"/>
              </w:rPr>
              <w:t>ESG</w:t>
            </w:r>
          </w:p>
        </w:tc>
      </w:tr>
      <w:tr>
        <w:trPr>
          <w:trHeight w:val="192"/>
        </w:trPr>
        <w:tc>
          <w:tcPr>
            <w:tcW w:w="2180" w:type="dxa"/>
            <w:vAlign w:val="bottom"/>
            <w:shd w:val="clear" w:color="auto" w:fill="0071CE"/>
          </w:tcPr>
          <w:p>
            <w:pPr>
              <w:ind w:left="100"/>
              <w:spacing w:after="0"/>
              <w:rPr>
                <w:sz w:val="20"/>
                <w:szCs w:val="20"/>
                <w:color w:val="auto"/>
              </w:rPr>
            </w:pPr>
            <w:r>
              <w:rPr>
                <w:rFonts w:ascii="Arial" w:cs="Arial" w:eastAsia="Arial" w:hAnsi="Arial"/>
                <w:sz w:val="12"/>
                <w:szCs w:val="12"/>
                <w:b w:val="1"/>
                <w:bCs w:val="1"/>
                <w:color w:val="FFFFFF"/>
              </w:rPr>
              <w:t>Director</w:t>
            </w:r>
          </w:p>
        </w:tc>
        <w:tc>
          <w:tcPr>
            <w:tcW w:w="92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Leadership</w:t>
            </w:r>
          </w:p>
        </w:tc>
        <w:tc>
          <w:tcPr>
            <w:tcW w:w="68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Industry</w:t>
            </w:r>
          </w:p>
        </w:tc>
        <w:tc>
          <w:tcPr>
            <w:tcW w:w="106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Manufacturing</w:t>
            </w:r>
          </w:p>
        </w:tc>
        <w:tc>
          <w:tcPr>
            <w:tcW w:w="90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Technology</w:t>
            </w:r>
          </w:p>
        </w:tc>
        <w:tc>
          <w:tcPr>
            <w:tcW w:w="96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Management</w:t>
            </w:r>
          </w:p>
        </w:tc>
        <w:tc>
          <w:tcPr>
            <w:tcW w:w="56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Global</w:t>
            </w:r>
          </w:p>
        </w:tc>
        <w:tc>
          <w:tcPr>
            <w:tcW w:w="68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Finance</w:t>
            </w:r>
          </w:p>
        </w:tc>
        <w:tc>
          <w:tcPr>
            <w:tcW w:w="2980" w:type="dxa"/>
            <w:vAlign w:val="bottom"/>
            <w:shd w:val="clear" w:color="auto" w:fill="0071CE"/>
          </w:tcPr>
          <w:p>
            <w:pPr>
              <w:ind w:left="100"/>
              <w:spacing w:after="0"/>
              <w:rPr>
                <w:sz w:val="20"/>
                <w:szCs w:val="20"/>
                <w:color w:val="auto"/>
              </w:rPr>
            </w:pPr>
            <w:r>
              <w:rPr>
                <w:rFonts w:ascii="Arial" w:cs="Arial" w:eastAsia="Arial" w:hAnsi="Arial"/>
                <w:sz w:val="12"/>
                <w:szCs w:val="12"/>
                <w:b w:val="1"/>
                <w:bCs w:val="1"/>
                <w:color w:val="FFFFFF"/>
              </w:rPr>
              <w:t>Government   Marketing   Cyber   Expertise</w:t>
            </w:r>
          </w:p>
        </w:tc>
      </w:tr>
      <w:tr>
        <w:trPr>
          <w:trHeight w:val="353"/>
        </w:trPr>
        <w:tc>
          <w:tcPr>
            <w:tcW w:w="2180" w:type="dxa"/>
            <w:vAlign w:val="bottom"/>
            <w:shd w:val="clear" w:color="auto" w:fill="EFEFEE"/>
          </w:tcPr>
          <w:p>
            <w:pPr>
              <w:ind w:left="80"/>
              <w:spacing w:after="0"/>
              <w:rPr>
                <w:sz w:val="20"/>
                <w:szCs w:val="20"/>
                <w:color w:val="auto"/>
              </w:rPr>
            </w:pPr>
            <w:r>
              <w:rPr>
                <w:rFonts w:ascii="Arial" w:cs="Arial" w:eastAsia="Arial" w:hAnsi="Arial"/>
                <w:sz w:val="16"/>
                <w:szCs w:val="16"/>
                <w:b w:val="1"/>
                <w:bCs w:val="1"/>
                <w:color w:val="3E3935"/>
              </w:rPr>
              <w:t>M. Barra</w:t>
            </w:r>
          </w:p>
        </w:tc>
        <w:tc>
          <w:tcPr>
            <w:tcW w:w="920" w:type="dxa"/>
            <w:vAlign w:val="bottom"/>
            <w:shd w:val="clear" w:color="auto" w:fill="EFEFEE"/>
          </w:tcPr>
          <w:p>
            <w:pPr>
              <w:spacing w:after="0"/>
              <w:rPr>
                <w:sz w:val="24"/>
                <w:szCs w:val="24"/>
                <w:color w:val="auto"/>
              </w:rPr>
            </w:pPr>
          </w:p>
        </w:tc>
        <w:tc>
          <w:tcPr>
            <w:tcW w:w="680" w:type="dxa"/>
            <w:vAlign w:val="bottom"/>
            <w:shd w:val="clear" w:color="auto" w:fill="EFEFEE"/>
          </w:tcPr>
          <w:p>
            <w:pPr>
              <w:spacing w:after="0"/>
              <w:rPr>
                <w:sz w:val="24"/>
                <w:szCs w:val="24"/>
                <w:color w:val="auto"/>
              </w:rPr>
            </w:pPr>
          </w:p>
        </w:tc>
        <w:tc>
          <w:tcPr>
            <w:tcW w:w="1060" w:type="dxa"/>
            <w:vAlign w:val="bottom"/>
            <w:shd w:val="clear" w:color="auto" w:fill="EFEFEE"/>
          </w:tcPr>
          <w:p>
            <w:pPr>
              <w:spacing w:after="0"/>
              <w:rPr>
                <w:sz w:val="24"/>
                <w:szCs w:val="24"/>
                <w:color w:val="auto"/>
              </w:rPr>
            </w:pPr>
          </w:p>
        </w:tc>
        <w:tc>
          <w:tcPr>
            <w:tcW w:w="900" w:type="dxa"/>
            <w:vAlign w:val="bottom"/>
            <w:shd w:val="clear" w:color="auto" w:fill="EFEFEE"/>
          </w:tcPr>
          <w:p>
            <w:pPr>
              <w:spacing w:after="0"/>
              <w:rPr>
                <w:sz w:val="24"/>
                <w:szCs w:val="24"/>
                <w:color w:val="auto"/>
              </w:rPr>
            </w:pPr>
          </w:p>
        </w:tc>
        <w:tc>
          <w:tcPr>
            <w:tcW w:w="960" w:type="dxa"/>
            <w:vAlign w:val="bottom"/>
            <w:shd w:val="clear" w:color="auto" w:fill="EFEFEE"/>
          </w:tcPr>
          <w:p>
            <w:pPr>
              <w:spacing w:after="0"/>
              <w:rPr>
                <w:sz w:val="24"/>
                <w:szCs w:val="24"/>
                <w:color w:val="auto"/>
              </w:rPr>
            </w:pPr>
          </w:p>
        </w:tc>
        <w:tc>
          <w:tcPr>
            <w:tcW w:w="560" w:type="dxa"/>
            <w:vAlign w:val="bottom"/>
            <w:shd w:val="clear" w:color="auto" w:fill="EFEFEE"/>
          </w:tcPr>
          <w:p>
            <w:pPr>
              <w:spacing w:after="0"/>
              <w:rPr>
                <w:sz w:val="24"/>
                <w:szCs w:val="24"/>
                <w:color w:val="auto"/>
              </w:rPr>
            </w:pPr>
          </w:p>
        </w:tc>
        <w:tc>
          <w:tcPr>
            <w:tcW w:w="680" w:type="dxa"/>
            <w:vAlign w:val="bottom"/>
            <w:shd w:val="clear" w:color="auto" w:fill="EFEFEE"/>
          </w:tcPr>
          <w:p>
            <w:pPr>
              <w:spacing w:after="0"/>
              <w:rPr>
                <w:sz w:val="24"/>
                <w:szCs w:val="24"/>
                <w:color w:val="auto"/>
              </w:rPr>
            </w:pPr>
          </w:p>
        </w:tc>
        <w:tc>
          <w:tcPr>
            <w:tcW w:w="2980" w:type="dxa"/>
            <w:vAlign w:val="bottom"/>
            <w:shd w:val="clear" w:color="auto" w:fill="EFEFEE"/>
          </w:tcPr>
          <w:p>
            <w:pPr>
              <w:ind w:left="2520"/>
              <w:spacing w:after="0"/>
              <w:rPr>
                <w:sz w:val="20"/>
                <w:szCs w:val="20"/>
                <w:color w:val="auto"/>
              </w:rPr>
            </w:pPr>
            <w:r>
              <w:rPr>
                <w:rFonts w:ascii="Arial" w:cs="Arial" w:eastAsia="Arial" w:hAnsi="Arial"/>
                <w:sz w:val="20"/>
                <w:szCs w:val="20"/>
                <w:b w:val="1"/>
                <w:bCs w:val="1"/>
                <w:color w:val="0071CE"/>
              </w:rPr>
              <w:t>SG</w:t>
            </w:r>
          </w:p>
        </w:tc>
      </w:tr>
      <w:tr>
        <w:trPr>
          <w:trHeight w:val="35"/>
        </w:trPr>
        <w:tc>
          <w:tcPr>
            <w:tcW w:w="2180" w:type="dxa"/>
            <w:vAlign w:val="bottom"/>
            <w:shd w:val="clear" w:color="auto" w:fill="EFEFEE"/>
          </w:tcPr>
          <w:p>
            <w:pPr>
              <w:spacing w:after="0"/>
              <w:rPr>
                <w:sz w:val="3"/>
                <w:szCs w:val="3"/>
                <w:color w:val="auto"/>
              </w:rPr>
            </w:pPr>
          </w:p>
        </w:tc>
        <w:tc>
          <w:tcPr>
            <w:tcW w:w="920" w:type="dxa"/>
            <w:vAlign w:val="bottom"/>
            <w:shd w:val="clear" w:color="auto" w:fill="EFEFEE"/>
          </w:tcPr>
          <w:p>
            <w:pPr>
              <w:spacing w:after="0"/>
              <w:rPr>
                <w:sz w:val="3"/>
                <w:szCs w:val="3"/>
                <w:color w:val="auto"/>
              </w:rPr>
            </w:pPr>
          </w:p>
        </w:tc>
        <w:tc>
          <w:tcPr>
            <w:tcW w:w="680" w:type="dxa"/>
            <w:vAlign w:val="bottom"/>
            <w:shd w:val="clear" w:color="auto" w:fill="EFEFEE"/>
          </w:tcPr>
          <w:p>
            <w:pPr>
              <w:spacing w:after="0"/>
              <w:rPr>
                <w:sz w:val="3"/>
                <w:szCs w:val="3"/>
                <w:color w:val="auto"/>
              </w:rPr>
            </w:pPr>
          </w:p>
        </w:tc>
        <w:tc>
          <w:tcPr>
            <w:tcW w:w="1060" w:type="dxa"/>
            <w:vAlign w:val="bottom"/>
            <w:shd w:val="clear" w:color="auto" w:fill="EFEFEE"/>
          </w:tcPr>
          <w:p>
            <w:pPr>
              <w:spacing w:after="0"/>
              <w:rPr>
                <w:sz w:val="3"/>
                <w:szCs w:val="3"/>
                <w:color w:val="auto"/>
              </w:rPr>
            </w:pPr>
          </w:p>
        </w:tc>
        <w:tc>
          <w:tcPr>
            <w:tcW w:w="900" w:type="dxa"/>
            <w:vAlign w:val="bottom"/>
            <w:shd w:val="clear" w:color="auto" w:fill="EFEFEE"/>
          </w:tcPr>
          <w:p>
            <w:pPr>
              <w:spacing w:after="0"/>
              <w:rPr>
                <w:sz w:val="3"/>
                <w:szCs w:val="3"/>
                <w:color w:val="auto"/>
              </w:rPr>
            </w:pPr>
          </w:p>
        </w:tc>
        <w:tc>
          <w:tcPr>
            <w:tcW w:w="960" w:type="dxa"/>
            <w:vAlign w:val="bottom"/>
            <w:shd w:val="clear" w:color="auto" w:fill="EFEFEE"/>
          </w:tcPr>
          <w:p>
            <w:pPr>
              <w:spacing w:after="0"/>
              <w:rPr>
                <w:sz w:val="3"/>
                <w:szCs w:val="3"/>
                <w:color w:val="auto"/>
              </w:rPr>
            </w:pPr>
          </w:p>
        </w:tc>
        <w:tc>
          <w:tcPr>
            <w:tcW w:w="560" w:type="dxa"/>
            <w:vAlign w:val="bottom"/>
            <w:shd w:val="clear" w:color="auto" w:fill="EFEFEE"/>
          </w:tcPr>
          <w:p>
            <w:pPr>
              <w:spacing w:after="0"/>
              <w:rPr>
                <w:sz w:val="3"/>
                <w:szCs w:val="3"/>
                <w:color w:val="auto"/>
              </w:rPr>
            </w:pPr>
          </w:p>
        </w:tc>
        <w:tc>
          <w:tcPr>
            <w:tcW w:w="680" w:type="dxa"/>
            <w:vAlign w:val="bottom"/>
            <w:shd w:val="clear" w:color="auto" w:fill="EFEFEE"/>
          </w:tcPr>
          <w:p>
            <w:pPr>
              <w:spacing w:after="0"/>
              <w:rPr>
                <w:sz w:val="3"/>
                <w:szCs w:val="3"/>
                <w:color w:val="auto"/>
              </w:rPr>
            </w:pPr>
          </w:p>
        </w:tc>
        <w:tc>
          <w:tcPr>
            <w:tcW w:w="2980" w:type="dxa"/>
            <w:vAlign w:val="bottom"/>
            <w:shd w:val="clear" w:color="auto" w:fill="EFEFEE"/>
          </w:tcPr>
          <w:p>
            <w:pPr>
              <w:spacing w:after="0"/>
              <w:rPr>
                <w:sz w:val="3"/>
                <w:szCs w:val="3"/>
                <w:color w:val="auto"/>
              </w:rPr>
            </w:pPr>
          </w:p>
        </w:tc>
      </w:tr>
    </w:tbl>
    <w:p>
      <w:pPr>
        <w:spacing w:after="0" w:line="83" w:lineRule="exact"/>
        <w:rPr>
          <w:sz w:val="20"/>
          <w:szCs w:val="20"/>
          <w:color w:val="auto"/>
        </w:rPr>
      </w:pPr>
    </w:p>
    <w:p>
      <w:pPr>
        <w:sectPr>
          <w:pgSz w:w="11900" w:h="16838" w:orient="portrait"/>
          <w:cols w:equalWidth="0" w:num="1">
            <w:col w:w="11080"/>
          </w:cols>
          <w:pgMar w:left="320" w:top="454" w:right="499" w:bottom="1440" w:gutter="0" w:footer="0" w:header="0"/>
        </w:sectPr>
      </w:pP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180" w:type="dxa"/>
            <w:vAlign w:val="bottom"/>
          </w:tcPr>
          <w:p>
            <w:pPr>
              <w:ind w:left="80"/>
              <w:spacing w:after="0"/>
              <w:rPr>
                <w:sz w:val="20"/>
                <w:szCs w:val="20"/>
                <w:color w:val="auto"/>
              </w:rPr>
            </w:pPr>
            <w:r>
              <w:rPr>
                <w:rFonts w:ascii="Arial" w:cs="Arial" w:eastAsia="Arial" w:hAnsi="Arial"/>
                <w:sz w:val="16"/>
                <w:szCs w:val="16"/>
                <w:b w:val="1"/>
                <w:bCs w:val="1"/>
                <w:color w:val="3E3935"/>
              </w:rPr>
              <w:t>A. Bhusri</w:t>
            </w: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0"/>
        </w:trPr>
        <w:tc>
          <w:tcPr>
            <w:tcW w:w="2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368"/>
        </w:trPr>
        <w:tc>
          <w:tcPr>
            <w:tcW w:w="2180" w:type="dxa"/>
            <w:vAlign w:val="bottom"/>
            <w:tcBorders>
              <w:bottom w:val="single" w:sz="8" w:color="EFEFEE"/>
            </w:tcBorders>
            <w:shd w:val="clear" w:color="auto" w:fill="EFEFEE"/>
          </w:tcPr>
          <w:p>
            <w:pPr>
              <w:ind w:left="80"/>
              <w:spacing w:after="0"/>
              <w:rPr>
                <w:sz w:val="20"/>
                <w:szCs w:val="20"/>
                <w:color w:val="auto"/>
              </w:rPr>
            </w:pPr>
            <w:r>
              <w:rPr>
                <w:rFonts w:ascii="Arial" w:cs="Arial" w:eastAsia="Arial" w:hAnsi="Arial"/>
                <w:sz w:val="16"/>
                <w:szCs w:val="16"/>
                <w:b w:val="1"/>
                <w:bCs w:val="1"/>
                <w:color w:val="3E3935"/>
              </w:rPr>
              <w:t>W. Bush</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8"/>
        </w:trPr>
        <w:tc>
          <w:tcPr>
            <w:tcW w:w="2180" w:type="dxa"/>
            <w:vAlign w:val="bottom"/>
          </w:tcPr>
          <w:p>
            <w:pPr>
              <w:ind w:left="80"/>
              <w:spacing w:after="0"/>
              <w:rPr>
                <w:sz w:val="20"/>
                <w:szCs w:val="20"/>
                <w:color w:val="auto"/>
              </w:rPr>
            </w:pPr>
            <w:r>
              <w:rPr>
                <w:rFonts w:ascii="Arial" w:cs="Arial" w:eastAsia="Arial" w:hAnsi="Arial"/>
                <w:sz w:val="16"/>
                <w:szCs w:val="16"/>
                <w:b w:val="1"/>
                <w:bCs w:val="1"/>
                <w:color w:val="3E3935"/>
              </w:rPr>
              <w:t>L. Gooden</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
        </w:trPr>
        <w:tc>
          <w:tcPr>
            <w:tcW w:w="2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368"/>
        </w:trPr>
        <w:tc>
          <w:tcPr>
            <w:tcW w:w="2180" w:type="dxa"/>
            <w:vAlign w:val="bottom"/>
            <w:tcBorders>
              <w:bottom w:val="single" w:sz="8" w:color="EFEFEE"/>
            </w:tcBorders>
            <w:shd w:val="clear" w:color="auto" w:fill="EFEFEE"/>
          </w:tcPr>
          <w:p>
            <w:pPr>
              <w:ind w:left="80"/>
              <w:spacing w:after="0"/>
              <w:rPr>
                <w:sz w:val="20"/>
                <w:szCs w:val="20"/>
                <w:color w:val="auto"/>
              </w:rPr>
            </w:pPr>
            <w:r>
              <w:rPr>
                <w:rFonts w:ascii="Arial" w:cs="Arial" w:eastAsia="Arial" w:hAnsi="Arial"/>
                <w:sz w:val="16"/>
                <w:szCs w:val="16"/>
                <w:b w:val="1"/>
                <w:bCs w:val="1"/>
                <w:color w:val="3E3935"/>
              </w:rPr>
              <w:t>J. Jimenez</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8"/>
        </w:trPr>
        <w:tc>
          <w:tcPr>
            <w:tcW w:w="2180" w:type="dxa"/>
            <w:vAlign w:val="bottom"/>
          </w:tcPr>
          <w:p>
            <w:pPr>
              <w:ind w:left="80"/>
              <w:spacing w:after="0"/>
              <w:rPr>
                <w:sz w:val="20"/>
                <w:szCs w:val="20"/>
                <w:color w:val="auto"/>
              </w:rPr>
            </w:pPr>
            <w:r>
              <w:rPr>
                <w:rFonts w:ascii="Arial" w:cs="Arial" w:eastAsia="Arial" w:hAnsi="Arial"/>
                <w:sz w:val="16"/>
                <w:szCs w:val="16"/>
                <w:b w:val="1"/>
                <w:bCs w:val="1"/>
                <w:color w:val="3E3935"/>
              </w:rPr>
              <w:t>J. Miscik</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
        </w:trPr>
        <w:tc>
          <w:tcPr>
            <w:tcW w:w="2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368"/>
        </w:trPr>
        <w:tc>
          <w:tcPr>
            <w:tcW w:w="2180" w:type="dxa"/>
            <w:vAlign w:val="bottom"/>
            <w:tcBorders>
              <w:bottom w:val="single" w:sz="8" w:color="EFEFEE"/>
            </w:tcBorders>
            <w:shd w:val="clear" w:color="auto" w:fill="EFEFEE"/>
          </w:tcPr>
          <w:p>
            <w:pPr>
              <w:ind w:left="80"/>
              <w:spacing w:after="0"/>
              <w:rPr>
                <w:sz w:val="20"/>
                <w:szCs w:val="20"/>
                <w:color w:val="auto"/>
              </w:rPr>
            </w:pPr>
            <w:r>
              <w:rPr>
                <w:rFonts w:ascii="Arial" w:cs="Arial" w:eastAsia="Arial" w:hAnsi="Arial"/>
                <w:sz w:val="16"/>
                <w:szCs w:val="16"/>
                <w:b w:val="1"/>
                <w:bCs w:val="1"/>
                <w:color w:val="3E3935"/>
              </w:rPr>
              <w:t>P. Russo</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8"/>
        </w:trPr>
        <w:tc>
          <w:tcPr>
            <w:tcW w:w="2180" w:type="dxa"/>
            <w:vAlign w:val="bottom"/>
          </w:tcPr>
          <w:p>
            <w:pPr>
              <w:ind w:left="80"/>
              <w:spacing w:after="0"/>
              <w:rPr>
                <w:sz w:val="20"/>
                <w:szCs w:val="20"/>
                <w:color w:val="auto"/>
              </w:rPr>
            </w:pPr>
            <w:r>
              <w:rPr>
                <w:rFonts w:ascii="Arial" w:cs="Arial" w:eastAsia="Arial" w:hAnsi="Arial"/>
                <w:sz w:val="16"/>
                <w:szCs w:val="16"/>
                <w:b w:val="1"/>
                <w:bCs w:val="1"/>
                <w:color w:val="3E3935"/>
              </w:rPr>
              <w:t>T. Schoewe</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
        </w:trPr>
        <w:tc>
          <w:tcPr>
            <w:tcW w:w="2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368"/>
        </w:trPr>
        <w:tc>
          <w:tcPr>
            <w:tcW w:w="2180" w:type="dxa"/>
            <w:vAlign w:val="bottom"/>
            <w:tcBorders>
              <w:bottom w:val="single" w:sz="8" w:color="EFEFEE"/>
            </w:tcBorders>
            <w:shd w:val="clear" w:color="auto" w:fill="EFEFEE"/>
          </w:tcPr>
          <w:p>
            <w:pPr>
              <w:ind w:left="80"/>
              <w:spacing w:after="0"/>
              <w:rPr>
                <w:sz w:val="20"/>
                <w:szCs w:val="20"/>
                <w:color w:val="auto"/>
              </w:rPr>
            </w:pPr>
            <w:r>
              <w:rPr>
                <w:rFonts w:ascii="Arial" w:cs="Arial" w:eastAsia="Arial" w:hAnsi="Arial"/>
                <w:sz w:val="16"/>
                <w:szCs w:val="16"/>
                <w:b w:val="1"/>
                <w:bCs w:val="1"/>
                <w:color w:val="3E3935"/>
              </w:rPr>
              <w:t>C. Stephenson</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8"/>
        </w:trPr>
        <w:tc>
          <w:tcPr>
            <w:tcW w:w="2180" w:type="dxa"/>
            <w:vAlign w:val="bottom"/>
          </w:tcPr>
          <w:p>
            <w:pPr>
              <w:ind w:left="80"/>
              <w:spacing w:after="0"/>
              <w:rPr>
                <w:sz w:val="20"/>
                <w:szCs w:val="20"/>
                <w:color w:val="auto"/>
              </w:rPr>
            </w:pPr>
            <w:r>
              <w:rPr>
                <w:rFonts w:ascii="Arial" w:cs="Arial" w:eastAsia="Arial" w:hAnsi="Arial"/>
                <w:sz w:val="16"/>
                <w:szCs w:val="16"/>
                <w:b w:val="1"/>
                <w:bCs w:val="1"/>
                <w:color w:val="3E3935"/>
              </w:rPr>
              <w:t>M. Tatum</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
        </w:trPr>
        <w:tc>
          <w:tcPr>
            <w:tcW w:w="2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368"/>
        </w:trPr>
        <w:tc>
          <w:tcPr>
            <w:tcW w:w="2180" w:type="dxa"/>
            <w:vAlign w:val="bottom"/>
            <w:tcBorders>
              <w:bottom w:val="single" w:sz="8" w:color="EFEFEE"/>
            </w:tcBorders>
            <w:shd w:val="clear" w:color="auto" w:fill="EFEFEE"/>
          </w:tcPr>
          <w:p>
            <w:pPr>
              <w:ind w:left="80"/>
              <w:spacing w:after="0"/>
              <w:rPr>
                <w:sz w:val="20"/>
                <w:szCs w:val="20"/>
                <w:color w:val="auto"/>
              </w:rPr>
            </w:pPr>
            <w:r>
              <w:rPr>
                <w:rFonts w:ascii="Arial" w:cs="Arial" w:eastAsia="Arial" w:hAnsi="Arial"/>
                <w:sz w:val="16"/>
                <w:szCs w:val="16"/>
                <w:b w:val="1"/>
                <w:bCs w:val="1"/>
                <w:color w:val="3E3935"/>
              </w:rPr>
              <w:t>D. Wenig</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8"/>
        </w:trPr>
        <w:tc>
          <w:tcPr>
            <w:tcW w:w="2180" w:type="dxa"/>
            <w:vAlign w:val="bottom"/>
          </w:tcPr>
          <w:p>
            <w:pPr>
              <w:ind w:left="80"/>
              <w:spacing w:after="0"/>
              <w:rPr>
                <w:sz w:val="20"/>
                <w:szCs w:val="20"/>
                <w:color w:val="auto"/>
              </w:rPr>
            </w:pPr>
            <w:r>
              <w:rPr>
                <w:rFonts w:ascii="Arial" w:cs="Arial" w:eastAsia="Arial" w:hAnsi="Arial"/>
                <w:sz w:val="16"/>
                <w:szCs w:val="16"/>
                <w:b w:val="1"/>
                <w:bCs w:val="1"/>
                <w:color w:val="3E3935"/>
              </w:rPr>
              <w:t>M. Whitman</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-2436495</wp:posOffset>
            </wp:positionV>
            <wp:extent cx="6929755" cy="246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-1944370</wp:posOffset>
            </wp:positionV>
            <wp:extent cx="6929755" cy="246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-1451610</wp:posOffset>
            </wp:positionV>
            <wp:extent cx="6929755" cy="246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-958850</wp:posOffset>
            </wp:positionV>
            <wp:extent cx="6929755" cy="246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-466725</wp:posOffset>
            </wp:positionV>
            <wp:extent cx="6929755" cy="246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25400</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20"/>
          <w:szCs w:val="20"/>
          <w:b w:val="1"/>
          <w:bCs w:val="1"/>
          <w:color w:val="0071CE"/>
        </w:rPr>
        <w:t>SG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0071CE"/>
        </w:rPr>
        <w:t>ESG</w:t>
      </w:r>
    </w:p>
    <w:p>
      <w:pPr>
        <w:spacing w:after="0" w:line="19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SG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EG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SG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SG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SG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0071CE"/>
        </w:rPr>
        <w:t>G</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0071CE"/>
        </w:rPr>
        <w:t>ESG</w:t>
      </w:r>
    </w:p>
    <w:p>
      <w:pPr>
        <w:spacing w:after="0" w:line="259" w:lineRule="exact"/>
        <w:rPr>
          <w:sz w:val="20"/>
          <w:szCs w:val="20"/>
          <w:color w:val="auto"/>
        </w:rPr>
      </w:pPr>
    </w:p>
    <w:p>
      <w:pPr>
        <w:sectPr>
          <w:pgSz w:w="11900" w:h="16838" w:orient="portrait"/>
          <w:cols w:equalWidth="0" w:num="2">
            <w:col w:w="10180" w:space="380"/>
            <w:col w:w="520"/>
          </w:cols>
          <w:pgMar w:left="320" w:top="454" w:right="499" w:bottom="1440" w:gutter="0" w:footer="0" w:header="0"/>
          <w:type w:val="continuous"/>
        </w:sectPr>
      </w:pPr>
    </w:p>
    <w:p>
      <w:pPr>
        <w:ind w:left="10680"/>
        <w:spacing w:after="0"/>
        <w:rPr>
          <w:sz w:val="20"/>
          <w:szCs w:val="20"/>
          <w:color w:val="auto"/>
        </w:rPr>
      </w:pPr>
      <w:r>
        <w:rPr>
          <w:rFonts w:ascii="Arial" w:cs="Arial" w:eastAsia="Arial" w:hAnsi="Arial"/>
          <w:sz w:val="14"/>
          <w:szCs w:val="14"/>
          <w:color w:val="0071C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-95885</wp:posOffset>
            </wp:positionV>
            <wp:extent cx="5927725" cy="101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9"/>
        </w:numPr>
        <w:rPr>
          <w:rFonts w:ascii="Times New Roman" w:cs="Times New Roman" w:eastAsia="Times New Roman" w:hAnsi="Times New Roman"/>
          <w:sz w:val="21"/>
          <w:szCs w:val="21"/>
          <w:color w:val="0071CE"/>
        </w:rPr>
      </w:pPr>
      <w:r>
        <w:rPr>
          <w:rFonts w:ascii="Arial" w:cs="Arial" w:eastAsia="Arial" w:hAnsi="Arial"/>
          <w:sz w:val="25"/>
          <w:szCs w:val="25"/>
          <w:color w:val="3E3935"/>
        </w:rPr>
        <w:t>2021 Enhancement: ESG Self-Evaluation</w:t>
      </w:r>
    </w:p>
    <w:p>
      <w:pPr>
        <w:spacing w:after="0" w:line="15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Last year, the Board conducted a formal ESG self-evaluation. The evaluation was designed to ensure that the Board possesses the requisite skills and expertise to oversee the Company’s ESG opportunities, priorities, and risks. The Governance Committee, led by our Independent Lead Director, spearheaded this effort by asking directors to consider their expertise across the following key ESG subject matter areas:</w:t>
      </w:r>
    </w:p>
    <w:p>
      <w:pPr>
        <w:spacing w:after="0" w:line="77" w:lineRule="exact"/>
        <w:rPr>
          <w:sz w:val="20"/>
          <w:szCs w:val="20"/>
          <w:color w:val="auto"/>
        </w:rPr>
      </w:pPr>
    </w:p>
    <w:p>
      <w:pPr>
        <w:jc w:val="both"/>
        <w:ind w:left="920" w:hanging="218"/>
        <w:spacing w:after="0" w:line="181" w:lineRule="auto"/>
        <w:tabs>
          <w:tab w:leader="none" w:pos="920" w:val="left"/>
        </w:tabs>
        <w:numPr>
          <w:ilvl w:val="0"/>
          <w:numId w:val="10"/>
        </w:numPr>
        <w:rPr>
          <w:rFonts w:ascii="Arial" w:cs="Arial" w:eastAsia="Arial" w:hAnsi="Arial"/>
          <w:sz w:val="43"/>
          <w:szCs w:val="43"/>
          <w:color w:val="00C1DE"/>
          <w:vertAlign w:val="subscript"/>
        </w:rPr>
      </w:pPr>
      <w:r>
        <w:rPr>
          <w:rFonts w:ascii="Arial" w:cs="Arial" w:eastAsia="Arial" w:hAnsi="Arial"/>
          <w:sz w:val="18"/>
          <w:szCs w:val="18"/>
          <w:b w:val="1"/>
          <w:bCs w:val="1"/>
          <w:color w:val="3E3935"/>
        </w:rPr>
        <w:t>Environmental</w:t>
      </w:r>
      <w:r>
        <w:rPr>
          <w:rFonts w:ascii="Arial" w:cs="Arial" w:eastAsia="Arial" w:hAnsi="Arial"/>
          <w:sz w:val="18"/>
          <w:szCs w:val="18"/>
          <w:color w:val="3E3935"/>
        </w:rPr>
        <w:t>: Greenhouse gas emissions; raw material sources; the physical impacts of climate change; air</w:t>
      </w:r>
      <w:r>
        <w:rPr>
          <w:rFonts w:ascii="Arial" w:cs="Arial" w:eastAsia="Arial" w:hAnsi="Arial"/>
          <w:sz w:val="18"/>
          <w:szCs w:val="18"/>
          <w:b w:val="1"/>
          <w:bCs w:val="1"/>
          <w:color w:val="3E3935"/>
        </w:rPr>
        <w:t xml:space="preserve"> </w:t>
      </w:r>
      <w:r>
        <w:rPr>
          <w:rFonts w:ascii="Arial" w:cs="Arial" w:eastAsia="Arial" w:hAnsi="Arial"/>
          <w:sz w:val="18"/>
          <w:szCs w:val="18"/>
          <w:color w:val="3E3935"/>
        </w:rPr>
        <w:t>quality; waste and hazardous materials management; product design and lifecycle management; water and wastewater management; energy efficiency management; and ecological impacts.</w:t>
      </w:r>
    </w:p>
    <w:p>
      <w:pPr>
        <w:spacing w:after="0" w:line="77" w:lineRule="exact"/>
        <w:rPr>
          <w:rFonts w:ascii="Arial" w:cs="Arial" w:eastAsia="Arial" w:hAnsi="Arial"/>
          <w:sz w:val="43"/>
          <w:szCs w:val="43"/>
          <w:color w:val="00C1DE"/>
          <w:vertAlign w:val="subscript"/>
        </w:rPr>
      </w:pPr>
    </w:p>
    <w:p>
      <w:pPr>
        <w:ind w:left="920" w:hanging="218"/>
        <w:spacing w:after="0" w:line="182" w:lineRule="auto"/>
        <w:tabs>
          <w:tab w:leader="none" w:pos="920" w:val="left"/>
        </w:tabs>
        <w:numPr>
          <w:ilvl w:val="0"/>
          <w:numId w:val="10"/>
        </w:numPr>
        <w:rPr>
          <w:rFonts w:ascii="Arial" w:cs="Arial" w:eastAsia="Arial" w:hAnsi="Arial"/>
          <w:sz w:val="38"/>
          <w:szCs w:val="38"/>
          <w:color w:val="00C1DE"/>
          <w:vertAlign w:val="subscript"/>
        </w:rPr>
      </w:pPr>
      <w:r>
        <w:rPr>
          <w:rFonts w:ascii="Arial" w:cs="Arial" w:eastAsia="Arial" w:hAnsi="Arial"/>
          <w:sz w:val="16"/>
          <w:szCs w:val="16"/>
          <w:b w:val="1"/>
          <w:bCs w:val="1"/>
          <w:color w:val="3E3935"/>
        </w:rPr>
        <w:t>Social</w:t>
      </w:r>
      <w:r>
        <w:rPr>
          <w:rFonts w:ascii="Arial" w:cs="Arial" w:eastAsia="Arial" w:hAnsi="Arial"/>
          <w:sz w:val="16"/>
          <w:szCs w:val="16"/>
          <w:color w:val="3E3935"/>
        </w:rPr>
        <w:t>: DE&amp;I; data privacy; human rights; community relations; workplace health and safety; supply chain</w:t>
      </w:r>
      <w:r>
        <w:rPr>
          <w:rFonts w:ascii="Arial" w:cs="Arial" w:eastAsia="Arial" w:hAnsi="Arial"/>
          <w:sz w:val="16"/>
          <w:szCs w:val="16"/>
          <w:b w:val="1"/>
          <w:bCs w:val="1"/>
          <w:color w:val="3E3935"/>
        </w:rPr>
        <w:t xml:space="preserve"> </w:t>
      </w:r>
      <w:r>
        <w:rPr>
          <w:rFonts w:ascii="Arial" w:cs="Arial" w:eastAsia="Arial" w:hAnsi="Arial"/>
          <w:sz w:val="16"/>
          <w:szCs w:val="16"/>
          <w:color w:val="3E3935"/>
        </w:rPr>
        <w:t>management; human capital management; consumer privacy; product quality and safety; and labor practices.</w:t>
      </w:r>
    </w:p>
    <w:p>
      <w:pPr>
        <w:spacing w:after="0" w:line="77" w:lineRule="exact"/>
        <w:rPr>
          <w:rFonts w:ascii="Arial" w:cs="Arial" w:eastAsia="Arial" w:hAnsi="Arial"/>
          <w:sz w:val="38"/>
          <w:szCs w:val="38"/>
          <w:color w:val="00C1DE"/>
          <w:vertAlign w:val="subscript"/>
        </w:rPr>
      </w:pPr>
    </w:p>
    <w:p>
      <w:pPr>
        <w:jc w:val="both"/>
        <w:ind w:left="920" w:hanging="218"/>
        <w:spacing w:after="0" w:line="181" w:lineRule="auto"/>
        <w:tabs>
          <w:tab w:leader="none" w:pos="920" w:val="left"/>
        </w:tabs>
        <w:numPr>
          <w:ilvl w:val="0"/>
          <w:numId w:val="10"/>
        </w:numPr>
        <w:rPr>
          <w:rFonts w:ascii="Arial" w:cs="Arial" w:eastAsia="Arial" w:hAnsi="Arial"/>
          <w:sz w:val="43"/>
          <w:szCs w:val="43"/>
          <w:color w:val="00C1DE"/>
          <w:vertAlign w:val="subscript"/>
        </w:rPr>
      </w:pPr>
      <w:r>
        <w:rPr>
          <w:rFonts w:ascii="Arial" w:cs="Arial" w:eastAsia="Arial" w:hAnsi="Arial"/>
          <w:sz w:val="18"/>
          <w:szCs w:val="18"/>
          <w:b w:val="1"/>
          <w:bCs w:val="1"/>
          <w:color w:val="3E3935"/>
        </w:rPr>
        <w:t>Governance</w:t>
      </w:r>
      <w:r>
        <w:rPr>
          <w:rFonts w:ascii="Arial" w:cs="Arial" w:eastAsia="Arial" w:hAnsi="Arial"/>
          <w:sz w:val="18"/>
          <w:szCs w:val="18"/>
          <w:color w:val="3E3935"/>
        </w:rPr>
        <w:t>: Public company board governance; legal and regulatory matters; executive compensation; compliance</w:t>
      </w:r>
      <w:r>
        <w:rPr>
          <w:rFonts w:ascii="Arial" w:cs="Arial" w:eastAsia="Arial" w:hAnsi="Arial"/>
          <w:sz w:val="18"/>
          <w:szCs w:val="18"/>
          <w:b w:val="1"/>
          <w:bCs w:val="1"/>
          <w:color w:val="3E3935"/>
        </w:rPr>
        <w:t xml:space="preserve"> </w:t>
      </w:r>
      <w:r>
        <w:rPr>
          <w:rFonts w:ascii="Arial" w:cs="Arial" w:eastAsia="Arial" w:hAnsi="Arial"/>
          <w:sz w:val="18"/>
          <w:szCs w:val="18"/>
          <w:color w:val="3E3935"/>
        </w:rPr>
        <w:t>and business ethics; anti-competitive practices; risk management; and ESG reporting principles and frameworks (e.g., Task Force on Climate-Related Financial Disclosures; Value Reporting Foundation).</w:t>
      </w:r>
    </w:p>
    <w:p>
      <w:pPr>
        <w:spacing w:after="0" w:line="106"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Upon the conclusion of this evaluation, the Board determined that it has strong ESG expertise and possesses a broad range of skills, qualifications, and attributes that will support the Company’s ambitious EV transition, growth strategy, and sustainability and DE&amp;I goals. The Board further determined it would not benefit at this time from adding a “special purpose” director exclusively on the basis of ESG criteria. The Board believes that it makes decisions as a group and has a collective responsibility to make informed decisions on a deliberative basis on all issues, including those related to ESG.</w:t>
      </w:r>
    </w:p>
    <w:p>
      <w:pPr>
        <w:spacing w:after="0" w:line="92"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Results of the Board’s ESG self-evaluation are represented on the Board’s skill matrix above. Additional ESG insights are provided for each director nominee beginning on page 7 of this Proxy Statement under the heading “Director Biographies.” The Board intends to continue this practice going forward to ensure the Board remains an asset to the Company and its management team with respect to emerging ESG issues.</w:t>
      </w:r>
    </w:p>
    <w:p>
      <w:pPr>
        <w:spacing w:after="0" w:line="118"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-95885</wp:posOffset>
            </wp:positionV>
            <wp:extent cx="5927725" cy="101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920" w:type="dxa"/>
            <w:vAlign w:val="bottom"/>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634"/>
        </w:trPr>
        <w:tc>
          <w:tcPr>
            <w:tcW w:w="480" w:type="dxa"/>
            <w:vAlign w:val="bottom"/>
          </w:tcPr>
          <w:p>
            <w:pPr>
              <w:ind w:left="160"/>
              <w:spacing w:after="0"/>
              <w:rPr>
                <w:sz w:val="20"/>
                <w:szCs w:val="20"/>
                <w:color w:val="auto"/>
              </w:rPr>
            </w:pPr>
            <w:r>
              <w:rPr>
                <w:rFonts w:ascii="Times New Roman" w:cs="Times New Roman" w:eastAsia="Times New Roman" w:hAnsi="Times New Roman"/>
                <w:sz w:val="21"/>
                <w:szCs w:val="21"/>
                <w:color w:val="0071CE"/>
              </w:rPr>
              <w:t>u</w:t>
            </w:r>
          </w:p>
        </w:tc>
        <w:tc>
          <w:tcPr>
            <w:tcW w:w="6140" w:type="dxa"/>
            <w:vAlign w:val="bottom"/>
            <w:gridSpan w:val="2"/>
          </w:tcPr>
          <w:p>
            <w:pPr>
              <w:ind w:left="220"/>
              <w:spacing w:after="0"/>
              <w:rPr>
                <w:sz w:val="20"/>
                <w:szCs w:val="20"/>
                <w:color w:val="auto"/>
              </w:rPr>
            </w:pPr>
            <w:r>
              <w:rPr>
                <w:rFonts w:ascii="Arial" w:cs="Arial" w:eastAsia="Arial" w:hAnsi="Arial"/>
                <w:sz w:val="25"/>
                <w:szCs w:val="25"/>
                <w:b w:val="1"/>
                <w:bCs w:val="1"/>
                <w:color w:val="3E3935"/>
              </w:rPr>
              <w:t>Director Biographies</w:t>
            </w:r>
          </w:p>
        </w:tc>
        <w:tc>
          <w:tcPr>
            <w:tcW w:w="3920" w:type="dxa"/>
            <w:vAlign w:val="bottom"/>
          </w:tcPr>
          <w:p>
            <w:pPr>
              <w:spacing w:after="0"/>
              <w:rPr>
                <w:sz w:val="24"/>
                <w:szCs w:val="24"/>
                <w:color w:val="auto"/>
              </w:rPr>
            </w:pPr>
          </w:p>
        </w:tc>
      </w:tr>
      <w:tr>
        <w:trPr>
          <w:trHeight w:val="847"/>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80" w:type="dxa"/>
            <w:vAlign w:val="bottom"/>
          </w:tcPr>
          <w:p>
            <w:pPr>
              <w:ind w:left="136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2014</w:t>
            </w:r>
          </w:p>
        </w:tc>
        <w:tc>
          <w:tcPr>
            <w:tcW w:w="3920" w:type="dxa"/>
            <w:vAlign w:val="bottom"/>
          </w:tcPr>
          <w:p>
            <w:pPr>
              <w:ind w:left="196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2009</w:t>
            </w:r>
          </w:p>
        </w:tc>
      </w:tr>
      <w:tr>
        <w:trPr>
          <w:trHeight w:val="214"/>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80" w:type="dxa"/>
            <w:vAlign w:val="bottom"/>
          </w:tcPr>
          <w:p>
            <w:pPr>
              <w:ind w:left="1360"/>
              <w:spacing w:after="0" w:line="214" w:lineRule="exact"/>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60</w:t>
            </w:r>
          </w:p>
        </w:tc>
        <w:tc>
          <w:tcPr>
            <w:tcW w:w="3920" w:type="dxa"/>
            <w:vAlign w:val="bottom"/>
          </w:tcPr>
          <w:p>
            <w:pPr>
              <w:ind w:left="1960"/>
              <w:spacing w:after="0" w:line="214" w:lineRule="exact"/>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69</w:t>
            </w:r>
          </w:p>
        </w:tc>
      </w:tr>
      <w:tr>
        <w:trPr>
          <w:trHeight w:val="214"/>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80" w:type="dxa"/>
            <w:vAlign w:val="bottom"/>
          </w:tcPr>
          <w:p>
            <w:pPr>
              <w:ind w:left="1360"/>
              <w:spacing w:after="0" w:line="214" w:lineRule="exact"/>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No</w:t>
            </w:r>
          </w:p>
        </w:tc>
        <w:tc>
          <w:tcPr>
            <w:tcW w:w="3920" w:type="dxa"/>
            <w:vAlign w:val="bottom"/>
          </w:tcPr>
          <w:p>
            <w:pPr>
              <w:ind w:left="1960"/>
              <w:spacing w:after="0" w:line="214" w:lineRule="exact"/>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tc>
      </w:tr>
      <w:tr>
        <w:trPr>
          <w:trHeight w:val="214"/>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80" w:type="dxa"/>
            <w:vAlign w:val="bottom"/>
          </w:tcPr>
          <w:p>
            <w:pPr>
              <w:ind w:left="1360"/>
              <w:spacing w:after="0" w:line="214" w:lineRule="exact"/>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tc>
        <w:tc>
          <w:tcPr>
            <w:tcW w:w="3920" w:type="dxa"/>
            <w:vAlign w:val="bottom"/>
          </w:tcPr>
          <w:p>
            <w:pPr>
              <w:ind w:left="1960"/>
              <w:spacing w:after="0" w:line="214" w:lineRule="exact"/>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tc>
      </w:tr>
      <w:tr>
        <w:trPr>
          <w:trHeight w:val="269"/>
        </w:trPr>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80" w:type="dxa"/>
            <w:vAlign w:val="bottom"/>
          </w:tcPr>
          <w:p>
            <w:pPr>
              <w:ind w:left="136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tc>
        <w:tc>
          <w:tcPr>
            <w:tcW w:w="3920" w:type="dxa"/>
            <w:vAlign w:val="bottom"/>
          </w:tcPr>
          <w:p>
            <w:pPr>
              <w:ind w:left="1960"/>
              <w:spacing w:after="0"/>
              <w:rPr>
                <w:sz w:val="20"/>
                <w:szCs w:val="20"/>
                <w:color w:val="auto"/>
              </w:rPr>
            </w:pPr>
            <w:r>
              <w:rPr>
                <w:rFonts w:ascii="Arial" w:cs="Arial" w:eastAsia="Arial" w:hAnsi="Arial"/>
                <w:sz w:val="20"/>
                <w:szCs w:val="20"/>
                <w:b w:val="1"/>
                <w:bCs w:val="1"/>
                <w:color w:val="3E3935"/>
                <w:w w:val="96"/>
              </w:rPr>
              <w:t>Race/Ethnicity</w:t>
            </w:r>
            <w:r>
              <w:rPr>
                <w:rFonts w:ascii="Arial" w:cs="Arial" w:eastAsia="Arial" w:hAnsi="Arial"/>
                <w:sz w:val="20"/>
                <w:szCs w:val="20"/>
                <w:color w:val="3E3935"/>
                <w:w w:val="96"/>
              </w:rPr>
              <w:t>: White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-979170</wp:posOffset>
            </wp:positionV>
            <wp:extent cx="1256665" cy="12566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-979170</wp:posOffset>
            </wp:positionV>
            <wp:extent cx="1256665" cy="1256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2020"/>
        <w:spacing w:after="0"/>
        <w:rPr>
          <w:sz w:val="20"/>
          <w:szCs w:val="20"/>
          <w:color w:val="auto"/>
        </w:rPr>
      </w:pPr>
      <w:r>
        <w:rPr>
          <w:rFonts w:ascii="Arial" w:cs="Arial" w:eastAsia="Arial" w:hAnsi="Arial"/>
          <w:sz w:val="21"/>
          <w:szCs w:val="21"/>
          <w:b w:val="1"/>
          <w:bCs w:val="1"/>
          <w:color w:val="0071CE"/>
        </w:rPr>
        <w:t>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3201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60"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Chair &amp; CEO,</w:t>
      </w:r>
    </w:p>
    <w:p>
      <w:pPr>
        <w:spacing w:after="0" w:line="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201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Executive (Chair)</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00C1DE"/>
        </w:rPr>
        <w:t xml:space="preserve">Other Public Company Directorships: </w:t>
      </w:r>
      <w:r>
        <w:rPr>
          <w:rFonts w:ascii="Arial" w:cs="Arial" w:eastAsia="Arial" w:hAnsi="Arial"/>
          <w:sz w:val="19"/>
          <w:szCs w:val="19"/>
          <w:color w:val="3E3935"/>
        </w:rPr>
        <w:t>The Walt Disney</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Company</w:t>
      </w:r>
    </w:p>
    <w:p>
      <w:pPr>
        <w:spacing w:after="0" w:line="126" w:lineRule="exact"/>
        <w:rPr>
          <w:sz w:val="20"/>
          <w:szCs w:val="20"/>
          <w:color w:val="auto"/>
        </w:rPr>
      </w:pPr>
    </w:p>
    <w:p>
      <w:pPr>
        <w:ind w:left="160"/>
        <w:spacing w:after="0"/>
        <w:tabs>
          <w:tab w:leader="none" w:pos="880" w:val="left"/>
          <w:tab w:leader="none" w:pos="1740" w:val="left"/>
          <w:tab w:leader="none" w:pos="2900" w:val="left"/>
          <w:tab w:leader="none" w:pos="4480" w:val="left"/>
        </w:tabs>
        <w:rPr>
          <w:sz w:val="20"/>
          <w:szCs w:val="20"/>
          <w:color w:val="auto"/>
        </w:rPr>
      </w:pPr>
      <w:r>
        <w:rPr>
          <w:rFonts w:ascii="Arial" w:cs="Arial" w:eastAsia="Arial" w:hAnsi="Arial"/>
          <w:sz w:val="20"/>
          <w:szCs w:val="20"/>
          <w:b w:val="1"/>
          <w:bCs w:val="1"/>
          <w:i w:val="1"/>
          <w:iCs w:val="1"/>
          <w:color w:val="00C1DE"/>
        </w:rPr>
        <w:t>Prior</w:t>
        <w:tab/>
        <w:t>Public</w:t>
        <w:tab/>
        <w:t>Company</w:t>
        <w:tab/>
        <w:t>Directorships:</w:t>
      </w:r>
      <w:r>
        <w:rPr>
          <w:sz w:val="20"/>
          <w:szCs w:val="20"/>
          <w:color w:val="auto"/>
        </w:rPr>
        <w:tab/>
      </w:r>
      <w:r>
        <w:rPr>
          <w:rFonts w:ascii="Arial" w:cs="Arial" w:eastAsia="Arial" w:hAnsi="Arial"/>
          <w:sz w:val="19"/>
          <w:szCs w:val="19"/>
          <w:color w:val="3E3935"/>
        </w:rPr>
        <w:t>General</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Dynamics Corporation</w:t>
      </w:r>
    </w:p>
    <w:p>
      <w:pPr>
        <w:spacing w:after="0" w:line="126"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b w:val="1"/>
          <w:bCs w:val="1"/>
          <w:i w:val="1"/>
          <w:iCs w:val="1"/>
          <w:color w:val="00C1DE"/>
        </w:rPr>
        <w:t xml:space="preserve">Prior Experience: </w:t>
      </w:r>
      <w:r>
        <w:rPr>
          <w:rFonts w:ascii="Arial" w:cs="Arial" w:eastAsia="Arial" w:hAnsi="Arial"/>
          <w:sz w:val="19"/>
          <w:szCs w:val="19"/>
          <w:color w:val="3E3935"/>
        </w:rPr>
        <w:t>Ms. Barra is Chair and CEO of</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General Motors. She has served as Chair of the Board of Directors since January 2016 and has served as CEO since January 2014. Prior to becoming CEO, Ms. Barra served as GM’s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with GM in 1980.</w:t>
      </w:r>
    </w:p>
    <w:p>
      <w:pPr>
        <w:spacing w:after="0" w:line="12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Barra has in-depth</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knowledge of the Company and the global automotive industry; extensive senior leadership, strategic planning, operational, and business experience; and a strong engineering background with experience in global product development.</w:t>
      </w:r>
    </w:p>
    <w:p>
      <w:pPr>
        <w:spacing w:after="0" w:line="122"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Barra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 in particular, workplace health and safety – during her career at GM, which has included various executive roles in manufacturing and plant management. As Chair and CEO, she has initiated many workplace safety process improvements and holds herself and the leadership team accountable for the personal safety of GM employees. GM benefits from Ms. Barra’s experience in this area as it seeks to create a world with zero crashes.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60325</wp:posOffset>
            </wp:positionV>
            <wp:extent cx="3448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Chair,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Hewlett Packard Enterprise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43180</wp:posOffset>
            </wp:positionV>
            <wp:extent cx="3448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Executive, Finance,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 (Chair)</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Hewlett Packard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Enterprise Company (Chair), KKR Management LLC, and Merck &amp; Co. Inc.</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Hewlett-Packard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3E3935"/>
        </w:rPr>
        <w:t>Company and Arconic, Inc.</w:t>
      </w:r>
    </w:p>
    <w:p>
      <w:pPr>
        <w:spacing w:after="0" w:line="1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Russo served as Lead Director of</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Hewlett-Packard Company’s board of directors from 2014 to 2015. She was GM’s Independent Lead Director from March 2010 to January 2014, and in 2021 she was re-appointed to that role. Ms. Russo served as CEO of Alcatel -Lucent S.A. from 2006 to 2008; Chairman and CEO of Lucent Technologies, Inc. (“Lucent”) from 2003 to 2006; and President and CEO of Lucent from 2002 to 2006.</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Russo has extensive senior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experience in corporate strategy, finance, sales and marketing, technology, and leadership development, as well as experience managing business-critical technology disruptions.</w:t>
      </w:r>
    </w:p>
    <w:p>
      <w:pPr>
        <w:spacing w:after="0" w:line="11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Russo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 expertise – in particular, board governance – during her tenure as chair of Hewlett Packard Enterprise Company and service on the JUST Capital board. In these capacities, among others, she advocates for enhanced ESG standards for directors and the inclusion of ESG metrics to drive strategic decisions. GM benefits from Ms. Russo’s experience as it works to continue to provide ESG disclosures that are meaningful to our investors and other stakeholders.</w:t>
      </w:r>
    </w:p>
    <w:p>
      <w:pPr>
        <w:spacing w:after="0" w:line="200" w:lineRule="exact"/>
        <w:rPr>
          <w:sz w:val="20"/>
          <w:szCs w:val="20"/>
          <w:color w:val="auto"/>
        </w:rPr>
      </w:pPr>
    </w:p>
    <w:p>
      <w:pPr>
        <w:spacing w:after="0" w:line="365" w:lineRule="exact"/>
        <w:rPr>
          <w:sz w:val="20"/>
          <w:szCs w:val="20"/>
          <w:color w:val="auto"/>
        </w:rPr>
      </w:pPr>
    </w:p>
    <w:p>
      <w:pPr>
        <w:ind w:left="4920"/>
        <w:spacing w:after="0"/>
        <w:rPr>
          <w:sz w:val="20"/>
          <w:szCs w:val="20"/>
          <w:color w:val="auto"/>
        </w:rPr>
      </w:pPr>
      <w:r>
        <w:rPr>
          <w:rFonts w:ascii="Arial" w:cs="Arial" w:eastAsia="Arial" w:hAnsi="Arial"/>
          <w:sz w:val="14"/>
          <w:szCs w:val="14"/>
          <w:color w:val="0071C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-95885</wp:posOffset>
            </wp:positionV>
            <wp:extent cx="5927725" cy="101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200" w:space="560"/>
            <w:col w:w="5320"/>
          </w:cols>
          <w:pgMar w:left="320" w:top="441" w:right="4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203835</wp:posOffset>
            </wp:positionV>
            <wp:extent cx="1256665" cy="12566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2021</w:t>
      </w:r>
    </w:p>
    <w:p>
      <w:pPr>
        <w:ind w:left="2700"/>
        <w:spacing w:after="0" w:line="227"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56</w:t>
      </w:r>
    </w:p>
    <w:p>
      <w:pPr>
        <w:ind w:left="2700"/>
        <w:spacing w:after="0" w:line="223"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700"/>
        <w:spacing w:after="0" w:line="224"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ind w:left="2700"/>
        <w:spacing w:after="0" w:line="223" w:lineRule="auto"/>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Indian</w:t>
      </w:r>
    </w:p>
    <w:p>
      <w:pPr>
        <w:ind w:left="2680"/>
        <w:spacing w:after="0"/>
        <w:rPr>
          <w:sz w:val="20"/>
          <w:szCs w:val="20"/>
          <w:color w:val="auto"/>
        </w:rPr>
      </w:pPr>
      <w:r>
        <w:rPr>
          <w:rFonts w:ascii="Arial" w:cs="Arial" w:eastAsia="Arial" w:hAnsi="Arial"/>
          <w:sz w:val="20"/>
          <w:szCs w:val="20"/>
          <w:color w:val="3E3935"/>
        </w:rPr>
        <w:t>American</w:t>
      </w:r>
    </w:p>
    <w:p>
      <w:pPr>
        <w:spacing w:after="0" w:line="200" w:lineRule="exact"/>
        <w:rPr>
          <w:sz w:val="20"/>
          <w:szCs w:val="20"/>
          <w:color w:val="auto"/>
        </w:rPr>
      </w:pPr>
    </w:p>
    <w:p>
      <w:pPr>
        <w:spacing w:after="0" w:line="227"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3201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60"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Chairman, Co-Founder &amp; Co-CEO,</w:t>
      </w:r>
    </w:p>
    <w:p>
      <w:pPr>
        <w:spacing w:after="0" w:line="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Workday,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201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None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Workday, Inc.</w:t>
      </w:r>
    </w:p>
    <w:p>
      <w:pPr>
        <w:spacing w:after="0" w:line="144"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Okta, Inc.,</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Cloudera, Inc., Pure Storage, Inc., and Intel Corporation</w:t>
      </w:r>
    </w:p>
    <w:p>
      <w:pPr>
        <w:spacing w:after="0" w:line="107"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Bhusri is a Co-Founder and Co-CEO of Workday, Inc. (“Workday”) and Chairman of its board. Before co-founding Workday in 2005, he held a number of leadership positions at PeopleSoft, Inc., including serving as Vice Chairman of the board and Senior Vice President responsible for product strategy, business development, and marketing. In addition to his role at Workday, Mr. Bhusri is an advisor at Greylock Partners, a leading venture capital firm.</w:t>
      </w:r>
    </w:p>
    <w:p>
      <w:pPr>
        <w:spacing w:after="0" w:line="12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Bhusri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expertise in software, technology, and fostering growth companies from the start-up phase into mature, public companies. He also has strong leadership experience gained through his role as the CEO of a large, public technology company.</w:t>
      </w:r>
    </w:p>
    <w:p>
      <w:pPr>
        <w:spacing w:after="0" w:line="12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Bhusri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as the Co-Founder and Co-CEO of Workday. In that capacity, he advocates for human capital management solutions that focus, in part, on employee engagement. GM benefits from Mr. Bhusri’s experience in this area as it takes steps to be the most inclusive company in the world and seeks to minimize the impacts of the transition to EVs on employees.</w:t>
      </w:r>
    </w:p>
    <w:p>
      <w:pPr>
        <w:spacing w:after="0" w:line="137" w:lineRule="exact"/>
        <w:rPr>
          <w:sz w:val="20"/>
          <w:szCs w:val="20"/>
          <w:color w:val="auto"/>
        </w:rPr>
      </w:pPr>
    </w:p>
    <w:p>
      <w:pPr>
        <w:jc w:val="center"/>
        <w:ind w:right="4800"/>
        <w:spacing w:after="0"/>
        <w:rPr>
          <w:sz w:val="20"/>
          <w:szCs w:val="20"/>
          <w:color w:val="auto"/>
        </w:rPr>
      </w:pPr>
      <w:r>
        <w:rPr>
          <w:rFonts w:ascii="Arial" w:cs="Arial" w:eastAsia="Arial" w:hAnsi="Arial"/>
          <w:sz w:val="14"/>
          <w:szCs w:val="14"/>
          <w:color w:val="0071CE"/>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-95885</wp:posOffset>
            </wp:positionV>
            <wp:extent cx="5927725" cy="101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-945515</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-410845</wp:posOffset>
            </wp:positionV>
            <wp:extent cx="1256665" cy="12566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ind w:left="2820"/>
        <w:spacing w:after="0" w:line="227"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61</w:t>
      </w:r>
    </w:p>
    <w:p>
      <w:pPr>
        <w:ind w:left="2820"/>
        <w:spacing w:after="0" w:line="223"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820"/>
        <w:spacing w:after="0" w:line="224"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ind w:left="282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60325</wp:posOffset>
            </wp:positionV>
            <wp:extent cx="3448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Chairman &amp; CEO,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43180</wp:posOffset>
            </wp:positionV>
            <wp:extent cx="3448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00C1DE"/>
        </w:rPr>
        <w:t xml:space="preserve">Committees: </w:t>
      </w:r>
      <w:r>
        <w:rPr>
          <w:rFonts w:ascii="Arial" w:cs="Arial" w:eastAsia="Arial" w:hAnsi="Arial"/>
          <w:sz w:val="20"/>
          <w:szCs w:val="20"/>
          <w:color w:val="3E3935"/>
        </w:rPr>
        <w:t>Audit, Compensation, Finance</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C1DE"/>
        </w:rPr>
        <w:t xml:space="preserve">Other Public Company Directorships: </w:t>
      </w:r>
      <w:r>
        <w:rPr>
          <w:rFonts w:ascii="Arial" w:cs="Arial" w:eastAsia="Arial" w:hAnsi="Arial"/>
          <w:sz w:val="19"/>
          <w:szCs w:val="19"/>
          <w:color w:val="3E3935"/>
        </w:rPr>
        <w:t>Dow Inc. and Cisco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3E3935"/>
        </w:rPr>
        <w:t>Systems Inc.</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Norfolk Southern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Corporation and Northrop Grumman Corporation (“Northrop Grumman”)</w:t>
      </w:r>
    </w:p>
    <w:p>
      <w:pPr>
        <w:spacing w:after="0" w:line="11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Bush served as Chairman of Northrop</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Grumman’s board of directors from 2011 to 2019. He also served as the CEO of Northrop Grumman from 2010 to 2018. Prior to that, Mr. Bush served in numerous leadership roles at Northrop Grumman, including President and Chief Operating Officer, Chief Financial Officer, and President of the company’s Space Technology sector. He also served in a variety of leadership positions at TRW, Inc., before it was acquired by Northrop Grumman in 2002.</w:t>
      </w:r>
    </w:p>
    <w:p>
      <w:pPr>
        <w:spacing w:after="0" w:line="12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Bush has valuable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experience in leading a manufacturing enterprise known for its advanced engineering and technology. He also has strong financial acumen gained through his finance leadership roles and has knowledge of key governance issues, including risk management.</w:t>
      </w:r>
    </w:p>
    <w:p>
      <w:pPr>
        <w:spacing w:after="0" w:line="12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Bush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environmental expertise as a member of the board of Conservation International. In that capacity, he leverages his scientific training to advocate for natural climate solutions. GM benefits from Mr. Bush’s experience in this area as it seeks to create a world with zero emissions.</w:t>
      </w:r>
    </w:p>
    <w:p>
      <w:pPr>
        <w:sectPr>
          <w:pgSz w:w="11900" w:h="16838" w:orient="portrait"/>
          <w:cols w:equalWidth="0" w:num="2">
            <w:col w:w="5200" w:space="560"/>
            <w:col w:w="5320"/>
          </w:cols>
          <w:pgMar w:left="320" w:top="454"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203835</wp:posOffset>
            </wp:positionV>
            <wp:extent cx="1256665" cy="12566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2015</w:t>
      </w:r>
    </w:p>
    <w:p>
      <w:pPr>
        <w:ind w:left="2700"/>
        <w:spacing w:after="0" w:line="227"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69</w:t>
      </w:r>
    </w:p>
    <w:p>
      <w:pPr>
        <w:ind w:left="2700"/>
        <w:spacing w:after="0" w:line="223"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700"/>
        <w:spacing w:after="0" w:line="224"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p>
      <w:pPr>
        <w:ind w:left="2700"/>
        <w:spacing w:after="0" w:line="223" w:lineRule="auto"/>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African</w:t>
      </w:r>
    </w:p>
    <w:p>
      <w:pPr>
        <w:ind w:left="2680"/>
        <w:spacing w:after="0"/>
        <w:rPr>
          <w:sz w:val="20"/>
          <w:szCs w:val="20"/>
          <w:color w:val="auto"/>
        </w:rPr>
      </w:pPr>
      <w:r>
        <w:rPr>
          <w:rFonts w:ascii="Arial" w:cs="Arial" w:eastAsia="Arial" w:hAnsi="Arial"/>
          <w:sz w:val="20"/>
          <w:szCs w:val="20"/>
          <w:color w:val="3E3935"/>
        </w:rPr>
        <w:t>American</w:t>
      </w:r>
    </w:p>
    <w:p>
      <w:pPr>
        <w:spacing w:after="0" w:line="200" w:lineRule="exact"/>
        <w:rPr>
          <w:sz w:val="20"/>
          <w:szCs w:val="20"/>
          <w:color w:val="auto"/>
        </w:rPr>
      </w:pPr>
    </w:p>
    <w:p>
      <w:pPr>
        <w:spacing w:after="0" w:line="227"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3201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60" w:lineRule="exact"/>
        <w:rPr>
          <w:sz w:val="20"/>
          <w:szCs w:val="20"/>
          <w:color w:val="auto"/>
        </w:rPr>
      </w:pPr>
    </w:p>
    <w:p>
      <w:pPr>
        <w:jc w:val="center"/>
        <w:ind w:left="180" w:right="760"/>
        <w:spacing w:after="0" w:line="256" w:lineRule="auto"/>
        <w:rPr>
          <w:sz w:val="20"/>
          <w:szCs w:val="20"/>
          <w:color w:val="auto"/>
        </w:rPr>
      </w:pPr>
      <w:r>
        <w:rPr>
          <w:rFonts w:ascii="Arial" w:cs="Arial" w:eastAsia="Arial" w:hAnsi="Arial"/>
          <w:sz w:val="19"/>
          <w:szCs w:val="19"/>
          <w:i w:val="1"/>
          <w:iCs w:val="1"/>
          <w:color w:val="3E3935"/>
        </w:rPr>
        <w:t>Retired Executive Vice President, Information Systems &amp; Global Solutions,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3201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97"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Executive, Risk and Cybersecurity</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(Chair)</w:t>
      </w:r>
    </w:p>
    <w:p>
      <w:pPr>
        <w:spacing w:after="0" w:line="107"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The Home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Depot Inc. and Bright Health Group, Inc.</w:t>
      </w:r>
    </w:p>
    <w:p>
      <w:pPr>
        <w:spacing w:after="0" w:line="107" w:lineRule="exact"/>
        <w:rPr>
          <w:sz w:val="20"/>
          <w:szCs w:val="20"/>
          <w:color w:val="auto"/>
        </w:rPr>
      </w:pPr>
    </w:p>
    <w:p>
      <w:pPr>
        <w:jc w:val="both"/>
        <w:ind w:left="160"/>
        <w:spacing w:after="0" w:line="256" w:lineRule="auto"/>
        <w:rPr>
          <w:sz w:val="20"/>
          <w:szCs w:val="20"/>
          <w:color w:val="auto"/>
        </w:rPr>
      </w:pPr>
      <w:r>
        <w:rPr>
          <w:rFonts w:ascii="Arial" w:cs="Arial" w:eastAsia="Arial" w:hAnsi="Arial"/>
          <w:sz w:val="19"/>
          <w:szCs w:val="19"/>
          <w:b w:val="1"/>
          <w:bCs w:val="1"/>
          <w:i w:val="1"/>
          <w:iCs w:val="1"/>
          <w:color w:val="00C1DE"/>
        </w:rPr>
        <w:t xml:space="preserve">Prior Public Company Directorships: </w:t>
      </w:r>
      <w:r>
        <w:rPr>
          <w:rFonts w:ascii="Arial" w:cs="Arial" w:eastAsia="Arial" w:hAnsi="Arial"/>
          <w:sz w:val="19"/>
          <w:szCs w:val="19"/>
          <w:color w:val="3E3935"/>
        </w:rPr>
        <w:t>WGL Holdings,</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Inc., Washington Gas &amp; Light Company, a subsidiary of WGL Holdings, Inc., and Automatic Data Processing, Inc.</w:t>
      </w:r>
    </w:p>
    <w:p>
      <w:pPr>
        <w:spacing w:after="0" w:line="103"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Gooden served as Executive Vice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President, Information Systems and Global Solutions of Lockheed Martin Corporation (“Lockheed Martin”) from 2007 to 2013. She also served as Lockheed Martin’s Deputy Executive Vice President, Information and Technology Services from October to December 2006, and as its President, Information Technology from 1997 to December 2006.</w:t>
      </w:r>
    </w:p>
    <w:p>
      <w:pPr>
        <w:spacing w:after="0" w:line="12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Gooden has strong</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capabilities demonstrated through her various senior leadership positions at Lockheed Martin. She also has significant expertise in operations and strategic planning, as well as an extensive background in information technology and cybersecurity.</w:t>
      </w:r>
    </w:p>
    <w:p>
      <w:pPr>
        <w:spacing w:after="0" w:line="122"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Gooden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through her leadership in the cybersecurity industry. In that capacity, she leverages her technical training to advocate for stringent privacy and data protection controls. GM benefits from Ms. Gooden’s experience in this area as it develops innovative software and autonomous driving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-945515</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-410845</wp:posOffset>
            </wp:positionV>
            <wp:extent cx="1256665" cy="12566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ind w:left="2820"/>
        <w:spacing w:after="0" w:line="227"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62</w:t>
      </w:r>
    </w:p>
    <w:p>
      <w:pPr>
        <w:ind w:left="2820"/>
        <w:spacing w:after="0" w:line="223"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820"/>
        <w:spacing w:after="0" w:line="224"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ind w:left="282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Hispanic</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60325</wp:posOffset>
            </wp:positionV>
            <wp:extent cx="34480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267" w:lineRule="exact"/>
        <w:rPr>
          <w:sz w:val="20"/>
          <w:szCs w:val="20"/>
          <w:color w:val="auto"/>
        </w:rPr>
      </w:pPr>
    </w:p>
    <w:p>
      <w:pPr>
        <w:ind w:left="2080"/>
        <w:spacing w:after="0"/>
        <w:rPr>
          <w:sz w:val="20"/>
          <w:szCs w:val="20"/>
          <w:color w:val="auto"/>
        </w:rPr>
      </w:pPr>
      <w:r>
        <w:rPr>
          <w:rFonts w:ascii="Arial" w:cs="Arial" w:eastAsia="Arial" w:hAnsi="Arial"/>
          <w:sz w:val="20"/>
          <w:szCs w:val="20"/>
          <w:i w:val="1"/>
          <w:iCs w:val="1"/>
          <w:color w:val="3E3935"/>
        </w:rPr>
        <w:t>Retired CEO,</w:t>
      </w:r>
    </w:p>
    <w:p>
      <w:pPr>
        <w:spacing w:after="0" w:line="2" w:lineRule="exact"/>
        <w:rPr>
          <w:sz w:val="20"/>
          <w:szCs w:val="20"/>
          <w:color w:val="auto"/>
        </w:rPr>
      </w:pPr>
    </w:p>
    <w:p>
      <w:pPr>
        <w:ind w:left="2140"/>
        <w:spacing w:after="0"/>
        <w:rPr>
          <w:sz w:val="20"/>
          <w:szCs w:val="20"/>
          <w:color w:val="auto"/>
        </w:rPr>
      </w:pPr>
      <w:r>
        <w:rPr>
          <w:rFonts w:ascii="Arial" w:cs="Arial" w:eastAsia="Arial" w:hAnsi="Arial"/>
          <w:sz w:val="20"/>
          <w:szCs w:val="20"/>
          <w:i w:val="1"/>
          <w:iCs w:val="1"/>
          <w:color w:val="3E3935"/>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111125</wp:posOffset>
            </wp:positionV>
            <wp:extent cx="3448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Executive, Finance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Risk and Cybersecurity</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The Procter &amp;</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Gamble Co., Century Therapeutics, Inc., and Graphite Bio Inc.</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Colgate-Palmolive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Company and AstraZeneca plc</w:t>
      </w:r>
    </w:p>
    <w:p>
      <w:pPr>
        <w:spacing w:after="0" w:line="10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00C1DE"/>
        </w:rPr>
        <w:t xml:space="preserve">Prior Experience: </w:t>
      </w:r>
      <w:r>
        <w:rPr>
          <w:rFonts w:ascii="Arial" w:cs="Arial" w:eastAsia="Arial" w:hAnsi="Arial"/>
          <w:sz w:val="19"/>
          <w:szCs w:val="19"/>
          <w:color w:val="3E3935"/>
        </w:rPr>
        <w:t>Since 2019, Mr. Jimenez served as Co-Founder and Managing Partner of Aditum Bio, a biotechnology-focused venture capital firm. Prior to that, he served as CEO of Novartis AG (“Novartis”) from 2010 until his retirement in 2018. Mr. Jimenez led Novartis’ Pharmaceuticals Division from October 2007 to 2010 and its Consumer Health Division in 2007. From 2006 to 2007, he served as Advisor to the Blackstone Group L.P. Mr. Jimenez was also Executive Vice President, President, and CEO of Heinz Europe from 2002 to 2006; and President and CEO of H.J. Heinz Company North America from 1999 to 2002.</w:t>
      </w:r>
    </w:p>
    <w:p>
      <w:pPr>
        <w:spacing w:after="0" w:line="12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Jimenez has served as the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of a global company with significant research and development and capital spending in a highly regulated environment. He also has significant experience in finance, strategic planning, and consumer branding and marketing.</w:t>
      </w:r>
    </w:p>
    <w:p>
      <w:pPr>
        <w:spacing w:after="0" w:line="11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Jimenez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environmental expertise addressing reductions in greenhouse gases, waste, effluents, and consumption of natural resources for various manufacturing facilities during his career as a pharmaceutical executive. GM benefits from his experience in this area as it transitions its manufacturing capabilities for an EV future.</w:t>
      </w:r>
    </w:p>
    <w:p>
      <w:pPr>
        <w:spacing w:after="0" w:line="135" w:lineRule="exact"/>
        <w:rPr>
          <w:sz w:val="20"/>
          <w:szCs w:val="20"/>
          <w:color w:val="auto"/>
        </w:rPr>
      </w:pPr>
    </w:p>
    <w:p>
      <w:pPr>
        <w:ind w:left="4920"/>
        <w:spacing w:after="0"/>
        <w:rPr>
          <w:sz w:val="20"/>
          <w:szCs w:val="20"/>
          <w:color w:val="auto"/>
        </w:rPr>
      </w:pPr>
      <w:r>
        <w:rPr>
          <w:rFonts w:ascii="Arial" w:cs="Arial" w:eastAsia="Arial" w:hAnsi="Arial"/>
          <w:sz w:val="14"/>
          <w:szCs w:val="14"/>
          <w:color w:val="0071C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-95885</wp:posOffset>
            </wp:positionV>
            <wp:extent cx="5927725" cy="101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200" w:space="560"/>
            <w:col w:w="5320"/>
          </w:cols>
          <w:pgMar w:left="320" w:top="45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203835</wp:posOffset>
            </wp:positionV>
            <wp:extent cx="1256665" cy="12566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203835</wp:posOffset>
            </wp:positionV>
            <wp:extent cx="1256665" cy="12566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00"/>
        <w:spacing w:after="0"/>
        <w:tabs>
          <w:tab w:leader="none" w:pos="8560" w:val="left"/>
        </w:tabs>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2018</w:t>
      </w:r>
      <w:r>
        <w:rPr>
          <w:sz w:val="20"/>
          <w:szCs w:val="20"/>
          <w:color w:val="auto"/>
        </w:rPr>
        <w:tab/>
      </w:r>
      <w:r>
        <w:rPr>
          <w:rFonts w:ascii="Arial" w:cs="Arial" w:eastAsia="Arial" w:hAnsi="Arial"/>
          <w:sz w:val="19"/>
          <w:szCs w:val="19"/>
          <w:b w:val="1"/>
          <w:bCs w:val="1"/>
          <w:color w:val="3E3935"/>
        </w:rPr>
        <w:t>Director Since</w:t>
      </w:r>
      <w:r>
        <w:rPr>
          <w:rFonts w:ascii="Arial" w:cs="Arial" w:eastAsia="Arial" w:hAnsi="Arial"/>
          <w:sz w:val="19"/>
          <w:szCs w:val="19"/>
          <w:color w:val="3E3935"/>
        </w:rPr>
        <w:t>: 2011</w:t>
      </w:r>
    </w:p>
    <w:p>
      <w:pPr>
        <w:ind w:left="2700"/>
        <w:spacing w:after="0"/>
        <w:tabs>
          <w:tab w:leader="none" w:pos="8560" w:val="left"/>
        </w:tabs>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63</w:t>
      </w:r>
      <w:r>
        <w:rPr>
          <w:sz w:val="20"/>
          <w:szCs w:val="20"/>
          <w:color w:val="auto"/>
        </w:rPr>
        <w:tab/>
      </w:r>
      <w:r>
        <w:rPr>
          <w:rFonts w:ascii="Arial" w:cs="Arial" w:eastAsia="Arial" w:hAnsi="Arial"/>
          <w:sz w:val="19"/>
          <w:szCs w:val="19"/>
          <w:b w:val="1"/>
          <w:bCs w:val="1"/>
          <w:color w:val="3E3935"/>
        </w:rPr>
        <w:t>Age</w:t>
      </w:r>
      <w:r>
        <w:rPr>
          <w:rFonts w:ascii="Arial" w:cs="Arial" w:eastAsia="Arial" w:hAnsi="Arial"/>
          <w:sz w:val="19"/>
          <w:szCs w:val="19"/>
          <w:color w:val="3E3935"/>
        </w:rPr>
        <w:t>: 69</w:t>
      </w:r>
    </w:p>
    <w:p>
      <w:pPr>
        <w:ind w:left="2700"/>
        <w:spacing w:after="0" w:line="235" w:lineRule="auto"/>
        <w:tabs>
          <w:tab w:leader="none" w:pos="8560" w:val="left"/>
        </w:tabs>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r>
        <w:rPr>
          <w:sz w:val="20"/>
          <w:szCs w:val="20"/>
          <w:color w:val="auto"/>
        </w:rPr>
        <w:tab/>
      </w:r>
      <w:r>
        <w:rPr>
          <w:rFonts w:ascii="Arial" w:cs="Arial" w:eastAsia="Arial" w:hAnsi="Arial"/>
          <w:sz w:val="19"/>
          <w:szCs w:val="19"/>
          <w:b w:val="1"/>
          <w:bCs w:val="1"/>
          <w:color w:val="3E3935"/>
        </w:rPr>
        <w:t>Independent</w:t>
      </w:r>
      <w:r>
        <w:rPr>
          <w:rFonts w:ascii="Arial" w:cs="Arial" w:eastAsia="Arial" w:hAnsi="Arial"/>
          <w:sz w:val="19"/>
          <w:szCs w:val="19"/>
          <w:color w:val="3E3935"/>
        </w:rPr>
        <w:t>: Yes</w:t>
      </w:r>
    </w:p>
    <w:p>
      <w:pPr>
        <w:ind w:left="2700"/>
        <w:spacing w:after="0" w:line="235" w:lineRule="auto"/>
        <w:tabs>
          <w:tab w:leader="none" w:pos="8560" w:val="left"/>
        </w:tabs>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r>
        <w:rPr>
          <w:sz w:val="20"/>
          <w:szCs w:val="20"/>
          <w:color w:val="auto"/>
        </w:rPr>
        <w:tab/>
      </w:r>
      <w:r>
        <w:rPr>
          <w:rFonts w:ascii="Arial" w:cs="Arial" w:eastAsia="Arial" w:hAnsi="Arial"/>
          <w:sz w:val="19"/>
          <w:szCs w:val="19"/>
          <w:b w:val="1"/>
          <w:bCs w:val="1"/>
          <w:color w:val="3E3935"/>
        </w:rPr>
        <w:t>Gender</w:t>
      </w:r>
      <w:r>
        <w:rPr>
          <w:rFonts w:ascii="Arial" w:cs="Arial" w:eastAsia="Arial" w:hAnsi="Arial"/>
          <w:sz w:val="19"/>
          <w:szCs w:val="19"/>
          <w:color w:val="3E3935"/>
        </w:rPr>
        <w:t>: Male</w:t>
      </w:r>
    </w:p>
    <w:p>
      <w:pPr>
        <w:jc w:val="right"/>
        <w:ind w:right="540"/>
        <w:spacing w:after="0"/>
        <w:tabs>
          <w:tab w:leader="none" w:pos="1940" w:val="left"/>
        </w:tabs>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r>
        <w:rPr>
          <w:sz w:val="20"/>
          <w:szCs w:val="20"/>
          <w:color w:val="auto"/>
        </w:rPr>
        <w:tab/>
      </w:r>
      <w:r>
        <w:rPr>
          <w:rFonts w:ascii="Arial" w:cs="Arial" w:eastAsia="Arial" w:hAnsi="Arial"/>
          <w:sz w:val="19"/>
          <w:szCs w:val="19"/>
          <w:b w:val="1"/>
          <w:bCs w:val="1"/>
          <w:color w:val="3E3935"/>
        </w:rPr>
        <w:t>Race/Ethnicity</w:t>
      </w:r>
      <w:r>
        <w:rPr>
          <w:rFonts w:ascii="Arial" w:cs="Arial" w:eastAsia="Arial" w:hAnsi="Arial"/>
          <w:sz w:val="19"/>
          <w:szCs w:val="19"/>
          <w:color w:val="3E3935"/>
        </w:rPr>
        <w:t>: White</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3201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60" w:lineRule="exact"/>
        <w:rPr>
          <w:sz w:val="20"/>
          <w:szCs w:val="20"/>
          <w:color w:val="auto"/>
        </w:rPr>
      </w:pPr>
    </w:p>
    <w:p>
      <w:pPr>
        <w:jc w:val="center"/>
        <w:ind w:left="180"/>
        <w:spacing w:after="0"/>
        <w:rPr>
          <w:sz w:val="20"/>
          <w:szCs w:val="20"/>
          <w:color w:val="auto"/>
        </w:rPr>
      </w:pPr>
      <w:r>
        <w:rPr>
          <w:rFonts w:ascii="Arial" w:cs="Arial" w:eastAsia="Arial" w:hAnsi="Arial"/>
          <w:sz w:val="20"/>
          <w:szCs w:val="20"/>
          <w:i w:val="1"/>
          <w:iCs w:val="1"/>
          <w:color w:val="3E3935"/>
        </w:rPr>
        <w:t>CEO &amp; Vice Chairman,</w:t>
      </w:r>
    </w:p>
    <w:p>
      <w:pPr>
        <w:spacing w:after="0" w:line="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Kissinger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2016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Finance, Risk and Cybersecurity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Morgan Stanley</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and HP, Inc.</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00C1DE"/>
        </w:rPr>
        <w:t xml:space="preserve">Prior Public Company Directorships: </w:t>
      </w:r>
      <w:r>
        <w:rPr>
          <w:rFonts w:ascii="Arial" w:cs="Arial" w:eastAsia="Arial" w:hAnsi="Arial"/>
          <w:sz w:val="19"/>
          <w:szCs w:val="19"/>
          <w:color w:val="3E3935"/>
        </w:rPr>
        <w:t>EMC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and Pivotal Software, Inc.</w:t>
      </w:r>
    </w:p>
    <w:p>
      <w:pPr>
        <w:spacing w:after="0" w:line="126"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In 2017, Ms. Miscik was appointed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and Vice Chairman of Kissinger Associates, Inc. (“Kissinger Associates”). Prior to that time, she served as Co-Chief Executive Officer and Vice Chairman of Kissinger Associates from 2015 to 2017 and as President and Vice Chairman of Kissinger Associates from 2009 to 2015. Prior to joining Kissinger Associates, Ms. Miscik was the Global Head of Sovereign Risk at Lehman Brothers from 2005 to 2008; and from 2002 to 2005, she served as Deputy Director for Intelligence at the U.S. Central Intelligence Agency, where she worked from 1983 to 2005.</w:t>
      </w:r>
    </w:p>
    <w:p>
      <w:pPr>
        <w:spacing w:after="0" w:line="118"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Miscik has a unique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extensive background in intelligence, security, government affairs, and risk analysis, bringing valuable experience in assessing and mitigating geopolitical and macroeconomic risks in both the public and the private sectors.</w:t>
      </w:r>
    </w:p>
    <w:p>
      <w:pPr>
        <w:spacing w:after="0" w:line="12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Miscik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 expertise – in particular, risk management – through years serving as a senior leader in the intelligence community, as CEO of Kissinger Associates, and as Vice Chairman of the Council on Foreign Relations. GM benefits from Ms. Miscik’s experience in this area as it seeks to navigate various geopolitical risks and advocates for climate solutions.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-95885</wp:posOffset>
            </wp:positionV>
            <wp:extent cx="5927725" cy="101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60325</wp:posOffset>
            </wp:positionV>
            <wp:extent cx="3448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Executive Vice President &amp; CFO,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43180</wp:posOffset>
            </wp:positionV>
            <wp:extent cx="3448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(Chair), Executive, Finance, Risk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Cybersecurity</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KKR Management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LLC and Northrop Grumman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PulteGroup, Inc.</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Schoewe served as Executive Vice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President and CFO of Wal-Mart Stores, Inc. (“Wal-Mart”) from 2000 to 2011. Prior to joining Wal-Mart, he held several senior roles at the Black &amp; Decker Corporation (“Black &amp; Decker”), including CFO from 1993 to 1999. Before joining Black &amp; Decker, Mr. Schoewe worked for Beatrice Companies where he was CFO and Controller of one of its subsidiaries, Beatrice Consumer Durables Inc.</w:t>
      </w:r>
    </w:p>
    <w:p>
      <w:pPr>
        <w:spacing w:after="0" w:line="12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Schoewe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financial experience acquired through positions held as the CFO of large public companies, as well as expertise in internal controls and risk management. He also has significant international experience through his service as an executive of large public companies with substantial international operations and global enterprise information technology implementations.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9"/>
          <w:szCs w:val="19"/>
          <w:b w:val="1"/>
          <w:bCs w:val="1"/>
          <w:i w:val="1"/>
          <w:iCs w:val="1"/>
          <w:color w:val="00C1DE"/>
        </w:rPr>
        <w:t xml:space="preserve">Spotlight on ESG Expertise: </w:t>
      </w:r>
      <w:r>
        <w:rPr>
          <w:rFonts w:ascii="Arial" w:cs="Arial" w:eastAsia="Arial" w:hAnsi="Arial"/>
          <w:sz w:val="19"/>
          <w:szCs w:val="19"/>
          <w:color w:val="3E3935"/>
        </w:rPr>
        <w:t>Mr. Schoewe developed social</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expertise – in particular, supply chain management – during his tenure as CFO at Black &amp; Decker and Wal-Mart and currently as a member of the Audit Committee Leadership Network. In his current capacity, he leverages his training to advocate for improved performance of audit committees and more rigorous controls of ESG disclosures. GM benefits from Mr. Schoewe’s experience as we continue our efforts to provide comprehensive and meaningful ESG disclosures.</w:t>
      </w:r>
    </w:p>
    <w:p>
      <w:pPr>
        <w:sectPr>
          <w:pgSz w:w="11900" w:h="16838" w:orient="portrait"/>
          <w:cols w:equalWidth="0" w:num="2">
            <w:col w:w="5200" w:space="560"/>
            <w:col w:w="5320"/>
          </w:cols>
          <w:pgMar w:left="320" w:top="454"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203835</wp:posOffset>
            </wp:positionV>
            <wp:extent cx="1256665" cy="12566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2009</w:t>
      </w:r>
    </w:p>
    <w:p>
      <w:pPr>
        <w:ind w:left="2700"/>
        <w:spacing w:after="0" w:line="227"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71</w:t>
      </w:r>
    </w:p>
    <w:p>
      <w:pPr>
        <w:ind w:left="2700"/>
        <w:spacing w:after="0" w:line="223"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700"/>
        <w:spacing w:after="0" w:line="224"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p>
      <w:pPr>
        <w:ind w:left="270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p>
      <w:pPr>
        <w:spacing w:after="0" w:line="200" w:lineRule="exact"/>
        <w:rPr>
          <w:sz w:val="20"/>
          <w:szCs w:val="20"/>
          <w:color w:val="auto"/>
        </w:rPr>
      </w:pPr>
    </w:p>
    <w:p>
      <w:pPr>
        <w:spacing w:after="0" w:line="334"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Carol M. Stephenson, 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3201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73"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Retired Dean,</w:t>
      </w:r>
    </w:p>
    <w:p>
      <w:pPr>
        <w:jc w:val="center"/>
        <w:ind w:left="160"/>
        <w:spacing w:after="0" w:line="225" w:lineRule="auto"/>
        <w:rPr>
          <w:sz w:val="20"/>
          <w:szCs w:val="20"/>
          <w:color w:val="auto"/>
        </w:rPr>
      </w:pPr>
      <w:r>
        <w:rPr>
          <w:rFonts w:ascii="Arial" w:cs="Arial" w:eastAsia="Arial" w:hAnsi="Arial"/>
          <w:sz w:val="20"/>
          <w:szCs w:val="20"/>
          <w:i w:val="1"/>
          <w:iCs w:val="1"/>
          <w:color w:val="3E3935"/>
        </w:rPr>
        <w:t>Ivey Business School,</w:t>
      </w:r>
    </w:p>
    <w:p>
      <w:pPr>
        <w:jc w:val="center"/>
        <w:ind w:left="160"/>
        <w:spacing w:after="0"/>
        <w:rPr>
          <w:sz w:val="20"/>
          <w:szCs w:val="20"/>
          <w:color w:val="auto"/>
        </w:rPr>
      </w:pPr>
      <w:r>
        <w:rPr>
          <w:rFonts w:ascii="Arial" w:cs="Arial" w:eastAsia="Arial" w:hAnsi="Arial"/>
          <w:sz w:val="20"/>
          <w:szCs w:val="20"/>
          <w:i w:val="1"/>
          <w:iCs w:val="1"/>
          <w:color w:val="3E3935"/>
        </w:rPr>
        <w:t>University of Western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201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20"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(Chair), Executive,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w:t>
      </w:r>
    </w:p>
    <w:p>
      <w:pPr>
        <w:spacing w:after="0" w:line="107"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Maple Leaf</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Foods Inc. and Ritchie Bros. Auctioneers Incorporated</w:t>
      </w:r>
    </w:p>
    <w:p>
      <w:pPr>
        <w:spacing w:after="0" w:line="107"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b w:val="1"/>
          <w:bCs w:val="1"/>
          <w:i w:val="1"/>
          <w:iCs w:val="1"/>
          <w:color w:val="00C1DE"/>
        </w:rPr>
        <w:t xml:space="preserve">Prior Public Company Directorship: </w:t>
      </w:r>
      <w:r>
        <w:rPr>
          <w:rFonts w:ascii="Arial" w:cs="Arial" w:eastAsia="Arial" w:hAnsi="Arial"/>
          <w:sz w:val="20"/>
          <w:szCs w:val="20"/>
          <w:color w:val="3E3935"/>
        </w:rPr>
        <w:t>Ballard Power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Systems, Inc., Manitoba Telecom Services, and Intact Financial Corporation</w:t>
      </w:r>
    </w:p>
    <w:p>
      <w:pPr>
        <w:spacing w:after="0" w:line="11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Stephenson served as Dean of</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the Ivey Business School at the University of Western Ontario from 2003 until her retirement in 2013. Prior to joining the Ivey Business School, she was President and CEO of Lucent Technologies Canada from 1999 to 2003 and a member of the Advisory Board of General Motors of Canada, Limited, a GM subsidiary, from 2005 to 2009. Ms. Stephenson is an officer of the Order of Canada.</w:t>
      </w:r>
    </w:p>
    <w:p>
      <w:pPr>
        <w:spacing w:after="0" w:line="125" w:lineRule="exact"/>
        <w:rPr>
          <w:sz w:val="20"/>
          <w:szCs w:val="20"/>
          <w:color w:val="auto"/>
        </w:rPr>
      </w:pPr>
    </w:p>
    <w:p>
      <w:pPr>
        <w:jc w:val="both"/>
        <w:ind w:left="160"/>
        <w:spacing w:after="0" w:line="249" w:lineRule="auto"/>
        <w:rPr>
          <w:sz w:val="20"/>
          <w:szCs w:val="20"/>
          <w:color w:val="auto"/>
        </w:rPr>
      </w:pPr>
      <w:r>
        <w:rPr>
          <w:rFonts w:ascii="Arial" w:cs="Arial" w:eastAsia="Arial" w:hAnsi="Arial"/>
          <w:sz w:val="19"/>
          <w:szCs w:val="19"/>
          <w:b w:val="1"/>
          <w:bCs w:val="1"/>
          <w:i w:val="1"/>
          <w:iCs w:val="1"/>
          <w:color w:val="00C1DE"/>
        </w:rPr>
        <w:t xml:space="preserve">Reasons for Nomination: </w:t>
      </w:r>
      <w:r>
        <w:rPr>
          <w:rFonts w:ascii="Arial" w:cs="Arial" w:eastAsia="Arial" w:hAnsi="Arial"/>
          <w:sz w:val="19"/>
          <w:szCs w:val="19"/>
          <w:color w:val="3E3935"/>
        </w:rPr>
        <w:t>Ms. Stephenson has expertise</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in marketing, operations, strategic planning, technology development, financial management, executive compensation, and North American trade issues.</w:t>
      </w:r>
    </w:p>
    <w:p>
      <w:pPr>
        <w:spacing w:after="0" w:line="110"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Stephenson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developed governance expertise – in particular, executive compensation management – in part during her tenure as Dean of the Ivey Business School at the University of Western Ontario and as Chair of the Government of Canada’s Advisory Committee of Senior Level Retention and Compensation, and serving as chair of the executive compensation committees of other publicly traded companies. GM benefits from Ms. Stephenson’s experience in this area as it develops compensation plans that help motivate our workforce to execute our strategy for an all-electric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-877570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-342900</wp:posOffset>
            </wp:positionV>
            <wp:extent cx="1256665" cy="12566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ind w:left="2820"/>
        <w:spacing w:after="0" w:line="227"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52</w:t>
      </w:r>
    </w:p>
    <w:p>
      <w:pPr>
        <w:ind w:left="2820"/>
        <w:spacing w:after="0" w:line="223"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820"/>
        <w:spacing w:after="0" w:line="224"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ind w:left="2820"/>
        <w:spacing w:after="0" w:line="223" w:lineRule="auto"/>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Black,</w:t>
      </w:r>
    </w:p>
    <w:p>
      <w:pPr>
        <w:ind w:left="2720"/>
        <w:spacing w:after="0"/>
        <w:rPr>
          <w:sz w:val="20"/>
          <w:szCs w:val="20"/>
          <w:color w:val="auto"/>
        </w:rPr>
      </w:pPr>
      <w:r>
        <w:rPr>
          <w:rFonts w:ascii="Arial" w:cs="Arial" w:eastAsia="Arial" w:hAnsi="Arial"/>
          <w:sz w:val="20"/>
          <w:szCs w:val="20"/>
          <w:color w:val="3E3935"/>
        </w:rPr>
        <w:t>Asian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68580</wp:posOffset>
            </wp:positionV>
            <wp:extent cx="34480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Deputy Commissioner &amp; Chief Operating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National Basketball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111125</wp:posOffset>
            </wp:positionV>
            <wp:extent cx="3448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Governance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None</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Tatum joined the National Basketball</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Association (“NBA”) in 1999 and was appointed NBA Deputy Commissioner and Chief Operating Officer on February 1, 2014. Prior to that, he served in numerous leadership roles at the NBA, including Executive Vice President of Global Marketing Partnerships, Senior Vice President and Vice President of Business Development, Senior Director and Group Manager of Marketing Properties, and Director of Marketing Partnerships.</w:t>
      </w:r>
    </w:p>
    <w:p>
      <w:pPr>
        <w:spacing w:after="0" w:line="12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Tatum has extensive senior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experience in marketing and sales strategy, managing media relationships, and global business operations. He also has significant expertise driving customer engagement and operating in China through his leadership roles in the NBA.</w:t>
      </w:r>
    </w:p>
    <w:p>
      <w:pPr>
        <w:spacing w:after="0" w:line="12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Tatum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 in particular, in DE&amp;I issues — as President of the NBA’s Social Justice Coalition as well as President of the NBA Foundation. In these roles, he advocates for social and racial justice and is working to drive economic opportunity and empowerment in the Black community. GM benefits from his experience in this area as it evolves its culture and seeks to become the most inclusive company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-95885</wp:posOffset>
            </wp:positionV>
            <wp:extent cx="5927725" cy="101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200" w:space="560"/>
            <w:col w:w="5320"/>
          </w:cols>
          <w:pgMar w:left="320" w:top="454"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203835</wp:posOffset>
            </wp:positionV>
            <wp:extent cx="1256665" cy="12566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203835</wp:posOffset>
            </wp:positionV>
            <wp:extent cx="1256665" cy="12566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00"/>
        <w:spacing w:after="0"/>
        <w:tabs>
          <w:tab w:leader="none" w:pos="8560" w:val="left"/>
        </w:tabs>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2018</w:t>
      </w:r>
      <w:r>
        <w:rPr>
          <w:sz w:val="20"/>
          <w:szCs w:val="20"/>
          <w:color w:val="auto"/>
        </w:rPr>
        <w:tab/>
      </w:r>
      <w:r>
        <w:rPr>
          <w:rFonts w:ascii="Arial" w:cs="Arial" w:eastAsia="Arial" w:hAnsi="Arial"/>
          <w:sz w:val="19"/>
          <w:szCs w:val="19"/>
          <w:b w:val="1"/>
          <w:bCs w:val="1"/>
          <w:color w:val="3E3935"/>
        </w:rPr>
        <w:t>Director Since</w:t>
      </w:r>
      <w:r>
        <w:rPr>
          <w:rFonts w:ascii="Arial" w:cs="Arial" w:eastAsia="Arial" w:hAnsi="Arial"/>
          <w:sz w:val="19"/>
          <w:szCs w:val="19"/>
          <w:color w:val="3E3935"/>
        </w:rPr>
        <w:t>: 2021</w:t>
      </w:r>
    </w:p>
    <w:p>
      <w:pPr>
        <w:ind w:left="2700"/>
        <w:spacing w:after="0"/>
        <w:tabs>
          <w:tab w:leader="none" w:pos="8560" w:val="left"/>
        </w:tabs>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55</w:t>
      </w:r>
      <w:r>
        <w:rPr>
          <w:sz w:val="20"/>
          <w:szCs w:val="20"/>
          <w:color w:val="auto"/>
        </w:rPr>
        <w:tab/>
      </w:r>
      <w:r>
        <w:rPr>
          <w:rFonts w:ascii="Arial" w:cs="Arial" w:eastAsia="Arial" w:hAnsi="Arial"/>
          <w:sz w:val="19"/>
          <w:szCs w:val="19"/>
          <w:b w:val="1"/>
          <w:bCs w:val="1"/>
          <w:color w:val="3E3935"/>
        </w:rPr>
        <w:t>Age</w:t>
      </w:r>
      <w:r>
        <w:rPr>
          <w:rFonts w:ascii="Arial" w:cs="Arial" w:eastAsia="Arial" w:hAnsi="Arial"/>
          <w:sz w:val="19"/>
          <w:szCs w:val="19"/>
          <w:color w:val="3E3935"/>
        </w:rPr>
        <w:t>: 65</w:t>
      </w:r>
    </w:p>
    <w:p>
      <w:pPr>
        <w:ind w:left="2700"/>
        <w:spacing w:after="0" w:line="235" w:lineRule="auto"/>
        <w:tabs>
          <w:tab w:leader="none" w:pos="8560" w:val="left"/>
        </w:tabs>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r>
        <w:rPr>
          <w:sz w:val="20"/>
          <w:szCs w:val="20"/>
          <w:color w:val="auto"/>
        </w:rPr>
        <w:tab/>
      </w:r>
      <w:r>
        <w:rPr>
          <w:rFonts w:ascii="Arial" w:cs="Arial" w:eastAsia="Arial" w:hAnsi="Arial"/>
          <w:sz w:val="19"/>
          <w:szCs w:val="19"/>
          <w:b w:val="1"/>
          <w:bCs w:val="1"/>
          <w:color w:val="3E3935"/>
        </w:rPr>
        <w:t>Independent</w:t>
      </w:r>
      <w:r>
        <w:rPr>
          <w:rFonts w:ascii="Arial" w:cs="Arial" w:eastAsia="Arial" w:hAnsi="Arial"/>
          <w:sz w:val="19"/>
          <w:szCs w:val="19"/>
          <w:color w:val="3E3935"/>
        </w:rPr>
        <w:t>: Yes</w:t>
      </w:r>
    </w:p>
    <w:p>
      <w:pPr>
        <w:ind w:left="2700"/>
        <w:spacing w:after="0" w:line="235" w:lineRule="auto"/>
        <w:tabs>
          <w:tab w:leader="none" w:pos="8560" w:val="left"/>
        </w:tabs>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r>
        <w:rPr>
          <w:sz w:val="20"/>
          <w:szCs w:val="20"/>
          <w:color w:val="auto"/>
        </w:rPr>
        <w:tab/>
      </w:r>
      <w:r>
        <w:rPr>
          <w:rFonts w:ascii="Arial" w:cs="Arial" w:eastAsia="Arial" w:hAnsi="Arial"/>
          <w:sz w:val="19"/>
          <w:szCs w:val="19"/>
          <w:b w:val="1"/>
          <w:bCs w:val="1"/>
          <w:color w:val="3E3935"/>
        </w:rPr>
        <w:t>Gender</w:t>
      </w:r>
      <w:r>
        <w:rPr>
          <w:rFonts w:ascii="Arial" w:cs="Arial" w:eastAsia="Arial" w:hAnsi="Arial"/>
          <w:sz w:val="19"/>
          <w:szCs w:val="19"/>
          <w:color w:val="3E3935"/>
        </w:rPr>
        <w:t>: Female</w:t>
      </w:r>
    </w:p>
    <w:p>
      <w:pPr>
        <w:jc w:val="right"/>
        <w:ind w:right="540"/>
        <w:spacing w:after="0"/>
        <w:tabs>
          <w:tab w:leader="none" w:pos="1940" w:val="left"/>
        </w:tabs>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r>
        <w:rPr>
          <w:sz w:val="20"/>
          <w:szCs w:val="20"/>
          <w:color w:val="auto"/>
        </w:rPr>
        <w:tab/>
      </w:r>
      <w:r>
        <w:rPr>
          <w:rFonts w:ascii="Arial" w:cs="Arial" w:eastAsia="Arial" w:hAnsi="Arial"/>
          <w:sz w:val="19"/>
          <w:szCs w:val="19"/>
          <w:b w:val="1"/>
          <w:bCs w:val="1"/>
          <w:color w:val="3E3935"/>
        </w:rPr>
        <w:t>Race/Ethnicity</w:t>
      </w:r>
      <w:r>
        <w:rPr>
          <w:rFonts w:ascii="Arial" w:cs="Arial" w:eastAsia="Arial" w:hAnsi="Arial"/>
          <w:sz w:val="19"/>
          <w:szCs w:val="19"/>
          <w:color w:val="3E3935"/>
        </w:rPr>
        <w:t>: White</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3201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73"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Retired President &amp; CEO,</w:t>
      </w:r>
    </w:p>
    <w:p>
      <w:pPr>
        <w:spacing w:after="0" w:line="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eBay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2016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Risk and Cybersecurity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None</w:t>
      </w:r>
    </w:p>
    <w:p>
      <w:pPr>
        <w:spacing w:after="0" w:line="144"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eBay Inc.</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(“eBay”)</w:t>
      </w:r>
    </w:p>
    <w:p>
      <w:pPr>
        <w:spacing w:after="0" w:line="107"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Wenig served as President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of eBay and as a member of its board of directors from July 2015 to August 2019. Prior to that time, he served as President of eBay’s Marketplaces business from 2011 to July 2015. Prior to joining eBay, Mr. Wenig was CEO of Thomson Reuters Corporation’s largest division, Thomson Reuters Markets, from 2008 to 2011; Chief Operating Officer of Reuters Group plc (“Reuters”) from 2006 to 2008; and President of Reuters’ business divisions from 2003 to 2006.</w:t>
      </w:r>
    </w:p>
    <w:p>
      <w:pPr>
        <w:spacing w:after="0" w:line="125" w:lineRule="exact"/>
        <w:rPr>
          <w:sz w:val="20"/>
          <w:szCs w:val="20"/>
          <w:color w:val="auto"/>
        </w:rPr>
      </w:pPr>
    </w:p>
    <w:p>
      <w:pPr>
        <w:jc w:val="both"/>
        <w:ind w:left="160"/>
        <w:spacing w:after="0" w:line="245" w:lineRule="auto"/>
        <w:rPr>
          <w:sz w:val="20"/>
          <w:szCs w:val="20"/>
          <w:color w:val="auto"/>
        </w:rPr>
      </w:pPr>
      <w:r>
        <w:rPr>
          <w:rFonts w:ascii="Arial" w:cs="Arial" w:eastAsia="Arial" w:hAnsi="Arial"/>
          <w:sz w:val="19"/>
          <w:szCs w:val="19"/>
          <w:b w:val="1"/>
          <w:bCs w:val="1"/>
          <w:i w:val="1"/>
          <w:iCs w:val="1"/>
          <w:color w:val="00C1DE"/>
        </w:rPr>
        <w:t xml:space="preserve">Reasons for Nomination: </w:t>
      </w:r>
      <w:r>
        <w:rPr>
          <w:rFonts w:ascii="Arial" w:cs="Arial" w:eastAsia="Arial" w:hAnsi="Arial"/>
          <w:sz w:val="19"/>
          <w:szCs w:val="19"/>
          <w:color w:val="3E3935"/>
        </w:rPr>
        <w:t>Mr. Wenig has extensive</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senior leadership experience in software and technology, global operations, and strategic planning. He also has significant expertise leading both high-growth companies from the start-up phase and large, complex organizations.</w:t>
      </w:r>
    </w:p>
    <w:p>
      <w:pPr>
        <w:spacing w:after="0" w:line="11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Wenig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as founder of the Wenig Family Charitable Trust. In that capacity, he helps facilitate technology and data-led solutions to issues of inequality and access in the United States. GM benefits from his experience in this area as it expands its philanthropic efforts, such as our commitment to climate justice through our Climate Equity Fund dedicated to help close equity gaps in the transition to EVs and other sustainable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-95885</wp:posOffset>
            </wp:positionV>
            <wp:extent cx="5927725" cy="101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71CE"/>
        </w:rPr>
        <w:t>Margaret C.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68580</wp:posOffset>
            </wp:positionV>
            <wp:extent cx="3448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73" w:lineRule="exact"/>
        <w:rPr>
          <w:sz w:val="20"/>
          <w:szCs w:val="20"/>
          <w:color w:val="auto"/>
        </w:rPr>
      </w:pPr>
    </w:p>
    <w:p>
      <w:pPr>
        <w:ind w:left="1540"/>
        <w:spacing w:after="0"/>
        <w:rPr>
          <w:sz w:val="20"/>
          <w:szCs w:val="20"/>
          <w:color w:val="auto"/>
        </w:rPr>
      </w:pPr>
      <w:r>
        <w:rPr>
          <w:rFonts w:ascii="Arial" w:cs="Arial" w:eastAsia="Arial" w:hAnsi="Arial"/>
          <w:sz w:val="20"/>
          <w:szCs w:val="20"/>
          <w:i w:val="1"/>
          <w:iCs w:val="1"/>
          <w:color w:val="3E3935"/>
        </w:rPr>
        <w:t>Retired President &amp; CEO,</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20"/>
          <w:szCs w:val="20"/>
          <w:i w:val="1"/>
          <w:iCs w:val="1"/>
          <w:color w:val="3E3935"/>
        </w:rPr>
        <w:t>Hewlett Packard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43180</wp:posOffset>
            </wp:positionV>
            <wp:extent cx="34480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4805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Governance</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The Procter &amp;</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Gamble Co., Immortals, LLC, and Lead Edge Growth Opportunities</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Dropbox, Inc.,</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Hewlett Packard Enterprise (“HPE”), HP Inc., Survey Monkey, and DXC Technology</w:t>
      </w:r>
    </w:p>
    <w:p>
      <w:pPr>
        <w:spacing w:after="0" w:line="11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From 2018 to 2021, Ms. Whitman served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as the CEO of Quibi. From 2017 to 2018, she served as the CEO of HPE, and from 2015 to 2017 she served as President and CEO of HPE. From 2014 to 2015, Ms. Whitman served as President, CEO, and Chairman of Hewlett-Packard Company (now known as HP Inc.), the former parent of HPE, and as its President and CEO from 2011 to 2015. She also served as the President and CEO of eBay from 1998 to 2008 and held numerous other leadership roles at Hasbro, Inc., Florists Transworld Delivery, Stride Rite, and The Walt Disney Company.</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i w:val="1"/>
          <w:iCs w:val="1"/>
          <w:color w:val="00C1DE"/>
        </w:rPr>
        <w:t xml:space="preserve">Reasons for Nomination: </w:t>
      </w:r>
      <w:r>
        <w:rPr>
          <w:rFonts w:ascii="Arial" w:cs="Arial" w:eastAsia="Arial" w:hAnsi="Arial"/>
          <w:sz w:val="19"/>
          <w:szCs w:val="19"/>
          <w:color w:val="3E3935"/>
        </w:rPr>
        <w:t>Ms. Whitman has extensive</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senior leadership experience having served as president and CEO of three multinational, Fortune 500 companies where she gained expertise in technology, general management, strategic planning, manufacturing, supply chain, product development, sales, government relations, marketing, and global trade. As a veteran technology executive, she also has significant expertise in software and hardware.</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Whitman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environmental expertise through years serving public interests and her involvement as a member of the board of trustees of the Nature Conservatory. GM benefits from Ms. Whitman’s experience in this area as it seeks to create a world with zero emissions and advocates for public policy initiatives that will drive EV adoption.</w:t>
      </w:r>
    </w:p>
    <w:p>
      <w:pPr>
        <w:sectPr>
          <w:pgSz w:w="11900" w:h="16838" w:orient="portrait"/>
          <w:cols w:equalWidth="0" w:num="2">
            <w:col w:w="5200" w:space="560"/>
            <w:col w:w="5320"/>
          </w:cols>
          <w:pgMar w:left="320" w:top="454"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Board Membership Criteria, Refreshment, and Succession Planning</w:t>
      </w:r>
    </w:p>
    <w:p>
      <w:pPr>
        <w:sectPr>
          <w:pgSz w:w="11900" w:h="16838" w:orient="portrait"/>
          <w:cols w:equalWidth="0" w:num="1">
            <w:col w:w="11080"/>
          </w:cols>
          <w:pgMar w:left="320" w:top="454" w:right="499" w:bottom="1440" w:gutter="0" w:footer="0" w:header="0"/>
        </w:sectPr>
      </w:pPr>
    </w:p>
    <w:p>
      <w:pPr>
        <w:spacing w:after="0" w:line="223"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facing GM now and in the future.</w:t>
      </w:r>
    </w:p>
    <w:p>
      <w:pPr>
        <w:spacing w:after="0" w:line="108"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In evaluating potential director candidates, the Governance Committee considers, among other factors, the criteria on page 5 of this Proxy Statement in the skills matrix for current directors and certain additional characteristics that it believes one or more directors should possess based on an assessment of the needs of the Board at that time. In every case, director candidates must be able to contribute significantly to the Board’s discussion and decision-making on the broad array of complex issues facing GM. The Governance Committee also engages a reputable, qualified search firm to help identify and evaluate potential candidates. In addition, GM’s Corporate Governance Guidelines include the general policy that non-employee directors will not stand for election after reaching age 72.</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9"/>
          <w:szCs w:val="19"/>
          <w:color w:val="3E3935"/>
        </w:rPr>
        <w:t>In 2020, the Governance Committee accelerated its Board succession plan by developing a five-year roadmap that will serve the Company and its shareholders in preparation for the departure of directors who are approaching the Company’s retirement age. The Governance Committee believes its succession plan will help it replace departing skills and identify the new skill sets required as the Company’s strategy evolves. As a result of this work, the Board elected three new directors in 2021: Ms. Whitman and Messrs. Tatum and Bhusri. The Governance Committee made these nominations by employing the process described below under the heading “Director Recruitment Process” and taking into account, among other factors, shareholders’ interest in board refreshment, enhancing the Board’s diversity, and adding directors with experience in technology, software, and customer experience. The Board believes the new directors will help ensure a smooth transition over the next several years and bolster its expertise as GM continues to execute its EV and growth strategy. Following these new additions to the Board, the Governance Committee continues to plan for the future as it considers the skills and experiences the Board will need upon anticipated director retirements and as GM’s business continues to evolve.</w:t>
      </w:r>
    </w:p>
    <w:p>
      <w:pPr>
        <w:spacing w:after="0" w:line="926"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44" w:lineRule="exact"/>
        <w:rPr>
          <w:sz w:val="20"/>
          <w:szCs w:val="20"/>
          <w:color w:val="auto"/>
        </w:rPr>
      </w:pPr>
    </w:p>
    <w:p>
      <w:pPr>
        <w:ind w:left="700" w:hanging="533"/>
        <w:spacing w:after="0"/>
        <w:tabs>
          <w:tab w:leader="none" w:pos="700" w:val="left"/>
        </w:tabs>
        <w:numPr>
          <w:ilvl w:val="0"/>
          <w:numId w:val="11"/>
        </w:numPr>
        <w:rPr>
          <w:rFonts w:ascii="Times New Roman" w:cs="Times New Roman" w:eastAsia="Times New Roman" w:hAnsi="Times New Roman"/>
          <w:sz w:val="21"/>
          <w:szCs w:val="21"/>
          <w:color w:val="0071CE"/>
        </w:rPr>
      </w:pPr>
      <w:r>
        <w:rPr>
          <w:rFonts w:ascii="Arial" w:cs="Arial" w:eastAsia="Arial" w:hAnsi="Arial"/>
          <w:sz w:val="25"/>
          <w:szCs w:val="25"/>
          <w:color w:val="3E3935"/>
        </w:rPr>
        <w:t>Board Diversity</w:t>
      </w:r>
    </w:p>
    <w:p>
      <w:pPr>
        <w:spacing w:after="0" w:line="208"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Although GM does not have a formal policy governing diversity among directors, our Board strives to identify candidates with diverse backgrounds. Our Board recognizes the value of overall diversity and considers members’ and candidates’ opinions, perspectives, personal and professional experiences, and backgrounds, including gender, race, ethnicity, and country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origin. We believe the judgment and perspectives offered by a diverse board of directors improves the quality of decision-making and enhances the Company’s business performance. Such diversity can help the Board respond more effectively to the needs of customers, shareholders, employees, suppliers, and other stakeholders.</w:t>
      </w:r>
    </w:p>
    <w:p>
      <w:pPr>
        <w:spacing w:after="0" w:line="200" w:lineRule="exact"/>
        <w:rPr>
          <w:sz w:val="20"/>
          <w:szCs w:val="20"/>
          <w:color w:val="auto"/>
        </w:rPr>
      </w:pPr>
    </w:p>
    <w:p>
      <w:pPr>
        <w:spacing w:after="0" w:line="269"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-95885</wp:posOffset>
            </wp:positionV>
            <wp:extent cx="5927725" cy="101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400" w:space="340"/>
            <w:col w:w="5340"/>
          </w:cols>
          <w:pgMar w:left="320" w:top="454"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700" w:hanging="533"/>
        <w:spacing w:after="0"/>
        <w:tabs>
          <w:tab w:leader="none" w:pos="700" w:val="left"/>
        </w:tabs>
        <w:numPr>
          <w:ilvl w:val="0"/>
          <w:numId w:val="12"/>
        </w:numPr>
        <w:rPr>
          <w:rFonts w:ascii="Times New Roman" w:cs="Times New Roman" w:eastAsia="Times New Roman" w:hAnsi="Times New Roman"/>
          <w:sz w:val="21"/>
          <w:szCs w:val="21"/>
          <w:color w:val="0071CE"/>
        </w:rPr>
      </w:pPr>
      <w:r>
        <w:rPr>
          <w:rFonts w:ascii="Arial" w:cs="Arial" w:eastAsia="Arial" w:hAnsi="Arial"/>
          <w:sz w:val="25"/>
          <w:szCs w:val="25"/>
          <w:b w:val="1"/>
          <w:bCs w:val="1"/>
          <w:color w:val="3E3935"/>
        </w:rPr>
        <w:t>Candidate Recommendations</w:t>
      </w:r>
    </w:p>
    <w:p>
      <w:pPr>
        <w:spacing w:after="0" w:line="21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Governance Committee will consider director candidates recommended by shareholders. The Governance Committee will review the qualifications and experience of each recommended candidate using the same criteria for candidates proposed by Board members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communicate its decision to the candidate or the person who made the recommendation. Shareholder nominations must be submitted to the Company by the deadlines found on page 96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-1404620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582295</wp:posOffset>
            </wp:positionV>
            <wp:extent cx="5825490" cy="654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5490" cy="654050"/>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00" w:hanging="533"/>
        <w:spacing w:after="0"/>
        <w:tabs>
          <w:tab w:leader="none" w:pos="700" w:val="left"/>
        </w:tabs>
        <w:numPr>
          <w:ilvl w:val="0"/>
          <w:numId w:val="13"/>
        </w:numPr>
        <w:rPr>
          <w:rFonts w:ascii="Times New Roman" w:cs="Times New Roman" w:eastAsia="Times New Roman" w:hAnsi="Times New Roman"/>
          <w:sz w:val="20"/>
          <w:szCs w:val="20"/>
          <w:color w:val="0071CE"/>
        </w:rPr>
      </w:pPr>
      <w:r>
        <w:rPr>
          <w:rFonts w:ascii="Arial" w:cs="Arial" w:eastAsia="Arial" w:hAnsi="Arial"/>
          <w:sz w:val="24"/>
          <w:szCs w:val="24"/>
          <w:b w:val="1"/>
          <w:bCs w:val="1"/>
          <w:color w:val="3E3935"/>
        </w:rPr>
        <w:t>Director Recruitment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179705</wp:posOffset>
            </wp:positionV>
            <wp:extent cx="5825490" cy="1936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5490" cy="193611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Non-Employee Director Compensation</w:t>
      </w:r>
    </w:p>
    <w:p>
      <w:pPr>
        <w:spacing w:after="0" w:line="306"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Our non-employee directors receive cash compensation as well as equity compensation in the form of GM Deferred Share Units (“DSUs”)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3E3935"/>
        </w:rPr>
        <w:t>their Board service. Compensation for our non-employee directors is set by the Board at the recommendation of the Governance Committee.</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65" w:lineRule="exact"/>
        <w:rPr>
          <w:sz w:val="20"/>
          <w:szCs w:val="20"/>
          <w:color w:val="auto"/>
        </w:rPr>
      </w:pPr>
    </w:p>
    <w:p>
      <w:pPr>
        <w:ind w:left="700" w:hanging="533"/>
        <w:spacing w:after="0"/>
        <w:tabs>
          <w:tab w:leader="none" w:pos="700" w:val="left"/>
        </w:tabs>
        <w:numPr>
          <w:ilvl w:val="0"/>
          <w:numId w:val="14"/>
        </w:numPr>
        <w:rPr>
          <w:rFonts w:ascii="Times New Roman" w:cs="Times New Roman" w:eastAsia="Times New Roman" w:hAnsi="Times New Roman"/>
          <w:sz w:val="21"/>
          <w:szCs w:val="21"/>
          <w:color w:val="0071CE"/>
        </w:rPr>
      </w:pPr>
      <w:r>
        <w:rPr>
          <w:rFonts w:ascii="Arial" w:cs="Arial" w:eastAsia="Arial" w:hAnsi="Arial"/>
          <w:sz w:val="25"/>
          <w:szCs w:val="25"/>
          <w:color w:val="3E3935"/>
        </w:rPr>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111760</wp:posOffset>
            </wp:positionV>
            <wp:extent cx="6929755" cy="14693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Fairly compensate directors for their responsibilities and time commitments.</w:t>
      </w:r>
    </w:p>
    <w:p>
      <w:pPr>
        <w:spacing w:after="0" w:line="77" w:lineRule="exact"/>
        <w:rPr>
          <w:sz w:val="20"/>
          <w:szCs w:val="20"/>
          <w:color w:val="auto"/>
        </w:rPr>
      </w:pPr>
    </w:p>
    <w:p>
      <w:pPr>
        <w:ind w:left="660" w:right="400" w:hanging="293"/>
        <w:spacing w:after="0" w:line="273"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Attract and retain highly qualified directors by offering a compensation program consistent with those at companies</w:t>
      </w:r>
      <w:r>
        <w:rPr>
          <w:rFonts w:ascii="Arial" w:cs="Arial" w:eastAsia="Arial" w:hAnsi="Arial"/>
          <w:sz w:val="27"/>
          <w:szCs w:val="27"/>
          <w:color w:val="00C1DE"/>
        </w:rPr>
        <w:t xml:space="preserve"> </w:t>
      </w:r>
      <w:r>
        <w:rPr>
          <w:rFonts w:ascii="Arial" w:cs="Arial" w:eastAsia="Arial" w:hAnsi="Arial"/>
          <w:sz w:val="19"/>
          <w:szCs w:val="19"/>
          <w:color w:val="3E3935"/>
        </w:rPr>
        <w:t>of similar size, scope, and complexity.</w:t>
      </w:r>
    </w:p>
    <w:p>
      <w:pPr>
        <w:ind w:left="3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Align the interests of directors with our shareholders by providing a significant portion of compensation in equity and</w:t>
      </w:r>
    </w:p>
    <w:p>
      <w:pPr>
        <w:spacing w:after="0" w:line="21" w:lineRule="exact"/>
        <w:rPr>
          <w:sz w:val="20"/>
          <w:szCs w:val="20"/>
          <w:color w:val="auto"/>
        </w:rPr>
      </w:pPr>
    </w:p>
    <w:p>
      <w:pPr>
        <w:ind w:left="660" w:right="400"/>
        <w:spacing w:after="0" w:line="236" w:lineRule="auto"/>
        <w:rPr>
          <w:sz w:val="20"/>
          <w:szCs w:val="20"/>
          <w:color w:val="auto"/>
        </w:rPr>
      </w:pPr>
      <w:r>
        <w:rPr>
          <w:rFonts w:ascii="Arial" w:cs="Arial" w:eastAsia="Arial" w:hAnsi="Arial"/>
          <w:sz w:val="20"/>
          <w:szCs w:val="20"/>
          <w:color w:val="3E3935"/>
        </w:rPr>
        <w:t>requiring directors to continue to own our common stock (or common stock equivalents) throughout their tenure on the Board.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Provide compensation that is simple and transparent to shareholders.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-95885</wp:posOffset>
            </wp:positionV>
            <wp:extent cx="5927725" cy="101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0"/>
          <w:szCs w:val="20"/>
          <w:color w:val="auto"/>
        </w:rPr>
      </w:pPr>
    </w:p>
    <w:p>
      <w:pPr>
        <w:ind w:left="700" w:hanging="533"/>
        <w:spacing w:after="0"/>
        <w:tabs>
          <w:tab w:leader="none" w:pos="700" w:val="left"/>
        </w:tabs>
        <w:numPr>
          <w:ilvl w:val="0"/>
          <w:numId w:val="15"/>
        </w:numPr>
        <w:rPr>
          <w:rFonts w:ascii="Times New Roman" w:cs="Times New Roman" w:eastAsia="Times New Roman" w:hAnsi="Times New Roman"/>
          <w:sz w:val="21"/>
          <w:szCs w:val="21"/>
          <w:color w:val="0071CE"/>
        </w:rPr>
      </w:pPr>
      <w:r>
        <w:rPr>
          <w:rFonts w:ascii="Arial" w:cs="Arial" w:eastAsia="Arial" w:hAnsi="Arial"/>
          <w:sz w:val="25"/>
          <w:szCs w:val="25"/>
          <w:color w:val="3E3935"/>
        </w:rPr>
        <w:t>Annual Review Process</w:t>
      </w:r>
    </w:p>
    <w:p>
      <w:pPr>
        <w:spacing w:after="0" w:line="208"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Governance Committee annually assesses the form and amount of non-employee director compensation and recommends changes, if appropriate, to the Board. As part of its annual review, the Governance Committee conducts extensive benchmarking by reviewing director compensation data for the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3E3935"/>
        </w:rPr>
        <w:t>compensation peer group described in the “Peer Group for Compensation Benchmarking” section on page 53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-1269365</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3E3935"/>
        </w:rPr>
        <w:t>Non-employee director compensation for 2021 is set forth on pages 17 and 18 of this Proxy Statement.</w:t>
      </w:r>
    </w:p>
    <w:p>
      <w:pPr>
        <w:spacing w:after="0" w:line="252"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Director Stock Ownership and 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156845</wp:posOffset>
            </wp:positionV>
            <wp:extent cx="6929755" cy="16052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1605280"/>
                    </a:xfrm>
                    <a:prstGeom prst="rect">
                      <a:avLst/>
                    </a:prstGeom>
                    <a:noFill/>
                  </pic:spPr>
                </pic:pic>
              </a:graphicData>
            </a:graphic>
          </wp:anchor>
        </w:drawing>
      </w:r>
    </w:p>
    <w:p>
      <w:pPr>
        <w:spacing w:after="0" w:line="266" w:lineRule="exact"/>
        <w:rPr>
          <w:sz w:val="20"/>
          <w:szCs w:val="20"/>
          <w:color w:val="auto"/>
        </w:rPr>
      </w:pPr>
    </w:p>
    <w:p>
      <w:pPr>
        <w:ind w:left="660" w:right="400" w:hanging="293"/>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Each non-employee director is required to own our common stock or DSUs with a market value of at least</w:t>
      </w:r>
      <w:r>
        <w:rPr>
          <w:rFonts w:ascii="Arial" w:cs="Arial" w:eastAsia="Arial" w:hAnsi="Arial"/>
          <w:sz w:val="27"/>
          <w:szCs w:val="27"/>
          <w:color w:val="00C1DE"/>
        </w:rPr>
        <w:t xml:space="preserve"> </w:t>
      </w:r>
      <w:r>
        <w:rPr>
          <w:rFonts w:ascii="Arial" w:cs="Arial" w:eastAsia="Arial" w:hAnsi="Arial"/>
          <w:sz w:val="19"/>
          <w:szCs w:val="19"/>
          <w:color w:val="3E3935"/>
        </w:rPr>
        <w:t>$500,000.</w:t>
      </w:r>
    </w:p>
    <w:p>
      <w:pPr>
        <w:spacing w:after="0" w:line="291" w:lineRule="exact"/>
        <w:rPr>
          <w:sz w:val="20"/>
          <w:szCs w:val="20"/>
          <w:color w:val="auto"/>
        </w:rPr>
      </w:pPr>
    </w:p>
    <w:p>
      <w:pPr>
        <w:ind w:left="660" w:right="400" w:hanging="293"/>
        <w:spacing w:after="0" w:line="220"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Each non-employee director has up to five years from the date he or she is first elected to the Board to meet this</w:t>
      </w:r>
      <w:r>
        <w:rPr>
          <w:rFonts w:ascii="Arial" w:cs="Arial" w:eastAsia="Arial" w:hAnsi="Arial"/>
          <w:sz w:val="27"/>
          <w:szCs w:val="27"/>
          <w:color w:val="00C1DE"/>
        </w:rPr>
        <w:t xml:space="preserve"> </w:t>
      </w:r>
      <w:r>
        <w:rPr>
          <w:rFonts w:ascii="Arial" w:cs="Arial" w:eastAsia="Arial" w:hAnsi="Arial"/>
          <w:sz w:val="19"/>
          <w:szCs w:val="19"/>
          <w:color w:val="3E3935"/>
        </w:rPr>
        <w:t>ownership requirement.</w:t>
      </w:r>
    </w:p>
    <w:p>
      <w:pPr>
        <w:spacing w:after="0" w:line="33" w:lineRule="exact"/>
        <w:rPr>
          <w:sz w:val="20"/>
          <w:szCs w:val="20"/>
          <w:color w:val="auto"/>
        </w:rPr>
      </w:pPr>
    </w:p>
    <w:p>
      <w:pPr>
        <w:ind w:left="660" w:right="400" w:hanging="293"/>
        <w:spacing w:after="0" w:line="273"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Non-employee directors are prohibited from selling any GM securities or derivatives of GM securities, such as</w:t>
      </w:r>
      <w:r>
        <w:rPr>
          <w:rFonts w:ascii="Arial" w:cs="Arial" w:eastAsia="Arial" w:hAnsi="Arial"/>
          <w:sz w:val="27"/>
          <w:szCs w:val="27"/>
          <w:color w:val="00C1DE"/>
        </w:rPr>
        <w:t xml:space="preserve"> </w:t>
      </w:r>
      <w:r>
        <w:rPr>
          <w:rFonts w:ascii="Arial" w:cs="Arial" w:eastAsia="Arial" w:hAnsi="Arial"/>
          <w:sz w:val="19"/>
          <w:szCs w:val="19"/>
          <w:color w:val="3E3935"/>
        </w:rPr>
        <w:t>DSUs, while they are members of the Board.</w:t>
      </w:r>
    </w:p>
    <w:p>
      <w:pPr>
        <w:ind w:left="660" w:right="400" w:hanging="293"/>
        <w:spacing w:after="0" w:line="220"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Ownership guidelines are reviewed each year to confirm they continue to be effective in aligning the interests of the</w:t>
      </w:r>
      <w:r>
        <w:rPr>
          <w:rFonts w:ascii="Arial" w:cs="Arial" w:eastAsia="Arial" w:hAnsi="Arial"/>
          <w:sz w:val="27"/>
          <w:szCs w:val="27"/>
          <w:color w:val="00C1DE"/>
        </w:rPr>
        <w:t xml:space="preserve"> </w:t>
      </w:r>
      <w:r>
        <w:rPr>
          <w:rFonts w:ascii="Arial" w:cs="Arial" w:eastAsia="Arial" w:hAnsi="Arial"/>
          <w:sz w:val="19"/>
          <w:szCs w:val="19"/>
          <w:color w:val="3E3935"/>
        </w:rPr>
        <w:t>Board and our shareholders.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All of our non-employee directors are in compliance with our stock retention requirements.</w:t>
      </w:r>
    </w:p>
    <w:p>
      <w:pPr>
        <w:sectPr>
          <w:pgSz w:w="11900" w:h="16838" w:orient="portrait"/>
          <w:cols w:equalWidth="0" w:num="1">
            <w:col w:w="11080"/>
          </w:cols>
          <w:pgMar w:left="320" w:top="454" w:right="499" w:bottom="1440" w:gutter="0" w:footer="0" w:header="0"/>
          <w:type w:val="continuous"/>
        </w:sect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Annual Compensation</w:t>
      </w:r>
    </w:p>
    <w:p>
      <w:pPr>
        <w:spacing w:after="0" w:line="306"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The 2021 and 2022 compensation for non-employee directors are described in the table below. We do not pay any other meeting fees. The Independent Lead Director and Committee Chairs receive additional compensation due to the increased workload and additional responsibilities associated with these positions. In particular, Ms. Russo’s compensation as Independent Lead Director reflects the additional time commitment for this role, which includes, among other responsibilities, attending all Committee meetings and attending additional meetings with the Company’s senior management, including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CEO. For additional information about the roles and responsibilities of our Independent Lead Director, see “The Role of the Independent Lead Director” on page 20 of this Proxy Statement.</w:t>
      </w:r>
    </w:p>
    <w:p>
      <w:pPr>
        <w:spacing w:after="0" w:line="10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In December 2021, the Board approved a $5,000 increase in Committee Chair fees in recognition of the increased ESG oversight responsibilities for each Committee and in anticipation of Committee membership rotations in the coming years that are part of the Board’s ongoing director refreshment and succession planning efforts.</w:t>
      </w:r>
    </w:p>
    <w:p>
      <w:pPr>
        <w:spacing w:after="0" w:line="267"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7140" w:type="dxa"/>
            <w:vAlign w:val="bottom"/>
            <w:tcBorders>
              <w:top w:val="single" w:sz="8" w:color="00C1DE"/>
            </w:tcBorders>
          </w:tcPr>
          <w:p>
            <w:pPr>
              <w:spacing w:after="0"/>
              <w:rPr>
                <w:sz w:val="18"/>
                <w:szCs w:val="18"/>
                <w:color w:val="auto"/>
              </w:rPr>
            </w:pPr>
          </w:p>
        </w:tc>
        <w:tc>
          <w:tcPr>
            <w:tcW w:w="1200" w:type="dxa"/>
            <w:vAlign w:val="bottom"/>
            <w:tcBorders>
              <w:top w:val="single" w:sz="8" w:color="00C1DE"/>
            </w:tcBorders>
          </w:tcPr>
          <w:p>
            <w:pPr>
              <w:spacing w:after="0"/>
              <w:rPr>
                <w:sz w:val="18"/>
                <w:szCs w:val="18"/>
                <w:color w:val="auto"/>
              </w:rPr>
            </w:pPr>
          </w:p>
        </w:tc>
        <w:tc>
          <w:tcPr>
            <w:tcW w:w="1180" w:type="dxa"/>
            <w:vAlign w:val="bottom"/>
            <w:tcBorders>
              <w:top w:val="single" w:sz="8" w:color="00C1DE"/>
            </w:tcBorders>
          </w:tcPr>
          <w:p>
            <w:pPr>
              <w:jc w:val="right"/>
              <w:ind w:right="142"/>
              <w:spacing w:after="0" w:line="217" w:lineRule="exact"/>
              <w:rPr>
                <w:sz w:val="20"/>
                <w:szCs w:val="20"/>
                <w:color w:val="auto"/>
              </w:rPr>
            </w:pPr>
            <w:r>
              <w:rPr>
                <w:rFonts w:ascii="Arial" w:cs="Arial" w:eastAsia="Arial" w:hAnsi="Arial"/>
                <w:sz w:val="20"/>
                <w:szCs w:val="20"/>
                <w:b w:val="1"/>
                <w:bCs w:val="1"/>
                <w:color w:val="00C1DE"/>
              </w:rPr>
              <w:t>2021</w:t>
            </w:r>
          </w:p>
        </w:tc>
        <w:tc>
          <w:tcPr>
            <w:tcW w:w="400" w:type="dxa"/>
            <w:vAlign w:val="bottom"/>
            <w:tcBorders>
              <w:top w:val="single" w:sz="8" w:color="00C1DE"/>
            </w:tcBorders>
          </w:tcPr>
          <w:p>
            <w:pPr>
              <w:spacing w:after="0"/>
              <w:rPr>
                <w:sz w:val="18"/>
                <w:szCs w:val="18"/>
                <w:color w:val="auto"/>
              </w:rPr>
            </w:pPr>
          </w:p>
        </w:tc>
        <w:tc>
          <w:tcPr>
            <w:tcW w:w="1000" w:type="dxa"/>
            <w:vAlign w:val="bottom"/>
            <w:tcBorders>
              <w:top w:val="single" w:sz="8" w:color="00C1DE"/>
            </w:tcBorders>
          </w:tcPr>
          <w:p>
            <w:pPr>
              <w:jc w:val="right"/>
              <w:spacing w:after="0" w:line="217" w:lineRule="exact"/>
              <w:rPr>
                <w:sz w:val="20"/>
                <w:szCs w:val="20"/>
                <w:color w:val="auto"/>
              </w:rPr>
            </w:pPr>
            <w:r>
              <w:rPr>
                <w:rFonts w:ascii="Arial" w:cs="Arial" w:eastAsia="Arial" w:hAnsi="Arial"/>
                <w:sz w:val="20"/>
                <w:szCs w:val="20"/>
                <w:b w:val="1"/>
                <w:bCs w:val="1"/>
                <w:color w:val="00C1DE"/>
              </w:rPr>
              <w:t>2022</w:t>
            </w:r>
          </w:p>
        </w:tc>
      </w:tr>
      <w:tr>
        <w:trPr>
          <w:trHeight w:val="251"/>
        </w:trPr>
        <w:tc>
          <w:tcPr>
            <w:tcW w:w="714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Compensation Element</w:t>
            </w:r>
          </w:p>
        </w:tc>
        <w:tc>
          <w:tcPr>
            <w:tcW w:w="1200" w:type="dxa"/>
            <w:vAlign w:val="bottom"/>
            <w:tcBorders>
              <w:bottom w:val="single" w:sz="8" w:color="00C1DE"/>
            </w:tcBorders>
          </w:tcPr>
          <w:p>
            <w:pPr>
              <w:spacing w:after="0"/>
              <w:rPr>
                <w:sz w:val="21"/>
                <w:szCs w:val="21"/>
                <w:color w:val="auto"/>
              </w:rPr>
            </w:pPr>
          </w:p>
        </w:tc>
        <w:tc>
          <w:tcPr>
            <w:tcW w:w="1180" w:type="dxa"/>
            <w:vAlign w:val="bottom"/>
            <w:tcBorders>
              <w:bottom w:val="single" w:sz="8" w:color="00C1DE"/>
            </w:tcBorders>
          </w:tcPr>
          <w:p>
            <w:pPr>
              <w:jc w:val="right"/>
              <w:ind w:right="142"/>
              <w:spacing w:after="0"/>
              <w:rPr>
                <w:sz w:val="20"/>
                <w:szCs w:val="20"/>
                <w:color w:val="auto"/>
              </w:rPr>
            </w:pPr>
            <w:r>
              <w:rPr>
                <w:rFonts w:ascii="Arial" w:cs="Arial" w:eastAsia="Arial" w:hAnsi="Arial"/>
                <w:sz w:val="20"/>
                <w:szCs w:val="20"/>
                <w:b w:val="1"/>
                <w:bCs w:val="1"/>
                <w:color w:val="00C1DE"/>
              </w:rPr>
              <w:t>Structure</w:t>
            </w:r>
          </w:p>
        </w:tc>
        <w:tc>
          <w:tcPr>
            <w:tcW w:w="400" w:type="dxa"/>
            <w:vAlign w:val="bottom"/>
            <w:tcBorders>
              <w:bottom w:val="single" w:sz="8" w:color="00C1DE"/>
            </w:tcBorders>
          </w:tcPr>
          <w:p>
            <w:pPr>
              <w:spacing w:after="0"/>
              <w:rPr>
                <w:sz w:val="21"/>
                <w:szCs w:val="21"/>
                <w:color w:val="auto"/>
              </w:rPr>
            </w:pPr>
          </w:p>
        </w:tc>
        <w:tc>
          <w:tcPr>
            <w:tcW w:w="10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Structure</w:t>
            </w:r>
          </w:p>
        </w:tc>
      </w:tr>
      <w:tr>
        <w:trPr>
          <w:trHeight w:val="296"/>
        </w:trPr>
        <w:tc>
          <w:tcPr>
            <w:tcW w:w="7140" w:type="dxa"/>
            <w:vAlign w:val="bottom"/>
          </w:tcPr>
          <w:p>
            <w:pPr>
              <w:ind w:left="100"/>
              <w:spacing w:after="0"/>
              <w:rPr>
                <w:sz w:val="20"/>
                <w:szCs w:val="20"/>
                <w:color w:val="auto"/>
              </w:rPr>
            </w:pPr>
            <w:r>
              <w:rPr>
                <w:rFonts w:ascii="Arial" w:cs="Arial" w:eastAsia="Arial" w:hAnsi="Arial"/>
                <w:sz w:val="20"/>
                <w:szCs w:val="20"/>
                <w:color w:val="3E3935"/>
              </w:rPr>
              <w:t>Board Retainer</w:t>
            </w:r>
          </w:p>
        </w:tc>
        <w:tc>
          <w:tcPr>
            <w:tcW w:w="1200" w:type="dxa"/>
            <w:vAlign w:val="bottom"/>
          </w:tcPr>
          <w:p>
            <w:pPr>
              <w:jc w:val="right"/>
              <w:spacing w:after="0"/>
              <w:rPr>
                <w:sz w:val="20"/>
                <w:szCs w:val="20"/>
                <w:color w:val="auto"/>
              </w:rPr>
            </w:pPr>
            <w:r>
              <w:rPr>
                <w:rFonts w:ascii="Arial" w:cs="Arial" w:eastAsia="Arial" w:hAnsi="Arial"/>
                <w:sz w:val="20"/>
                <w:szCs w:val="20"/>
                <w:color w:val="3E3935"/>
              </w:rPr>
              <w:t>$</w:t>
            </w:r>
          </w:p>
        </w:tc>
        <w:tc>
          <w:tcPr>
            <w:tcW w:w="1180" w:type="dxa"/>
            <w:vAlign w:val="bottom"/>
          </w:tcPr>
          <w:p>
            <w:pPr>
              <w:jc w:val="right"/>
              <w:ind w:right="142"/>
              <w:spacing w:after="0"/>
              <w:rPr>
                <w:sz w:val="20"/>
                <w:szCs w:val="20"/>
                <w:color w:val="auto"/>
              </w:rPr>
            </w:pPr>
            <w:r>
              <w:rPr>
                <w:rFonts w:ascii="Arial" w:cs="Arial" w:eastAsia="Arial" w:hAnsi="Arial"/>
                <w:sz w:val="20"/>
                <w:szCs w:val="20"/>
                <w:color w:val="3E3935"/>
              </w:rPr>
              <w:t>305,000</w:t>
            </w:r>
          </w:p>
        </w:tc>
        <w:tc>
          <w:tcPr>
            <w:tcW w:w="40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305,000</w:t>
            </w:r>
          </w:p>
        </w:tc>
      </w:tr>
      <w:tr>
        <w:trPr>
          <w:trHeight w:val="58"/>
        </w:trPr>
        <w:tc>
          <w:tcPr>
            <w:tcW w:w="714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400" w:type="dxa"/>
            <w:vAlign w:val="bottom"/>
            <w:tcBorders>
              <w:bottom w:val="single" w:sz="8" w:color="3E3935"/>
            </w:tcBorders>
          </w:tcPr>
          <w:p>
            <w:pPr>
              <w:spacing w:after="0"/>
              <w:rPr>
                <w:sz w:val="5"/>
                <w:szCs w:val="5"/>
                <w:color w:val="auto"/>
              </w:rPr>
            </w:pPr>
          </w:p>
        </w:tc>
        <w:tc>
          <w:tcPr>
            <w:tcW w:w="1000" w:type="dxa"/>
            <w:vAlign w:val="bottom"/>
            <w:tcBorders>
              <w:bottom w:val="single" w:sz="8" w:color="3E3935"/>
            </w:tcBorders>
          </w:tcPr>
          <w:p>
            <w:pPr>
              <w:spacing w:after="0"/>
              <w:rPr>
                <w:sz w:val="5"/>
                <w:szCs w:val="5"/>
                <w:color w:val="auto"/>
              </w:rPr>
            </w:pPr>
          </w:p>
        </w:tc>
      </w:tr>
      <w:tr>
        <w:trPr>
          <w:trHeight w:val="296"/>
        </w:trPr>
        <w:tc>
          <w:tcPr>
            <w:tcW w:w="7140" w:type="dxa"/>
            <w:vAlign w:val="bottom"/>
          </w:tcPr>
          <w:p>
            <w:pPr>
              <w:ind w:left="100"/>
              <w:spacing w:after="0"/>
              <w:rPr>
                <w:sz w:val="20"/>
                <w:szCs w:val="20"/>
                <w:color w:val="auto"/>
              </w:rPr>
            </w:pPr>
            <w:r>
              <w:rPr>
                <w:rFonts w:ascii="Arial" w:cs="Arial" w:eastAsia="Arial" w:hAnsi="Arial"/>
                <w:sz w:val="20"/>
                <w:szCs w:val="20"/>
                <w:color w:val="3E3935"/>
              </w:rPr>
              <w:t>Independent Lead Director Fee</w:t>
            </w:r>
          </w:p>
        </w:tc>
        <w:tc>
          <w:tcPr>
            <w:tcW w:w="1200" w:type="dxa"/>
            <w:vAlign w:val="bottom"/>
          </w:tcPr>
          <w:p>
            <w:pPr>
              <w:jc w:val="right"/>
              <w:spacing w:after="0"/>
              <w:rPr>
                <w:sz w:val="20"/>
                <w:szCs w:val="20"/>
                <w:color w:val="auto"/>
              </w:rPr>
            </w:pPr>
            <w:r>
              <w:rPr>
                <w:rFonts w:ascii="Arial" w:cs="Arial" w:eastAsia="Arial" w:hAnsi="Arial"/>
                <w:sz w:val="20"/>
                <w:szCs w:val="20"/>
                <w:color w:val="3E3935"/>
              </w:rPr>
              <w:t>$</w:t>
            </w:r>
          </w:p>
        </w:tc>
        <w:tc>
          <w:tcPr>
            <w:tcW w:w="1180" w:type="dxa"/>
            <w:vAlign w:val="bottom"/>
          </w:tcPr>
          <w:p>
            <w:pPr>
              <w:jc w:val="right"/>
              <w:ind w:right="142"/>
              <w:spacing w:after="0"/>
              <w:rPr>
                <w:sz w:val="20"/>
                <w:szCs w:val="20"/>
                <w:color w:val="auto"/>
              </w:rPr>
            </w:pPr>
            <w:r>
              <w:rPr>
                <w:rFonts w:ascii="Arial" w:cs="Arial" w:eastAsia="Arial" w:hAnsi="Arial"/>
                <w:sz w:val="20"/>
                <w:szCs w:val="20"/>
                <w:color w:val="3E3935"/>
              </w:rPr>
              <w:t>100,000</w:t>
            </w:r>
          </w:p>
        </w:tc>
        <w:tc>
          <w:tcPr>
            <w:tcW w:w="40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100,000</w:t>
            </w:r>
          </w:p>
        </w:tc>
      </w:tr>
      <w:tr>
        <w:trPr>
          <w:trHeight w:val="58"/>
        </w:trPr>
        <w:tc>
          <w:tcPr>
            <w:tcW w:w="714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400" w:type="dxa"/>
            <w:vAlign w:val="bottom"/>
            <w:tcBorders>
              <w:bottom w:val="single" w:sz="8" w:color="3E3935"/>
            </w:tcBorders>
          </w:tcPr>
          <w:p>
            <w:pPr>
              <w:spacing w:after="0"/>
              <w:rPr>
                <w:sz w:val="5"/>
                <w:szCs w:val="5"/>
                <w:color w:val="auto"/>
              </w:rPr>
            </w:pPr>
          </w:p>
        </w:tc>
        <w:tc>
          <w:tcPr>
            <w:tcW w:w="1000" w:type="dxa"/>
            <w:vAlign w:val="bottom"/>
            <w:tcBorders>
              <w:bottom w:val="single" w:sz="8" w:color="3E3935"/>
            </w:tcBorders>
          </w:tcPr>
          <w:p>
            <w:pPr>
              <w:spacing w:after="0"/>
              <w:rPr>
                <w:sz w:val="5"/>
                <w:szCs w:val="5"/>
                <w:color w:val="auto"/>
              </w:rPr>
            </w:pPr>
          </w:p>
        </w:tc>
      </w:tr>
      <w:tr>
        <w:trPr>
          <w:trHeight w:val="296"/>
        </w:trPr>
        <w:tc>
          <w:tcPr>
            <w:tcW w:w="7140" w:type="dxa"/>
            <w:vAlign w:val="bottom"/>
          </w:tcPr>
          <w:p>
            <w:pPr>
              <w:ind w:left="100"/>
              <w:spacing w:after="0"/>
              <w:rPr>
                <w:sz w:val="20"/>
                <w:szCs w:val="20"/>
                <w:color w:val="auto"/>
              </w:rPr>
            </w:pPr>
            <w:r>
              <w:rPr>
                <w:rFonts w:ascii="Arial" w:cs="Arial" w:eastAsia="Arial" w:hAnsi="Arial"/>
                <w:sz w:val="20"/>
                <w:szCs w:val="20"/>
                <w:color w:val="3E3935"/>
              </w:rPr>
              <w:t>Audit Committee Chair Fee</w:t>
            </w:r>
          </w:p>
        </w:tc>
        <w:tc>
          <w:tcPr>
            <w:tcW w:w="1200" w:type="dxa"/>
            <w:vAlign w:val="bottom"/>
          </w:tcPr>
          <w:p>
            <w:pPr>
              <w:jc w:val="right"/>
              <w:spacing w:after="0"/>
              <w:rPr>
                <w:sz w:val="20"/>
                <w:szCs w:val="20"/>
                <w:color w:val="auto"/>
              </w:rPr>
            </w:pPr>
            <w:r>
              <w:rPr>
                <w:rFonts w:ascii="Arial" w:cs="Arial" w:eastAsia="Arial" w:hAnsi="Arial"/>
                <w:sz w:val="20"/>
                <w:szCs w:val="20"/>
                <w:color w:val="3E3935"/>
              </w:rPr>
              <w:t>$</w:t>
            </w:r>
          </w:p>
        </w:tc>
        <w:tc>
          <w:tcPr>
            <w:tcW w:w="1180" w:type="dxa"/>
            <w:vAlign w:val="bottom"/>
          </w:tcPr>
          <w:p>
            <w:pPr>
              <w:jc w:val="right"/>
              <w:ind w:right="142"/>
              <w:spacing w:after="0"/>
              <w:rPr>
                <w:sz w:val="20"/>
                <w:szCs w:val="20"/>
                <w:color w:val="auto"/>
              </w:rPr>
            </w:pPr>
            <w:r>
              <w:rPr>
                <w:rFonts w:ascii="Arial" w:cs="Arial" w:eastAsia="Arial" w:hAnsi="Arial"/>
                <w:sz w:val="20"/>
                <w:szCs w:val="20"/>
                <w:color w:val="3E3935"/>
              </w:rPr>
              <w:t>30,000</w:t>
            </w:r>
          </w:p>
        </w:tc>
        <w:tc>
          <w:tcPr>
            <w:tcW w:w="40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35,000</w:t>
            </w:r>
          </w:p>
        </w:tc>
      </w:tr>
      <w:tr>
        <w:trPr>
          <w:trHeight w:val="58"/>
        </w:trPr>
        <w:tc>
          <w:tcPr>
            <w:tcW w:w="714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400" w:type="dxa"/>
            <w:vAlign w:val="bottom"/>
            <w:tcBorders>
              <w:bottom w:val="single" w:sz="8" w:color="3E3935"/>
            </w:tcBorders>
          </w:tcPr>
          <w:p>
            <w:pPr>
              <w:spacing w:after="0"/>
              <w:rPr>
                <w:sz w:val="5"/>
                <w:szCs w:val="5"/>
                <w:color w:val="auto"/>
              </w:rPr>
            </w:pPr>
          </w:p>
        </w:tc>
        <w:tc>
          <w:tcPr>
            <w:tcW w:w="1000" w:type="dxa"/>
            <w:vAlign w:val="bottom"/>
            <w:tcBorders>
              <w:bottom w:val="single" w:sz="8" w:color="3E3935"/>
            </w:tcBorders>
          </w:tcPr>
          <w:p>
            <w:pPr>
              <w:spacing w:after="0"/>
              <w:rPr>
                <w:sz w:val="5"/>
                <w:szCs w:val="5"/>
                <w:color w:val="auto"/>
              </w:rPr>
            </w:pPr>
          </w:p>
        </w:tc>
      </w:tr>
      <w:tr>
        <w:trPr>
          <w:trHeight w:val="296"/>
        </w:trPr>
        <w:tc>
          <w:tcPr>
            <w:tcW w:w="7140" w:type="dxa"/>
            <w:vAlign w:val="bottom"/>
          </w:tcPr>
          <w:p>
            <w:pPr>
              <w:ind w:left="100"/>
              <w:spacing w:after="0"/>
              <w:rPr>
                <w:sz w:val="20"/>
                <w:szCs w:val="20"/>
                <w:color w:val="auto"/>
              </w:rPr>
            </w:pPr>
            <w:r>
              <w:rPr>
                <w:rFonts w:ascii="Arial" w:cs="Arial" w:eastAsia="Arial" w:hAnsi="Arial"/>
                <w:sz w:val="20"/>
                <w:szCs w:val="20"/>
                <w:color w:val="3E3935"/>
              </w:rPr>
              <w:t>All Other Committee Chair Fees (excluding the Executive Committee)</w:t>
            </w:r>
          </w:p>
        </w:tc>
        <w:tc>
          <w:tcPr>
            <w:tcW w:w="1200" w:type="dxa"/>
            <w:vAlign w:val="bottom"/>
          </w:tcPr>
          <w:p>
            <w:pPr>
              <w:jc w:val="right"/>
              <w:spacing w:after="0"/>
              <w:rPr>
                <w:sz w:val="20"/>
                <w:szCs w:val="20"/>
                <w:color w:val="auto"/>
              </w:rPr>
            </w:pPr>
            <w:r>
              <w:rPr>
                <w:rFonts w:ascii="Arial" w:cs="Arial" w:eastAsia="Arial" w:hAnsi="Arial"/>
                <w:sz w:val="20"/>
                <w:szCs w:val="20"/>
                <w:color w:val="3E3935"/>
              </w:rPr>
              <w:t>$</w:t>
            </w:r>
          </w:p>
        </w:tc>
        <w:tc>
          <w:tcPr>
            <w:tcW w:w="1180" w:type="dxa"/>
            <w:vAlign w:val="bottom"/>
          </w:tcPr>
          <w:p>
            <w:pPr>
              <w:jc w:val="right"/>
              <w:ind w:right="142"/>
              <w:spacing w:after="0"/>
              <w:rPr>
                <w:sz w:val="20"/>
                <w:szCs w:val="20"/>
                <w:color w:val="auto"/>
              </w:rPr>
            </w:pPr>
            <w:r>
              <w:rPr>
                <w:rFonts w:ascii="Arial" w:cs="Arial" w:eastAsia="Arial" w:hAnsi="Arial"/>
                <w:sz w:val="20"/>
                <w:szCs w:val="20"/>
                <w:color w:val="3E3935"/>
              </w:rPr>
              <w:t>20,000</w:t>
            </w:r>
          </w:p>
        </w:tc>
        <w:tc>
          <w:tcPr>
            <w:tcW w:w="40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25,000</w:t>
            </w:r>
          </w:p>
        </w:tc>
      </w:tr>
      <w:tr>
        <w:trPr>
          <w:trHeight w:val="58"/>
        </w:trPr>
        <w:tc>
          <w:tcPr>
            <w:tcW w:w="7140" w:type="dxa"/>
            <w:vAlign w:val="bottom"/>
            <w:tcBorders>
              <w:bottom w:val="single" w:sz="8" w:color="0071CE"/>
            </w:tcBorders>
          </w:tcPr>
          <w:p>
            <w:pPr>
              <w:spacing w:after="0"/>
              <w:rPr>
                <w:sz w:val="5"/>
                <w:szCs w:val="5"/>
                <w:color w:val="auto"/>
              </w:rPr>
            </w:pPr>
          </w:p>
        </w:tc>
        <w:tc>
          <w:tcPr>
            <w:tcW w:w="1200" w:type="dxa"/>
            <w:vAlign w:val="bottom"/>
            <w:tcBorders>
              <w:bottom w:val="single" w:sz="8" w:color="0071CE"/>
            </w:tcBorders>
          </w:tcPr>
          <w:p>
            <w:pPr>
              <w:spacing w:after="0"/>
              <w:rPr>
                <w:sz w:val="5"/>
                <w:szCs w:val="5"/>
                <w:color w:val="auto"/>
              </w:rPr>
            </w:pPr>
          </w:p>
        </w:tc>
        <w:tc>
          <w:tcPr>
            <w:tcW w:w="1180" w:type="dxa"/>
            <w:vAlign w:val="bottom"/>
            <w:tcBorders>
              <w:bottom w:val="single" w:sz="8" w:color="0071CE"/>
            </w:tcBorders>
          </w:tcPr>
          <w:p>
            <w:pPr>
              <w:spacing w:after="0"/>
              <w:rPr>
                <w:sz w:val="5"/>
                <w:szCs w:val="5"/>
                <w:color w:val="auto"/>
              </w:rPr>
            </w:pPr>
          </w:p>
        </w:tc>
        <w:tc>
          <w:tcPr>
            <w:tcW w:w="400" w:type="dxa"/>
            <w:vAlign w:val="bottom"/>
            <w:tcBorders>
              <w:bottom w:val="single" w:sz="8" w:color="0071CE"/>
            </w:tcBorders>
          </w:tcPr>
          <w:p>
            <w:pPr>
              <w:spacing w:after="0"/>
              <w:rPr>
                <w:sz w:val="5"/>
                <w:szCs w:val="5"/>
                <w:color w:val="auto"/>
              </w:rPr>
            </w:pPr>
          </w:p>
        </w:tc>
        <w:tc>
          <w:tcPr>
            <w:tcW w:w="1000" w:type="dxa"/>
            <w:vAlign w:val="bottom"/>
            <w:tcBorders>
              <w:bottom w:val="single" w:sz="8" w:color="0071CE"/>
            </w:tcBorders>
          </w:tcPr>
          <w:p>
            <w:pPr>
              <w:spacing w:after="0"/>
              <w:rPr>
                <w:sz w:val="5"/>
                <w:szCs w:val="5"/>
                <w:color w:val="auto"/>
              </w:rPr>
            </w:pPr>
          </w:p>
        </w:tc>
      </w:tr>
      <w:tr>
        <w:trPr>
          <w:trHeight w:val="320"/>
        </w:trPr>
        <w:tc>
          <w:tcPr>
            <w:tcW w:w="7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226"/>
              <w:spacing w:after="0"/>
              <w:rPr>
                <w:sz w:val="20"/>
                <w:szCs w:val="20"/>
                <w:color w:val="auto"/>
              </w:rPr>
            </w:pPr>
            <w:r>
              <w:rPr>
                <w:rFonts w:ascii="Arial" w:cs="Arial" w:eastAsia="Arial" w:hAnsi="Arial"/>
                <w:sz w:val="14"/>
                <w:szCs w:val="14"/>
                <w:color w:val="0071CE"/>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-113665</wp:posOffset>
            </wp:positionV>
            <wp:extent cx="5927725" cy="101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3"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Non-employee directors are required to defer at least 50 percent of their annual Board retainer into DSUs under the General Motors Company Deferred Compensation Plan for Non-Employee Directors (the “Director Compensation Plan”). Directors may elect to defer all or half of their remaining Board retainer or amounts payable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any) for serving as a Committee Chair or Independent Lead Director into additional DSUs. The fees for a director who joins or leaves the Board or assumes additional responsibilities during the year are prorated for the director’s period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-1260475</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How Deferred Share Units Work</w:t>
      </w:r>
    </w:p>
    <w:p>
      <w:pPr>
        <w:spacing w:after="0" w:line="21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236855</wp:posOffset>
            </wp:positionV>
            <wp:extent cx="5876925" cy="1426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6925" cy="142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Other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We provide certain additional benefits to non-employee directors.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480" w:type="dxa"/>
            <w:vAlign w:val="bottom"/>
            <w:tcBorders>
              <w:top w:val="single" w:sz="8" w:color="00C1DE"/>
              <w:bottom w:val="single" w:sz="8" w:color="00C1DE"/>
            </w:tcBorders>
            <w:gridSpan w:val="2"/>
          </w:tcPr>
          <w:p>
            <w:pPr>
              <w:spacing w:after="0"/>
              <w:rPr>
                <w:sz w:val="20"/>
                <w:szCs w:val="20"/>
                <w:color w:val="auto"/>
              </w:rPr>
            </w:pPr>
            <w:r>
              <w:rPr>
                <w:rFonts w:ascii="Arial" w:cs="Arial" w:eastAsia="Arial" w:hAnsi="Arial"/>
                <w:sz w:val="20"/>
                <w:szCs w:val="20"/>
                <w:b w:val="1"/>
                <w:bCs w:val="1"/>
                <w:color w:val="00C1DE"/>
              </w:rPr>
              <w:t>Type</w:t>
            </w:r>
          </w:p>
        </w:tc>
        <w:tc>
          <w:tcPr>
            <w:tcW w:w="8440" w:type="dxa"/>
            <w:vAlign w:val="bottom"/>
            <w:tcBorders>
              <w:top w:val="single" w:sz="8" w:color="00C1DE"/>
              <w:bottom w:val="single" w:sz="8" w:color="00C1DE"/>
            </w:tcBorders>
          </w:tcPr>
          <w:p>
            <w:pPr>
              <w:ind w:left="380"/>
              <w:spacing w:after="0"/>
              <w:rPr>
                <w:sz w:val="20"/>
                <w:szCs w:val="20"/>
                <w:color w:val="auto"/>
              </w:rPr>
            </w:pPr>
            <w:r>
              <w:rPr>
                <w:rFonts w:ascii="Arial" w:cs="Arial" w:eastAsia="Arial" w:hAnsi="Arial"/>
                <w:sz w:val="20"/>
                <w:szCs w:val="20"/>
                <w:b w:val="1"/>
                <w:bCs w:val="1"/>
                <w:color w:val="00C1DE"/>
              </w:rPr>
              <w:t>Purpose</w:t>
            </w:r>
          </w:p>
        </w:tc>
      </w:tr>
      <w:tr>
        <w:trPr>
          <w:trHeight w:val="253"/>
        </w:trPr>
        <w:tc>
          <w:tcPr>
            <w:tcW w:w="340" w:type="dxa"/>
            <w:vAlign w:val="bottom"/>
          </w:tcPr>
          <w:p>
            <w:pPr>
              <w:ind w:left="120"/>
              <w:spacing w:after="0"/>
              <w:rPr>
                <w:sz w:val="20"/>
                <w:szCs w:val="20"/>
                <w:color w:val="auto"/>
              </w:rPr>
            </w:pPr>
            <w:r>
              <w:rPr>
                <w:rFonts w:ascii="Times New Roman" w:cs="Times New Roman" w:eastAsia="Times New Roman" w:hAnsi="Times New Roman"/>
                <w:sz w:val="20"/>
                <w:szCs w:val="20"/>
                <w:color w:val="00C1DE"/>
              </w:rPr>
              <w:t>u</w:t>
            </w:r>
            <w:r>
              <w:rPr>
                <w:rFonts w:ascii="Arial" w:cs="Arial" w:eastAsia="Arial" w:hAnsi="Arial"/>
                <w:sz w:val="20"/>
                <w:szCs w:val="20"/>
                <w:color w:val="3E3935"/>
              </w:rPr>
              <w:t xml:space="preserve"> </w:t>
            </w:r>
          </w:p>
        </w:tc>
        <w:tc>
          <w:tcPr>
            <w:tcW w:w="2140" w:type="dxa"/>
            <w:vAlign w:val="bottom"/>
          </w:tcPr>
          <w:p>
            <w:pPr>
              <w:ind w:left="60"/>
              <w:spacing w:after="0"/>
              <w:rPr>
                <w:sz w:val="20"/>
                <w:szCs w:val="20"/>
                <w:color w:val="auto"/>
              </w:rPr>
            </w:pPr>
            <w:r>
              <w:rPr>
                <w:rFonts w:ascii="Arial" w:cs="Arial" w:eastAsia="Arial" w:hAnsi="Arial"/>
                <w:sz w:val="20"/>
                <w:szCs w:val="20"/>
                <w:color w:val="3E3935"/>
              </w:rPr>
              <w:t>  Company Vehicles</w:t>
            </w:r>
          </w:p>
        </w:tc>
        <w:tc>
          <w:tcPr>
            <w:tcW w:w="8440" w:type="dxa"/>
            <w:vAlign w:val="bottom"/>
          </w:tcPr>
          <w:p>
            <w:pPr>
              <w:ind w:left="380"/>
              <w:spacing w:after="0"/>
              <w:rPr>
                <w:sz w:val="20"/>
                <w:szCs w:val="20"/>
                <w:color w:val="auto"/>
              </w:rPr>
            </w:pPr>
            <w:r>
              <w:rPr>
                <w:rFonts w:ascii="Arial" w:cs="Arial" w:eastAsia="Arial" w:hAnsi="Arial"/>
                <w:sz w:val="20"/>
                <w:szCs w:val="20"/>
                <w:color w:val="3E3935"/>
                <w:w w:val="99"/>
              </w:rPr>
              <w:t>We provide directors with the use of Company vehicles to provide feedback on our products</w:t>
            </w:r>
          </w:p>
        </w:tc>
      </w:tr>
      <w:tr>
        <w:trPr>
          <w:trHeight w:val="214"/>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40" w:type="dxa"/>
            <w:vAlign w:val="bottom"/>
          </w:tcPr>
          <w:p>
            <w:pPr>
              <w:ind w:left="380"/>
              <w:spacing w:after="0" w:line="214" w:lineRule="exact"/>
              <w:rPr>
                <w:sz w:val="20"/>
                <w:szCs w:val="20"/>
                <w:color w:val="auto"/>
              </w:rPr>
            </w:pPr>
            <w:r>
              <w:rPr>
                <w:rFonts w:ascii="Arial" w:cs="Arial" w:eastAsia="Arial" w:hAnsi="Arial"/>
                <w:sz w:val="20"/>
                <w:szCs w:val="20"/>
                <w:color w:val="3E3935"/>
                <w:w w:val="98"/>
              </w:rPr>
              <w:t>as well as enhance the public image of our vehicles. Retired directors also receive the use of</w:t>
            </w:r>
          </w:p>
        </w:tc>
      </w:tr>
      <w:tr>
        <w:trPr>
          <w:trHeight w:val="214"/>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40" w:type="dxa"/>
            <w:vAlign w:val="bottom"/>
          </w:tcPr>
          <w:p>
            <w:pPr>
              <w:ind w:left="380"/>
              <w:spacing w:after="0" w:line="214" w:lineRule="exact"/>
              <w:rPr>
                <w:sz w:val="20"/>
                <w:szCs w:val="20"/>
                <w:color w:val="auto"/>
              </w:rPr>
            </w:pPr>
            <w:r>
              <w:rPr>
                <w:rFonts w:ascii="Arial" w:cs="Arial" w:eastAsia="Arial" w:hAnsi="Arial"/>
                <w:sz w:val="20"/>
                <w:szCs w:val="20"/>
                <w:color w:val="3E3935"/>
                <w:w w:val="98"/>
              </w:rPr>
              <w:t>a Company vehicle for a period of time. Participants are charged with imputed income based</w:t>
            </w:r>
          </w:p>
        </w:tc>
      </w:tr>
      <w:tr>
        <w:trPr>
          <w:trHeight w:val="257"/>
        </w:trPr>
        <w:tc>
          <w:tcPr>
            <w:tcW w:w="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440" w:type="dxa"/>
            <w:vAlign w:val="bottom"/>
          </w:tcPr>
          <w:p>
            <w:pPr>
              <w:ind w:left="380"/>
              <w:spacing w:after="0"/>
              <w:rPr>
                <w:sz w:val="20"/>
                <w:szCs w:val="20"/>
                <w:color w:val="auto"/>
              </w:rPr>
            </w:pPr>
            <w:r>
              <w:rPr>
                <w:rFonts w:ascii="Arial" w:cs="Arial" w:eastAsia="Arial" w:hAnsi="Arial"/>
                <w:sz w:val="20"/>
                <w:szCs w:val="20"/>
                <w:color w:val="3E3935"/>
              </w:rPr>
              <w:t>on the lease value of the vehicles and are responsible for associated taxes.</w:t>
            </w:r>
          </w:p>
        </w:tc>
      </w:tr>
      <w:tr>
        <w:trPr>
          <w:trHeight w:val="58"/>
        </w:trPr>
        <w:tc>
          <w:tcPr>
            <w:tcW w:w="34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8440" w:type="dxa"/>
            <w:vAlign w:val="bottom"/>
            <w:tcBorders>
              <w:bottom w:val="single" w:sz="8" w:color="3E3935"/>
            </w:tcBorders>
          </w:tcPr>
          <w:p>
            <w:pPr>
              <w:spacing w:after="0"/>
              <w:rPr>
                <w:sz w:val="5"/>
                <w:szCs w:val="5"/>
                <w:color w:val="auto"/>
              </w:rPr>
            </w:pPr>
          </w:p>
        </w:tc>
      </w:tr>
      <w:tr>
        <w:trPr>
          <w:trHeight w:val="253"/>
        </w:trPr>
        <w:tc>
          <w:tcPr>
            <w:tcW w:w="340" w:type="dxa"/>
            <w:vAlign w:val="bottom"/>
          </w:tcPr>
          <w:p>
            <w:pPr>
              <w:ind w:left="120"/>
              <w:spacing w:after="0"/>
              <w:rPr>
                <w:sz w:val="20"/>
                <w:szCs w:val="20"/>
                <w:color w:val="auto"/>
              </w:rPr>
            </w:pPr>
            <w:r>
              <w:rPr>
                <w:rFonts w:ascii="Times New Roman" w:cs="Times New Roman" w:eastAsia="Times New Roman" w:hAnsi="Times New Roman"/>
                <w:sz w:val="20"/>
                <w:szCs w:val="20"/>
                <w:color w:val="00C1DE"/>
              </w:rPr>
              <w:t>u</w:t>
            </w:r>
            <w:r>
              <w:rPr>
                <w:rFonts w:ascii="Arial" w:cs="Arial" w:eastAsia="Arial" w:hAnsi="Arial"/>
                <w:sz w:val="20"/>
                <w:szCs w:val="20"/>
                <w:color w:val="3E3935"/>
              </w:rPr>
              <w:t xml:space="preserve"> </w:t>
            </w:r>
          </w:p>
        </w:tc>
        <w:tc>
          <w:tcPr>
            <w:tcW w:w="2140" w:type="dxa"/>
            <w:vAlign w:val="bottom"/>
          </w:tcPr>
          <w:p>
            <w:pPr>
              <w:ind w:left="60"/>
              <w:spacing w:after="0"/>
              <w:rPr>
                <w:sz w:val="20"/>
                <w:szCs w:val="20"/>
                <w:color w:val="auto"/>
              </w:rPr>
            </w:pPr>
            <w:r>
              <w:rPr>
                <w:rFonts w:ascii="Arial" w:cs="Arial" w:eastAsia="Arial" w:hAnsi="Arial"/>
                <w:sz w:val="20"/>
                <w:szCs w:val="20"/>
                <w:color w:val="3E3935"/>
              </w:rPr>
              <w:t>  Personal Accident</w:t>
            </w:r>
          </w:p>
        </w:tc>
        <w:tc>
          <w:tcPr>
            <w:tcW w:w="8440" w:type="dxa"/>
            <w:vAlign w:val="bottom"/>
          </w:tcPr>
          <w:p>
            <w:pPr>
              <w:ind w:left="380"/>
              <w:spacing w:after="0"/>
              <w:rPr>
                <w:sz w:val="20"/>
                <w:szCs w:val="20"/>
                <w:color w:val="auto"/>
              </w:rPr>
            </w:pPr>
            <w:r>
              <w:rPr>
                <w:rFonts w:ascii="Arial" w:cs="Arial" w:eastAsia="Arial" w:hAnsi="Arial"/>
                <w:sz w:val="20"/>
                <w:szCs w:val="20"/>
                <w:color w:val="3E3935"/>
              </w:rPr>
              <w:t>We provide personal accident insurance coverage in the event of accidental death or</w:t>
            </w:r>
          </w:p>
        </w:tc>
      </w:tr>
      <w:tr>
        <w:trPr>
          <w:trHeight w:val="214"/>
        </w:trPr>
        <w:tc>
          <w:tcPr>
            <w:tcW w:w="340" w:type="dxa"/>
            <w:vAlign w:val="bottom"/>
          </w:tcPr>
          <w:p>
            <w:pPr>
              <w:spacing w:after="0"/>
              <w:rPr>
                <w:sz w:val="18"/>
                <w:szCs w:val="18"/>
                <w:color w:val="auto"/>
              </w:rPr>
            </w:pPr>
          </w:p>
        </w:tc>
        <w:tc>
          <w:tcPr>
            <w:tcW w:w="2140" w:type="dxa"/>
            <w:vAlign w:val="bottom"/>
          </w:tcPr>
          <w:p>
            <w:pPr>
              <w:ind w:left="160"/>
              <w:spacing w:after="0" w:line="214" w:lineRule="exact"/>
              <w:rPr>
                <w:sz w:val="20"/>
                <w:szCs w:val="20"/>
                <w:color w:val="auto"/>
              </w:rPr>
            </w:pPr>
            <w:r>
              <w:rPr>
                <w:rFonts w:ascii="Arial" w:cs="Arial" w:eastAsia="Arial" w:hAnsi="Arial"/>
                <w:sz w:val="20"/>
                <w:szCs w:val="20"/>
                <w:color w:val="3E3935"/>
              </w:rPr>
              <w:t>Insurance</w:t>
            </w:r>
            <w:r>
              <w:rPr>
                <w:rFonts w:ascii="Arial" w:cs="Arial" w:eastAsia="Arial" w:hAnsi="Arial"/>
                <w:sz w:val="16"/>
                <w:szCs w:val="16"/>
                <w:color w:val="3E3935"/>
              </w:rPr>
              <w:t>(1)</w:t>
            </w:r>
          </w:p>
        </w:tc>
        <w:tc>
          <w:tcPr>
            <w:tcW w:w="8440" w:type="dxa"/>
            <w:vAlign w:val="bottom"/>
          </w:tcPr>
          <w:p>
            <w:pPr>
              <w:ind w:left="380"/>
              <w:spacing w:after="0" w:line="214" w:lineRule="exact"/>
              <w:rPr>
                <w:sz w:val="20"/>
                <w:szCs w:val="20"/>
                <w:color w:val="auto"/>
              </w:rPr>
            </w:pPr>
            <w:r>
              <w:rPr>
                <w:rFonts w:ascii="Arial" w:cs="Arial" w:eastAsia="Arial" w:hAnsi="Arial"/>
                <w:sz w:val="20"/>
                <w:szCs w:val="20"/>
                <w:color w:val="3E3935"/>
                <w:w w:val="98"/>
              </w:rPr>
              <w:t>dismemberment. Directors are responsible for associated taxes on the imputed income from</w:t>
            </w:r>
          </w:p>
        </w:tc>
      </w:tr>
      <w:tr>
        <w:trPr>
          <w:trHeight w:val="257"/>
        </w:trPr>
        <w:tc>
          <w:tcPr>
            <w:tcW w:w="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440" w:type="dxa"/>
            <w:vAlign w:val="bottom"/>
          </w:tcPr>
          <w:p>
            <w:pPr>
              <w:ind w:left="380"/>
              <w:spacing w:after="0"/>
              <w:rPr>
                <w:sz w:val="20"/>
                <w:szCs w:val="20"/>
                <w:color w:val="auto"/>
              </w:rPr>
            </w:pPr>
            <w:r>
              <w:rPr>
                <w:rFonts w:ascii="Arial" w:cs="Arial" w:eastAsia="Arial" w:hAnsi="Arial"/>
                <w:sz w:val="20"/>
                <w:szCs w:val="20"/>
                <w:color w:val="3E3935"/>
              </w:rPr>
              <w:t>the 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5" w:lineRule="exact"/>
        <w:rPr>
          <w:sz w:val="20"/>
          <w:szCs w:val="20"/>
          <w:color w:val="auto"/>
        </w:rPr>
      </w:pPr>
    </w:p>
    <w:p>
      <w:pPr>
        <w:jc w:val="both"/>
        <w:ind w:left="600" w:hanging="433"/>
        <w:spacing w:after="0" w:line="247" w:lineRule="auto"/>
        <w:tabs>
          <w:tab w:leader="none" w:pos="600" w:val="left"/>
        </w:tabs>
        <w:numPr>
          <w:ilvl w:val="0"/>
          <w:numId w:val="16"/>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our sole employee director, does not receive additional compensation for her Board service other than the personal accident insurance benefit described above, the value of which is reported for Ms. Barra in the Summary Compensation Table on page 70 of this Proxy Statement.</w:t>
      </w:r>
    </w:p>
    <w:p>
      <w:pPr>
        <w:spacing w:after="0" w:line="172"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Non-employee directors are not eligible to participate in any of the savings or retirement programs available to our employees. Other than as described in this section, there are no separate benefit plans for directors.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-95885</wp:posOffset>
            </wp:positionV>
            <wp:extent cx="5927725" cy="101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2021 Non-Employee Director Compensation Table</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This table shows the compensation that each non-employee director received for his or her 2021 Board and Committee service.</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2880" w:type="dxa"/>
            <w:vAlign w:val="bottom"/>
            <w:tcBorders>
              <w:top w:val="single" w:sz="8" w:color="00C1DE"/>
            </w:tcBorders>
          </w:tcPr>
          <w:p>
            <w:pPr>
              <w:spacing w:after="0"/>
              <w:rPr>
                <w:sz w:val="18"/>
                <w:szCs w:val="18"/>
                <w:color w:val="auto"/>
              </w:rPr>
            </w:pPr>
          </w:p>
        </w:tc>
        <w:tc>
          <w:tcPr>
            <w:tcW w:w="2460" w:type="dxa"/>
            <w:vAlign w:val="bottom"/>
            <w:tcBorders>
              <w:top w:val="single" w:sz="8" w:color="00C1DE"/>
            </w:tcBorders>
          </w:tcPr>
          <w:p>
            <w:pPr>
              <w:jc w:val="right"/>
              <w:ind w:right="242"/>
              <w:spacing w:after="0" w:line="217" w:lineRule="exact"/>
              <w:rPr>
                <w:sz w:val="20"/>
                <w:szCs w:val="20"/>
                <w:color w:val="auto"/>
              </w:rPr>
            </w:pPr>
            <w:r>
              <w:rPr>
                <w:rFonts w:ascii="Arial" w:cs="Arial" w:eastAsia="Arial" w:hAnsi="Arial"/>
                <w:sz w:val="20"/>
                <w:szCs w:val="20"/>
                <w:b w:val="1"/>
                <w:bCs w:val="1"/>
                <w:color w:val="00C1DE"/>
              </w:rPr>
              <w:t>Fees Earned or</w:t>
            </w:r>
          </w:p>
        </w:tc>
        <w:tc>
          <w:tcPr>
            <w:tcW w:w="2180" w:type="dxa"/>
            <w:vAlign w:val="bottom"/>
            <w:tcBorders>
              <w:top w:val="single" w:sz="8" w:color="00C1DE"/>
            </w:tcBorders>
            <w:vMerge w:val="restart"/>
          </w:tcPr>
          <w:p>
            <w:pPr>
              <w:jc w:val="right"/>
              <w:ind w:right="242"/>
              <w:spacing w:after="0"/>
              <w:rPr>
                <w:sz w:val="20"/>
                <w:szCs w:val="20"/>
                <w:color w:val="auto"/>
              </w:rPr>
            </w:pPr>
            <w:r>
              <w:rPr>
                <w:rFonts w:ascii="Arial" w:cs="Arial" w:eastAsia="Arial" w:hAnsi="Arial"/>
                <w:sz w:val="20"/>
                <w:szCs w:val="20"/>
                <w:b w:val="1"/>
                <w:bCs w:val="1"/>
                <w:color w:val="00C1DE"/>
              </w:rPr>
              <w:t>Stock Awards</w:t>
            </w:r>
            <w:r>
              <w:rPr>
                <w:rFonts w:ascii="Arial" w:cs="Arial" w:eastAsia="Arial" w:hAnsi="Arial"/>
                <w:sz w:val="16"/>
                <w:szCs w:val="16"/>
                <w:b w:val="1"/>
                <w:bCs w:val="1"/>
                <w:color w:val="00C1DE"/>
              </w:rPr>
              <w:t>(2)</w:t>
            </w:r>
          </w:p>
        </w:tc>
        <w:tc>
          <w:tcPr>
            <w:tcW w:w="2220" w:type="dxa"/>
            <w:vAlign w:val="bottom"/>
            <w:tcBorders>
              <w:top w:val="single" w:sz="8" w:color="00C1DE"/>
            </w:tcBorders>
          </w:tcPr>
          <w:p>
            <w:pPr>
              <w:jc w:val="right"/>
              <w:ind w:right="202"/>
              <w:spacing w:after="0" w:line="217" w:lineRule="exact"/>
              <w:rPr>
                <w:sz w:val="20"/>
                <w:szCs w:val="20"/>
                <w:color w:val="auto"/>
              </w:rPr>
            </w:pPr>
            <w:r>
              <w:rPr>
                <w:rFonts w:ascii="Arial" w:cs="Arial" w:eastAsia="Arial" w:hAnsi="Arial"/>
                <w:sz w:val="20"/>
                <w:szCs w:val="20"/>
                <w:b w:val="1"/>
                <w:bCs w:val="1"/>
                <w:color w:val="00C1DE"/>
              </w:rPr>
              <w:t>All Other</w:t>
            </w:r>
          </w:p>
        </w:tc>
        <w:tc>
          <w:tcPr>
            <w:tcW w:w="1180" w:type="dxa"/>
            <w:vAlign w:val="bottom"/>
            <w:tcBorders>
              <w:top w:val="single" w:sz="8" w:color="00C1DE"/>
            </w:tcBorders>
            <w:vMerge w:val="restart"/>
          </w:tcPr>
          <w:p>
            <w:pPr>
              <w:jc w:val="right"/>
              <w:ind w:right="82"/>
              <w:spacing w:after="0"/>
              <w:rPr>
                <w:sz w:val="20"/>
                <w:szCs w:val="20"/>
                <w:color w:val="auto"/>
              </w:rPr>
            </w:pPr>
            <w:r>
              <w:rPr>
                <w:rFonts w:ascii="Arial" w:cs="Arial" w:eastAsia="Arial" w:hAnsi="Arial"/>
                <w:sz w:val="20"/>
                <w:szCs w:val="20"/>
                <w:b w:val="1"/>
                <w:bCs w:val="1"/>
                <w:color w:val="00C1DE"/>
              </w:rPr>
              <w:t>Total</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2460" w:type="dxa"/>
            <w:vAlign w:val="bottom"/>
          </w:tcPr>
          <w:p>
            <w:pPr>
              <w:jc w:val="right"/>
              <w:ind w:right="242"/>
              <w:spacing w:after="0" w:line="214" w:lineRule="exact"/>
              <w:rPr>
                <w:sz w:val="20"/>
                <w:szCs w:val="20"/>
                <w:color w:val="auto"/>
              </w:rPr>
            </w:pPr>
            <w:r>
              <w:rPr>
                <w:rFonts w:ascii="Arial" w:cs="Arial" w:eastAsia="Arial" w:hAnsi="Arial"/>
                <w:sz w:val="20"/>
                <w:szCs w:val="20"/>
                <w:b w:val="1"/>
                <w:bCs w:val="1"/>
                <w:color w:val="00C1DE"/>
              </w:rPr>
              <w:t>Paid in Cash</w:t>
            </w:r>
            <w:r>
              <w:rPr>
                <w:rFonts w:ascii="Arial" w:cs="Arial" w:eastAsia="Arial" w:hAnsi="Arial"/>
                <w:sz w:val="16"/>
                <w:szCs w:val="16"/>
                <w:b w:val="1"/>
                <w:bCs w:val="1"/>
                <w:color w:val="00C1DE"/>
              </w:rPr>
              <w:t>(1)</w:t>
            </w:r>
          </w:p>
        </w:tc>
        <w:tc>
          <w:tcPr>
            <w:tcW w:w="2180" w:type="dxa"/>
            <w:vAlign w:val="bottom"/>
            <w:vMerge w:val="continue"/>
          </w:tcPr>
          <w:p>
            <w:pPr>
              <w:spacing w:after="0"/>
              <w:rPr>
                <w:sz w:val="18"/>
                <w:szCs w:val="18"/>
                <w:color w:val="auto"/>
              </w:rPr>
            </w:pPr>
          </w:p>
        </w:tc>
        <w:tc>
          <w:tcPr>
            <w:tcW w:w="2220" w:type="dxa"/>
            <w:vAlign w:val="bottom"/>
          </w:tcPr>
          <w:p>
            <w:pPr>
              <w:jc w:val="right"/>
              <w:ind w:right="202"/>
              <w:spacing w:after="0" w:line="214" w:lineRule="exact"/>
              <w:rPr>
                <w:sz w:val="20"/>
                <w:szCs w:val="20"/>
                <w:color w:val="auto"/>
              </w:rPr>
            </w:pPr>
            <w:r>
              <w:rPr>
                <w:rFonts w:ascii="Arial" w:cs="Arial" w:eastAsia="Arial" w:hAnsi="Arial"/>
                <w:sz w:val="20"/>
                <w:szCs w:val="20"/>
                <w:b w:val="1"/>
                <w:bCs w:val="1"/>
                <w:color w:val="00C1DE"/>
              </w:rPr>
              <w:t>Compensation</w:t>
            </w:r>
            <w:r>
              <w:rPr>
                <w:rFonts w:ascii="Arial" w:cs="Arial" w:eastAsia="Arial" w:hAnsi="Arial"/>
                <w:sz w:val="16"/>
                <w:szCs w:val="16"/>
                <w:b w:val="1"/>
                <w:bCs w:val="1"/>
                <w:color w:val="00C1DE"/>
              </w:rPr>
              <w:t>(3)</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88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Director</w:t>
            </w:r>
          </w:p>
        </w:tc>
        <w:tc>
          <w:tcPr>
            <w:tcW w:w="2460" w:type="dxa"/>
            <w:vAlign w:val="bottom"/>
            <w:tcBorders>
              <w:bottom w:val="single" w:sz="8" w:color="00C1DE"/>
            </w:tcBorders>
          </w:tcPr>
          <w:p>
            <w:pPr>
              <w:jc w:val="right"/>
              <w:ind w:right="242"/>
              <w:spacing w:after="0"/>
              <w:rPr>
                <w:sz w:val="20"/>
                <w:szCs w:val="20"/>
                <w:color w:val="auto"/>
              </w:rPr>
            </w:pPr>
            <w:r>
              <w:rPr>
                <w:rFonts w:ascii="Arial" w:cs="Arial" w:eastAsia="Arial" w:hAnsi="Arial"/>
                <w:sz w:val="20"/>
                <w:szCs w:val="20"/>
                <w:b w:val="1"/>
                <w:bCs w:val="1"/>
                <w:color w:val="00C1DE"/>
              </w:rPr>
              <w:t>($)</w:t>
            </w:r>
          </w:p>
        </w:tc>
        <w:tc>
          <w:tcPr>
            <w:tcW w:w="2180" w:type="dxa"/>
            <w:vAlign w:val="bottom"/>
            <w:tcBorders>
              <w:bottom w:val="single" w:sz="8" w:color="00C1DE"/>
            </w:tcBorders>
          </w:tcPr>
          <w:p>
            <w:pPr>
              <w:jc w:val="right"/>
              <w:ind w:right="242"/>
              <w:spacing w:after="0"/>
              <w:rPr>
                <w:sz w:val="20"/>
                <w:szCs w:val="20"/>
                <w:color w:val="auto"/>
              </w:rPr>
            </w:pPr>
            <w:r>
              <w:rPr>
                <w:rFonts w:ascii="Arial" w:cs="Arial" w:eastAsia="Arial" w:hAnsi="Arial"/>
                <w:sz w:val="20"/>
                <w:szCs w:val="20"/>
                <w:b w:val="1"/>
                <w:bCs w:val="1"/>
                <w:color w:val="00C1DE"/>
              </w:rPr>
              <w:t>($)</w:t>
            </w:r>
          </w:p>
        </w:tc>
        <w:tc>
          <w:tcPr>
            <w:tcW w:w="2220" w:type="dxa"/>
            <w:vAlign w:val="bottom"/>
            <w:tcBorders>
              <w:bottom w:val="single" w:sz="8" w:color="00C1DE"/>
            </w:tcBorders>
          </w:tcPr>
          <w:p>
            <w:pPr>
              <w:jc w:val="right"/>
              <w:ind w:right="202"/>
              <w:spacing w:after="0"/>
              <w:rPr>
                <w:sz w:val="20"/>
                <w:szCs w:val="20"/>
                <w:color w:val="auto"/>
              </w:rPr>
            </w:pPr>
            <w:r>
              <w:rPr>
                <w:rFonts w:ascii="Arial" w:cs="Arial" w:eastAsia="Arial" w:hAnsi="Arial"/>
                <w:sz w:val="20"/>
                <w:szCs w:val="20"/>
                <w:b w:val="1"/>
                <w:bCs w:val="1"/>
                <w:color w:val="00C1DE"/>
              </w:rPr>
              <w:t>($)</w:t>
            </w:r>
          </w:p>
        </w:tc>
        <w:tc>
          <w:tcPr>
            <w:tcW w:w="1180" w:type="dxa"/>
            <w:vAlign w:val="bottom"/>
            <w:tcBorders>
              <w:bottom w:val="single" w:sz="8" w:color="00C1DE"/>
            </w:tcBorders>
          </w:tcPr>
          <w:p>
            <w:pPr>
              <w:jc w:val="right"/>
              <w:ind w:right="82"/>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Aneel Bhusri</w:t>
            </w:r>
            <w:r>
              <w:rPr>
                <w:rFonts w:ascii="Arial" w:cs="Arial" w:eastAsia="Arial" w:hAnsi="Arial"/>
                <w:sz w:val="16"/>
                <w:szCs w:val="16"/>
                <w:color w:val="3E3935"/>
              </w:rPr>
              <w:t>(4)</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35,990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35,999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40</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72,029</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Wesley G. Bush</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152,500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22,657</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335,217</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Linda R. Gooden</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172,500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17,490</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350,050</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Joseph Jimenez</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172,500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41,948</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374,508</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Jane L. Mendillo</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152,500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14,323</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326,883</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Judith A. Miscik</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152,500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28,740</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341,300</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Patricia F. Russo</w:t>
            </w:r>
            <w:r>
              <w:rPr>
                <w:rFonts w:ascii="Arial" w:cs="Arial" w:eastAsia="Arial" w:hAnsi="Arial"/>
                <w:sz w:val="16"/>
                <w:szCs w:val="16"/>
                <w:color w:val="3E3935"/>
              </w:rPr>
              <w:t>(5)</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227,300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24,803</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412,163</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Thomas M. Schoewe</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182,500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45,032</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387,592</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Theodore M. Solso</w:t>
            </w:r>
            <w:r>
              <w:rPr>
                <w:rFonts w:ascii="Arial" w:cs="Arial" w:eastAsia="Arial" w:hAnsi="Arial"/>
                <w:sz w:val="16"/>
                <w:szCs w:val="16"/>
                <w:color w:val="3E3935"/>
              </w:rPr>
              <w:t>(6)</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114,130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72,349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35,620</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222,099</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Carol M. Stephenson</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172,500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19,845</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352,405</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Mark A. Tatum</w:t>
            </w:r>
            <w:r>
              <w:rPr>
                <w:rFonts w:ascii="Arial" w:cs="Arial" w:eastAsia="Arial" w:hAnsi="Arial"/>
                <w:sz w:val="16"/>
                <w:szCs w:val="16"/>
                <w:color w:val="3E3935"/>
              </w:rPr>
              <w:t>(7)</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117,883</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121,775</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18,598</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258,256</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Devin N. Wenig</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182,500</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160,060</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16,490</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359,050</w:t>
            </w:r>
          </w:p>
        </w:tc>
        <w:tc>
          <w:tcPr>
            <w:tcW w:w="0" w:type="dxa"/>
            <w:vAlign w:val="bottom"/>
          </w:tcPr>
          <w:p>
            <w:pPr>
              <w:spacing w:after="0"/>
              <w:rPr>
                <w:sz w:val="1"/>
                <w:szCs w:val="1"/>
                <w:color w:val="auto"/>
              </w:rPr>
            </w:pPr>
          </w:p>
        </w:tc>
      </w:tr>
      <w:tr>
        <w:trPr>
          <w:trHeight w:val="58"/>
        </w:trPr>
        <w:tc>
          <w:tcPr>
            <w:tcW w:w="2880" w:type="dxa"/>
            <w:vAlign w:val="bottom"/>
            <w:tcBorders>
              <w:bottom w:val="single" w:sz="8" w:color="3E3935"/>
            </w:tcBorders>
          </w:tcPr>
          <w:p>
            <w:pPr>
              <w:spacing w:after="0"/>
              <w:rPr>
                <w:sz w:val="5"/>
                <w:szCs w:val="5"/>
                <w:color w:val="auto"/>
              </w:rPr>
            </w:pPr>
          </w:p>
        </w:tc>
        <w:tc>
          <w:tcPr>
            <w:tcW w:w="246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1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80" w:type="dxa"/>
            <w:vAlign w:val="bottom"/>
          </w:tcPr>
          <w:p>
            <w:pPr>
              <w:ind w:left="100"/>
              <w:spacing w:after="0"/>
              <w:rPr>
                <w:sz w:val="20"/>
                <w:szCs w:val="20"/>
                <w:color w:val="auto"/>
              </w:rPr>
            </w:pPr>
            <w:r>
              <w:rPr>
                <w:rFonts w:ascii="Arial" w:cs="Arial" w:eastAsia="Arial" w:hAnsi="Arial"/>
                <w:sz w:val="20"/>
                <w:szCs w:val="20"/>
                <w:color w:val="3E3935"/>
              </w:rPr>
              <w:t>Margaret C. Whitman</w:t>
            </w:r>
            <w:r>
              <w:rPr>
                <w:rFonts w:ascii="Arial" w:cs="Arial" w:eastAsia="Arial" w:hAnsi="Arial"/>
                <w:sz w:val="16"/>
                <w:szCs w:val="16"/>
                <w:color w:val="3E3935"/>
              </w:rPr>
              <w:t>(8)</w:t>
            </w:r>
          </w:p>
        </w:tc>
        <w:tc>
          <w:tcPr>
            <w:tcW w:w="2460" w:type="dxa"/>
            <w:vAlign w:val="bottom"/>
          </w:tcPr>
          <w:p>
            <w:pPr>
              <w:jc w:val="right"/>
              <w:ind w:right="242"/>
              <w:spacing w:after="0"/>
              <w:rPr>
                <w:sz w:val="20"/>
                <w:szCs w:val="20"/>
                <w:color w:val="auto"/>
              </w:rPr>
            </w:pPr>
            <w:r>
              <w:rPr>
                <w:rFonts w:ascii="Arial" w:cs="Arial" w:eastAsia="Arial" w:hAnsi="Arial"/>
                <w:sz w:val="20"/>
                <w:szCs w:val="20"/>
                <w:color w:val="3E3935"/>
              </w:rPr>
              <w:t>117,883</w:t>
            </w:r>
          </w:p>
        </w:tc>
        <w:tc>
          <w:tcPr>
            <w:tcW w:w="2180" w:type="dxa"/>
            <w:vAlign w:val="bottom"/>
          </w:tcPr>
          <w:p>
            <w:pPr>
              <w:jc w:val="right"/>
              <w:ind w:right="242"/>
              <w:spacing w:after="0"/>
              <w:rPr>
                <w:sz w:val="20"/>
                <w:szCs w:val="20"/>
                <w:color w:val="auto"/>
              </w:rPr>
            </w:pPr>
            <w:r>
              <w:rPr>
                <w:rFonts w:ascii="Arial" w:cs="Arial" w:eastAsia="Arial" w:hAnsi="Arial"/>
                <w:sz w:val="20"/>
                <w:szCs w:val="20"/>
                <w:color w:val="3E3935"/>
              </w:rPr>
              <w:t>121,775</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9,327</w:t>
            </w:r>
          </w:p>
        </w:tc>
        <w:tc>
          <w:tcPr>
            <w:tcW w:w="1180" w:type="dxa"/>
            <w:vAlign w:val="bottom"/>
          </w:tcPr>
          <w:p>
            <w:pPr>
              <w:jc w:val="right"/>
              <w:ind w:right="82"/>
              <w:spacing w:after="0"/>
              <w:rPr>
                <w:sz w:val="20"/>
                <w:szCs w:val="20"/>
                <w:color w:val="auto"/>
              </w:rPr>
            </w:pPr>
            <w:r>
              <w:rPr>
                <w:rFonts w:ascii="Arial" w:cs="Arial" w:eastAsia="Arial" w:hAnsi="Arial"/>
                <w:sz w:val="20"/>
                <w:szCs w:val="20"/>
                <w:color w:val="3E3935"/>
              </w:rPr>
              <w:t>248,985</w:t>
            </w:r>
          </w:p>
        </w:tc>
        <w:tc>
          <w:tcPr>
            <w:tcW w:w="0" w:type="dxa"/>
            <w:vAlign w:val="bottom"/>
          </w:tcPr>
          <w:p>
            <w:pPr>
              <w:spacing w:after="0"/>
              <w:rPr>
                <w:sz w:val="1"/>
                <w:szCs w:val="1"/>
                <w:color w:val="auto"/>
              </w:rPr>
            </w:pPr>
          </w:p>
        </w:tc>
      </w:tr>
      <w:tr>
        <w:trPr>
          <w:trHeight w:val="58"/>
        </w:trPr>
        <w:tc>
          <w:tcPr>
            <w:tcW w:w="2880" w:type="dxa"/>
            <w:vAlign w:val="bottom"/>
            <w:tcBorders>
              <w:bottom w:val="single" w:sz="8" w:color="0071CE"/>
            </w:tcBorders>
          </w:tcPr>
          <w:p>
            <w:pPr>
              <w:spacing w:after="0"/>
              <w:rPr>
                <w:sz w:val="5"/>
                <w:szCs w:val="5"/>
                <w:color w:val="auto"/>
              </w:rPr>
            </w:pPr>
          </w:p>
        </w:tc>
        <w:tc>
          <w:tcPr>
            <w:tcW w:w="2460" w:type="dxa"/>
            <w:vAlign w:val="bottom"/>
            <w:tcBorders>
              <w:bottom w:val="single" w:sz="8" w:color="0071CE"/>
            </w:tcBorders>
          </w:tcPr>
          <w:p>
            <w:pPr>
              <w:spacing w:after="0"/>
              <w:rPr>
                <w:sz w:val="5"/>
                <w:szCs w:val="5"/>
                <w:color w:val="auto"/>
              </w:rPr>
            </w:pPr>
          </w:p>
        </w:tc>
        <w:tc>
          <w:tcPr>
            <w:tcW w:w="2180" w:type="dxa"/>
            <w:vAlign w:val="bottom"/>
            <w:tcBorders>
              <w:bottom w:val="single" w:sz="8" w:color="0071CE"/>
            </w:tcBorders>
          </w:tcPr>
          <w:p>
            <w:pPr>
              <w:spacing w:after="0"/>
              <w:rPr>
                <w:sz w:val="5"/>
                <w:szCs w:val="5"/>
                <w:color w:val="auto"/>
              </w:rPr>
            </w:pPr>
          </w:p>
        </w:tc>
        <w:tc>
          <w:tcPr>
            <w:tcW w:w="2220" w:type="dxa"/>
            <w:vAlign w:val="bottom"/>
            <w:tcBorders>
              <w:bottom w:val="single" w:sz="8" w:color="0071CE"/>
            </w:tcBorders>
          </w:tcPr>
          <w:p>
            <w:pPr>
              <w:spacing w:after="0"/>
              <w:rPr>
                <w:sz w:val="5"/>
                <w:szCs w:val="5"/>
                <w:color w:val="auto"/>
              </w:rPr>
            </w:pPr>
          </w:p>
        </w:tc>
        <w:tc>
          <w:tcPr>
            <w:tcW w:w="118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600" w:hanging="433"/>
        <w:spacing w:after="0" w:line="238" w:lineRule="auto"/>
        <w:tabs>
          <w:tab w:leader="none" w:pos="600" w:val="left"/>
        </w:tabs>
        <w:numPr>
          <w:ilvl w:val="0"/>
          <w:numId w:val="17"/>
        </w:numPr>
        <w:rPr>
          <w:rFonts w:ascii="Arial" w:cs="Arial" w:eastAsia="Arial" w:hAnsi="Arial"/>
          <w:sz w:val="18"/>
          <w:szCs w:val="18"/>
          <w:i w:val="1"/>
          <w:iCs w:val="1"/>
          <w:color w:val="3E3935"/>
        </w:rPr>
      </w:pPr>
      <w:r>
        <w:rPr>
          <w:rFonts w:ascii="Arial" w:cs="Arial" w:eastAsia="Arial" w:hAnsi="Arial"/>
          <w:sz w:val="18"/>
          <w:szCs w:val="18"/>
          <w:i w:val="1"/>
          <w:iCs w:val="1"/>
          <w:color w:val="3E3935"/>
        </w:rPr>
        <w:t>As described above, a director may elect to defer all or a portion of his or her annual cash retainer into DSUs. This column reflects director compensation eligible to be paid in cash, which consists of 50 percent of the annual Board retainer and any applicable fees for Committee Chairs, the Independent Lead Director, and in the case of Mr. Wenig for service on the Cruise LLC board of directors. Each of the following directors elected to receive DSUs in lieu of such amounts eligible to be paid in cash in the following amounts: Mr. Bhusri — $35,990; Mr. Bush — $152,500; Mr. Jimenez — $172,500; Ms. Mendillo — $152,500; Ms. Russo — $227,300; Mr. Solso — $114,130; Ms. Stephenson — $86,250; Ms. Whitman — $117,833; and Mr. Wenig — $182,500.</w:t>
      </w:r>
    </w:p>
    <w:p>
      <w:pPr>
        <w:spacing w:after="0" w:line="92"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17"/>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aggregate grant date fair value of DSUs granted in 2021, which does not include any cash fees that directors voluntarily elected to receive as DSUs. Grant date fair value is calculated by multiplying the number of DSUs granted by the closing price of GM common stock on December 31, 2021, which was $58.63. The holders of DSUs may also receive dividend equivalents, which are reinvested in additional DSUs based on the market price of the common stock on the date the dividends are paid.</w:t>
      </w:r>
    </w:p>
    <w:p>
      <w:pPr>
        <w:spacing w:after="0" w:line="12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4" w:lineRule="exact"/>
        <w:rPr>
          <w:sz w:val="20"/>
          <w:szCs w:val="20"/>
          <w:color w:val="auto"/>
        </w:rPr>
      </w:pPr>
    </w:p>
    <w:p>
      <w:pPr>
        <w:ind w:left="600" w:hanging="433"/>
        <w:spacing w:after="0"/>
        <w:tabs>
          <w:tab w:leader="none" w:pos="600" w:val="left"/>
        </w:tabs>
        <w:numPr>
          <w:ilvl w:val="0"/>
          <w:numId w:val="18"/>
        </w:numPr>
        <w:rPr>
          <w:rFonts w:ascii="Arial" w:cs="Arial" w:eastAsia="Arial" w:hAnsi="Arial"/>
          <w:sz w:val="17"/>
          <w:szCs w:val="17"/>
          <w:i w:val="1"/>
          <w:iCs w:val="1"/>
          <w:color w:val="3E3935"/>
        </w:rPr>
      </w:pPr>
      <w:r>
        <w:rPr>
          <w:rFonts w:ascii="Arial" w:cs="Arial" w:eastAsia="Arial" w:hAnsi="Arial"/>
          <w:sz w:val="17"/>
          <w:szCs w:val="17"/>
          <w:i w:val="1"/>
          <w:iCs w:val="1"/>
          <w:color w:val="3E3935"/>
        </w:rPr>
        <w:t>The following table provides more information on the type and amount of benefits included in the All Other Compensation column.</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4020" w:type="dxa"/>
            <w:vAlign w:val="bottom"/>
            <w:tcBorders>
              <w:top w:val="single" w:sz="8" w:color="00C1DE"/>
            </w:tcBorders>
          </w:tcPr>
          <w:p>
            <w:pPr>
              <w:spacing w:after="0"/>
              <w:rPr>
                <w:sz w:val="18"/>
                <w:szCs w:val="18"/>
                <w:color w:val="auto"/>
              </w:rPr>
            </w:pPr>
          </w:p>
        </w:tc>
        <w:tc>
          <w:tcPr>
            <w:tcW w:w="3780" w:type="dxa"/>
            <w:vAlign w:val="bottom"/>
            <w:tcBorders>
              <w:top w:val="single" w:sz="8" w:color="00C1DE"/>
            </w:tcBorders>
            <w:gridSpan w:val="2"/>
          </w:tcPr>
          <w:p>
            <w:pPr>
              <w:jc w:val="right"/>
              <w:ind w:right="262"/>
              <w:spacing w:after="0" w:line="217" w:lineRule="exact"/>
              <w:rPr>
                <w:sz w:val="20"/>
                <w:szCs w:val="20"/>
                <w:color w:val="auto"/>
              </w:rPr>
            </w:pPr>
            <w:r>
              <w:rPr>
                <w:rFonts w:ascii="Arial" w:cs="Arial" w:eastAsia="Arial" w:hAnsi="Arial"/>
                <w:sz w:val="20"/>
                <w:szCs w:val="20"/>
                <w:b w:val="1"/>
                <w:bCs w:val="1"/>
                <w:color w:val="00C1DE"/>
              </w:rPr>
              <w:t>Company</w:t>
            </w:r>
          </w:p>
        </w:tc>
        <w:tc>
          <w:tcPr>
            <w:tcW w:w="560" w:type="dxa"/>
            <w:vAlign w:val="bottom"/>
            <w:tcBorders>
              <w:top w:val="single" w:sz="8" w:color="00C1DE"/>
            </w:tcBorders>
          </w:tcPr>
          <w:p>
            <w:pPr>
              <w:spacing w:after="0"/>
              <w:rPr>
                <w:sz w:val="18"/>
                <w:szCs w:val="18"/>
                <w:color w:val="auto"/>
              </w:rPr>
            </w:pPr>
          </w:p>
        </w:tc>
        <w:tc>
          <w:tcPr>
            <w:tcW w:w="560" w:type="dxa"/>
            <w:vAlign w:val="bottom"/>
            <w:tcBorders>
              <w:top w:val="single" w:sz="8" w:color="00C1DE"/>
            </w:tcBorders>
          </w:tcPr>
          <w:p>
            <w:pPr>
              <w:spacing w:after="0"/>
              <w:rPr>
                <w:sz w:val="18"/>
                <w:szCs w:val="18"/>
                <w:color w:val="auto"/>
              </w:rPr>
            </w:pPr>
          </w:p>
        </w:tc>
        <w:tc>
          <w:tcPr>
            <w:tcW w:w="320" w:type="dxa"/>
            <w:vAlign w:val="bottom"/>
            <w:tcBorders>
              <w:top w:val="single" w:sz="8" w:color="00C1DE"/>
            </w:tcBorders>
          </w:tcPr>
          <w:p>
            <w:pPr>
              <w:spacing w:after="0"/>
              <w:rPr>
                <w:sz w:val="18"/>
                <w:szCs w:val="18"/>
                <w:color w:val="auto"/>
              </w:rPr>
            </w:pPr>
          </w:p>
        </w:tc>
        <w:tc>
          <w:tcPr>
            <w:tcW w:w="800" w:type="dxa"/>
            <w:vAlign w:val="bottom"/>
            <w:tcBorders>
              <w:top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3780" w:type="dxa"/>
            <w:vAlign w:val="bottom"/>
            <w:gridSpan w:val="2"/>
          </w:tcPr>
          <w:p>
            <w:pPr>
              <w:jc w:val="right"/>
              <w:ind w:right="262"/>
              <w:spacing w:after="0" w:line="214" w:lineRule="exact"/>
              <w:rPr>
                <w:sz w:val="20"/>
                <w:szCs w:val="20"/>
                <w:color w:val="auto"/>
              </w:rPr>
            </w:pPr>
            <w:r>
              <w:rPr>
                <w:rFonts w:ascii="Arial" w:cs="Arial" w:eastAsia="Arial" w:hAnsi="Arial"/>
                <w:sz w:val="20"/>
                <w:szCs w:val="20"/>
                <w:b w:val="1"/>
                <w:bCs w:val="1"/>
                <w:color w:val="00C1DE"/>
              </w:rPr>
              <w:t>Vehicle</w:t>
            </w:r>
          </w:p>
        </w:tc>
        <w:tc>
          <w:tcPr>
            <w:tcW w:w="1120" w:type="dxa"/>
            <w:vAlign w:val="bottom"/>
            <w:gridSpan w:val="2"/>
            <w:vMerge w:val="restart"/>
          </w:tcPr>
          <w:p>
            <w:pPr>
              <w:jc w:val="right"/>
              <w:ind w:right="122"/>
              <w:spacing w:after="0"/>
              <w:rPr>
                <w:sz w:val="20"/>
                <w:szCs w:val="20"/>
                <w:color w:val="auto"/>
              </w:rPr>
            </w:pPr>
            <w:r>
              <w:rPr>
                <w:rFonts w:ascii="Arial" w:cs="Arial" w:eastAsia="Arial" w:hAnsi="Arial"/>
                <w:sz w:val="20"/>
                <w:szCs w:val="20"/>
                <w:b w:val="1"/>
                <w:bCs w:val="1"/>
                <w:color w:val="00C1DE"/>
              </w:rPr>
              <w:t>Other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3780" w:type="dxa"/>
            <w:vAlign w:val="bottom"/>
            <w:gridSpan w:val="2"/>
          </w:tcPr>
          <w:p>
            <w:pPr>
              <w:jc w:val="right"/>
              <w:ind w:right="262"/>
              <w:spacing w:after="0" w:line="214" w:lineRule="exact"/>
              <w:rPr>
                <w:sz w:val="20"/>
                <w:szCs w:val="20"/>
                <w:color w:val="auto"/>
              </w:rPr>
            </w:pPr>
            <w:r>
              <w:rPr>
                <w:rFonts w:ascii="Arial" w:cs="Arial" w:eastAsia="Arial" w:hAnsi="Arial"/>
                <w:sz w:val="20"/>
                <w:szCs w:val="20"/>
                <w:b w:val="1"/>
                <w:bCs w:val="1"/>
                <w:color w:val="00C1DE"/>
              </w:rPr>
              <w:t>Program</w:t>
            </w:r>
          </w:p>
        </w:tc>
        <w:tc>
          <w:tcPr>
            <w:tcW w:w="11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02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Director</w:t>
            </w:r>
          </w:p>
        </w:tc>
        <w:tc>
          <w:tcPr>
            <w:tcW w:w="2800" w:type="dxa"/>
            <w:vAlign w:val="bottom"/>
            <w:tcBorders>
              <w:bottom w:val="single" w:sz="8" w:color="00C1DE"/>
            </w:tcBorders>
          </w:tcPr>
          <w:p>
            <w:pPr>
              <w:spacing w:after="0"/>
              <w:rPr>
                <w:sz w:val="24"/>
                <w:szCs w:val="24"/>
                <w:color w:val="auto"/>
              </w:rPr>
            </w:pPr>
          </w:p>
        </w:tc>
        <w:tc>
          <w:tcPr>
            <w:tcW w:w="980" w:type="dxa"/>
            <w:vAlign w:val="bottom"/>
            <w:tcBorders>
              <w:bottom w:val="single" w:sz="8" w:color="00C1DE"/>
            </w:tcBorders>
          </w:tcPr>
          <w:p>
            <w:pPr>
              <w:jc w:val="right"/>
              <w:ind w:right="262"/>
              <w:spacing w:after="0"/>
              <w:rPr>
                <w:sz w:val="20"/>
                <w:szCs w:val="20"/>
                <w:color w:val="auto"/>
              </w:rPr>
            </w:pPr>
            <w:r>
              <w:rPr>
                <w:rFonts w:ascii="Arial" w:cs="Arial" w:eastAsia="Arial" w:hAnsi="Arial"/>
                <w:sz w:val="20"/>
                <w:szCs w:val="20"/>
                <w:b w:val="1"/>
                <w:bCs w:val="1"/>
                <w:color w:val="00C1DE"/>
              </w:rPr>
              <w:t>(a)</w:t>
            </w:r>
          </w:p>
        </w:tc>
        <w:tc>
          <w:tcPr>
            <w:tcW w:w="560" w:type="dxa"/>
            <w:vAlign w:val="bottom"/>
            <w:tcBorders>
              <w:bottom w:val="single" w:sz="8" w:color="00C1DE"/>
            </w:tcBorders>
          </w:tcPr>
          <w:p>
            <w:pPr>
              <w:spacing w:after="0"/>
              <w:rPr>
                <w:sz w:val="24"/>
                <w:szCs w:val="24"/>
                <w:color w:val="auto"/>
              </w:rPr>
            </w:pPr>
          </w:p>
        </w:tc>
        <w:tc>
          <w:tcPr>
            <w:tcW w:w="560" w:type="dxa"/>
            <w:vAlign w:val="bottom"/>
            <w:tcBorders>
              <w:bottom w:val="single" w:sz="8" w:color="00C1DE"/>
            </w:tcBorders>
          </w:tcPr>
          <w:p>
            <w:pPr>
              <w:jc w:val="right"/>
              <w:ind w:right="122"/>
              <w:spacing w:after="0"/>
              <w:rPr>
                <w:sz w:val="20"/>
                <w:szCs w:val="20"/>
                <w:color w:val="auto"/>
              </w:rPr>
            </w:pPr>
            <w:r>
              <w:rPr>
                <w:rFonts w:ascii="Arial" w:cs="Arial" w:eastAsia="Arial" w:hAnsi="Arial"/>
                <w:sz w:val="20"/>
                <w:szCs w:val="20"/>
                <w:b w:val="1"/>
                <w:bCs w:val="1"/>
                <w:color w:val="00C1DE"/>
              </w:rPr>
              <w:t>(b)</w:t>
            </w:r>
          </w:p>
        </w:tc>
        <w:tc>
          <w:tcPr>
            <w:tcW w:w="320" w:type="dxa"/>
            <w:vAlign w:val="bottom"/>
            <w:tcBorders>
              <w:bottom w:val="single" w:sz="8" w:color="00C1DE"/>
            </w:tcBorders>
          </w:tcPr>
          <w:p>
            <w:pPr>
              <w:spacing w:after="0"/>
              <w:rPr>
                <w:sz w:val="24"/>
                <w:szCs w:val="24"/>
                <w:color w:val="auto"/>
              </w:rPr>
            </w:pPr>
          </w:p>
        </w:tc>
        <w:tc>
          <w:tcPr>
            <w:tcW w:w="800" w:type="dxa"/>
            <w:vAlign w:val="bottom"/>
            <w:tcBorders>
              <w:bottom w:val="single" w:sz="8" w:color="00C1DE"/>
            </w:tcBorders>
          </w:tcPr>
          <w:p>
            <w:pPr>
              <w:jc w:val="right"/>
              <w:ind w:right="82"/>
              <w:spacing w:after="0"/>
              <w:rPr>
                <w:sz w:val="20"/>
                <w:szCs w:val="20"/>
                <w:color w:val="auto"/>
              </w:rPr>
            </w:pPr>
            <w:r>
              <w:rPr>
                <w:rFonts w:ascii="Arial" w:cs="Arial" w:eastAsia="Arial" w:hAnsi="Arial"/>
                <w:sz w:val="20"/>
                <w:szCs w:val="20"/>
                <w:b w:val="1"/>
                <w:bCs w:val="1"/>
                <w:color w:val="00C1DE"/>
              </w:rPr>
              <w:t>Total</w:t>
            </w: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Bhusri</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rPr>
              <w:t>0</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rPr>
              <w:t>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rPr>
              <w:t>40</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Bush</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22,417</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22,657</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Ms. Gooden</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17,250</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17,490</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Jimenez</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41,708</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41,948</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Ms. Mendillo</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14,083</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14,323</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Ms. Miscik</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28,500</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28,740</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Ms. Russo</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24,563</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24,803</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Schoewe</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44,792</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45,032</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Solso</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35,500</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120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35,620</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Ms. Stephenson</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19,605</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19,845</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Tatum</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18,438</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160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18,598</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Mr. Wenig</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w w:val="98"/>
              </w:rPr>
              <w:t>16,250</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240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w w:val="98"/>
              </w:rPr>
              <w:t>16,490</w:t>
            </w:r>
          </w:p>
        </w:tc>
        <w:tc>
          <w:tcPr>
            <w:tcW w:w="0" w:type="dxa"/>
            <w:vAlign w:val="bottom"/>
          </w:tcPr>
          <w:p>
            <w:pPr>
              <w:spacing w:after="0"/>
              <w:rPr>
                <w:sz w:val="1"/>
                <w:szCs w:val="1"/>
                <w:color w:val="auto"/>
              </w:rPr>
            </w:pPr>
          </w:p>
        </w:tc>
      </w:tr>
      <w:tr>
        <w:trPr>
          <w:trHeight w:val="58"/>
        </w:trPr>
        <w:tc>
          <w:tcPr>
            <w:tcW w:w="402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32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100"/>
              <w:spacing w:after="0"/>
              <w:rPr>
                <w:sz w:val="20"/>
                <w:szCs w:val="20"/>
                <w:color w:val="auto"/>
              </w:rPr>
            </w:pPr>
            <w:r>
              <w:rPr>
                <w:rFonts w:ascii="Arial" w:cs="Arial" w:eastAsia="Arial" w:hAnsi="Arial"/>
                <w:sz w:val="20"/>
                <w:szCs w:val="20"/>
                <w:color w:val="3E3935"/>
              </w:rPr>
              <w:t>Ms. Whitman</w:t>
            </w:r>
          </w:p>
        </w:tc>
        <w:tc>
          <w:tcPr>
            <w:tcW w:w="2800" w:type="dxa"/>
            <w:vAlign w:val="bottom"/>
          </w:tcPr>
          <w:p>
            <w:pPr>
              <w:jc w:val="right"/>
              <w:spacing w:after="0"/>
              <w:rPr>
                <w:sz w:val="20"/>
                <w:szCs w:val="20"/>
                <w:color w:val="auto"/>
              </w:rPr>
            </w:pPr>
            <w:r>
              <w:rPr>
                <w:rFonts w:ascii="Arial" w:cs="Arial" w:eastAsia="Arial" w:hAnsi="Arial"/>
                <w:sz w:val="20"/>
                <w:szCs w:val="20"/>
                <w:color w:val="3E3935"/>
              </w:rPr>
              <w:t>$</w:t>
            </w:r>
          </w:p>
        </w:tc>
        <w:tc>
          <w:tcPr>
            <w:tcW w:w="980" w:type="dxa"/>
            <w:vAlign w:val="bottom"/>
          </w:tcPr>
          <w:p>
            <w:pPr>
              <w:jc w:val="right"/>
              <w:ind w:right="262"/>
              <w:spacing w:after="0"/>
              <w:rPr>
                <w:sz w:val="20"/>
                <w:szCs w:val="20"/>
                <w:color w:val="auto"/>
              </w:rPr>
            </w:pPr>
            <w:r>
              <w:rPr>
                <w:rFonts w:ascii="Arial" w:cs="Arial" w:eastAsia="Arial" w:hAnsi="Arial"/>
                <w:sz w:val="20"/>
                <w:szCs w:val="20"/>
                <w:color w:val="3E3935"/>
              </w:rPr>
              <w:t>9,167</w:t>
            </w:r>
          </w:p>
        </w:tc>
        <w:tc>
          <w:tcPr>
            <w:tcW w:w="560" w:type="dxa"/>
            <w:vAlign w:val="bottom"/>
          </w:tcPr>
          <w:p>
            <w:pPr>
              <w:jc w:val="right"/>
              <w:spacing w:after="0"/>
              <w:rPr>
                <w:sz w:val="20"/>
                <w:szCs w:val="20"/>
                <w:color w:val="auto"/>
              </w:rPr>
            </w:pPr>
            <w:r>
              <w:rPr>
                <w:rFonts w:ascii="Arial" w:cs="Arial" w:eastAsia="Arial" w:hAnsi="Arial"/>
                <w:sz w:val="20"/>
                <w:szCs w:val="20"/>
                <w:color w:val="3E3935"/>
              </w:rPr>
              <w:t>$</w:t>
            </w:r>
          </w:p>
        </w:tc>
        <w:tc>
          <w:tcPr>
            <w:tcW w:w="560" w:type="dxa"/>
            <w:vAlign w:val="bottom"/>
          </w:tcPr>
          <w:p>
            <w:pPr>
              <w:jc w:val="right"/>
              <w:ind w:right="122"/>
              <w:spacing w:after="0"/>
              <w:rPr>
                <w:sz w:val="20"/>
                <w:szCs w:val="20"/>
                <w:color w:val="auto"/>
              </w:rPr>
            </w:pPr>
            <w:r>
              <w:rPr>
                <w:rFonts w:ascii="Arial" w:cs="Arial" w:eastAsia="Arial" w:hAnsi="Arial"/>
                <w:sz w:val="20"/>
                <w:szCs w:val="20"/>
                <w:color w:val="3E3935"/>
                <w:w w:val="95"/>
              </w:rPr>
              <w:t>160</w:t>
            </w:r>
          </w:p>
        </w:tc>
        <w:tc>
          <w:tcPr>
            <w:tcW w:w="320" w:type="dxa"/>
            <w:vAlign w:val="bottom"/>
          </w:tcPr>
          <w:p>
            <w:pPr>
              <w:jc w:val="right"/>
              <w:spacing w:after="0"/>
              <w:rPr>
                <w:sz w:val="20"/>
                <w:szCs w:val="20"/>
                <w:color w:val="auto"/>
              </w:rPr>
            </w:pPr>
            <w:r>
              <w:rPr>
                <w:rFonts w:ascii="Arial" w:cs="Arial" w:eastAsia="Arial" w:hAnsi="Arial"/>
                <w:sz w:val="20"/>
                <w:szCs w:val="20"/>
                <w:color w:val="3E3935"/>
              </w:rPr>
              <w:t>$</w:t>
            </w:r>
          </w:p>
        </w:tc>
        <w:tc>
          <w:tcPr>
            <w:tcW w:w="800" w:type="dxa"/>
            <w:vAlign w:val="bottom"/>
          </w:tcPr>
          <w:p>
            <w:pPr>
              <w:jc w:val="right"/>
              <w:ind w:right="82"/>
              <w:spacing w:after="0"/>
              <w:rPr>
                <w:sz w:val="20"/>
                <w:szCs w:val="20"/>
                <w:color w:val="auto"/>
              </w:rPr>
            </w:pPr>
            <w:r>
              <w:rPr>
                <w:rFonts w:ascii="Arial" w:cs="Arial" w:eastAsia="Arial" w:hAnsi="Arial"/>
                <w:sz w:val="20"/>
                <w:szCs w:val="20"/>
                <w:color w:val="3E3935"/>
              </w:rPr>
              <w:t>9,327</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40" w:right="160" w:hanging="545"/>
        <w:spacing w:after="0"/>
        <w:tabs>
          <w:tab w:leader="none" w:pos="1140" w:val="left"/>
        </w:tabs>
        <w:numPr>
          <w:ilvl w:val="1"/>
          <w:numId w:val="19"/>
        </w:numPr>
        <w:rPr>
          <w:rFonts w:ascii="Arial" w:cs="Arial" w:eastAsia="Arial" w:hAnsi="Arial"/>
          <w:sz w:val="18"/>
          <w:szCs w:val="18"/>
          <w:i w:val="1"/>
          <w:iCs w:val="1"/>
          <w:color w:val="3E3935"/>
        </w:rPr>
      </w:pPr>
      <w:r>
        <w:rPr>
          <w:rFonts w:ascii="Arial" w:cs="Arial" w:eastAsia="Arial" w:hAnsi="Arial"/>
          <w:sz w:val="18"/>
          <w:szCs w:val="18"/>
          <w:i w:val="1"/>
          <w:iCs w:val="1"/>
          <w:color w:val="3E3935"/>
        </w:rPr>
        <w:t>The 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director.</w:t>
      </w:r>
    </w:p>
    <w:p>
      <w:pPr>
        <w:spacing w:after="0" w:line="48" w:lineRule="exact"/>
        <w:rPr>
          <w:rFonts w:ascii="Arial" w:cs="Arial" w:eastAsia="Arial" w:hAnsi="Arial"/>
          <w:sz w:val="18"/>
          <w:szCs w:val="18"/>
          <w:i w:val="1"/>
          <w:iCs w:val="1"/>
          <w:color w:val="3E3935"/>
        </w:rPr>
      </w:pPr>
    </w:p>
    <w:p>
      <w:pPr>
        <w:ind w:left="1140" w:right="540" w:hanging="545"/>
        <w:spacing w:after="0" w:line="263" w:lineRule="auto"/>
        <w:tabs>
          <w:tab w:leader="none" w:pos="1140" w:val="left"/>
        </w:tabs>
        <w:numPr>
          <w:ilvl w:val="1"/>
          <w:numId w:val="19"/>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the cost of premiums for providing personal accident insurance (annual premium cost of $240 per person is prorated, as applicable, for the period of service).</w:t>
      </w:r>
    </w:p>
    <w:p>
      <w:pPr>
        <w:spacing w:after="0" w:line="6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20"/>
        </w:numPr>
        <w:rPr>
          <w:rFonts w:ascii="Arial" w:cs="Arial" w:eastAsia="Arial" w:hAnsi="Arial"/>
          <w:sz w:val="18"/>
          <w:szCs w:val="18"/>
          <w:i w:val="1"/>
          <w:iCs w:val="1"/>
          <w:color w:val="3E3935"/>
        </w:rPr>
      </w:pPr>
      <w:r>
        <w:rPr>
          <w:rFonts w:ascii="Arial" w:cs="Arial" w:eastAsia="Arial" w:hAnsi="Arial"/>
          <w:sz w:val="18"/>
          <w:szCs w:val="18"/>
          <w:i w:val="1"/>
          <w:iCs w:val="1"/>
          <w:color w:val="3E3935"/>
        </w:rPr>
        <w:t>Mr. Bhusri joined the Board on October 6, 2021.</w:t>
      </w:r>
    </w:p>
    <w:p>
      <w:pPr>
        <w:spacing w:after="0" w:line="11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20"/>
        </w:numPr>
        <w:rPr>
          <w:rFonts w:ascii="Arial" w:cs="Arial" w:eastAsia="Arial" w:hAnsi="Arial"/>
          <w:sz w:val="18"/>
          <w:szCs w:val="18"/>
          <w:i w:val="1"/>
          <w:iCs w:val="1"/>
          <w:color w:val="3E3935"/>
        </w:rPr>
      </w:pPr>
      <w:r>
        <w:rPr>
          <w:rFonts w:ascii="Arial" w:cs="Arial" w:eastAsia="Arial" w:hAnsi="Arial"/>
          <w:sz w:val="18"/>
          <w:szCs w:val="18"/>
          <w:i w:val="1"/>
          <w:iCs w:val="1"/>
          <w:color w:val="3E3935"/>
        </w:rPr>
        <w:t>Ms. Russo was appointed Independent Lead Director on June 15, 2021.</w:t>
      </w:r>
    </w:p>
    <w:p>
      <w:pPr>
        <w:spacing w:after="0" w:line="11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20"/>
        </w:numPr>
        <w:rPr>
          <w:rFonts w:ascii="Arial" w:cs="Arial" w:eastAsia="Arial" w:hAnsi="Arial"/>
          <w:sz w:val="18"/>
          <w:szCs w:val="18"/>
          <w:i w:val="1"/>
          <w:iCs w:val="1"/>
          <w:color w:val="3E3935"/>
        </w:rPr>
      </w:pPr>
      <w:r>
        <w:rPr>
          <w:rFonts w:ascii="Arial" w:cs="Arial" w:eastAsia="Arial" w:hAnsi="Arial"/>
          <w:sz w:val="18"/>
          <w:szCs w:val="18"/>
          <w:i w:val="1"/>
          <w:iCs w:val="1"/>
          <w:color w:val="3E3935"/>
        </w:rPr>
        <w:t>Mr. Solso retired from the Board on June 14, 2021.</w:t>
      </w:r>
    </w:p>
    <w:p>
      <w:pPr>
        <w:spacing w:after="0" w:line="11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20"/>
        </w:numPr>
        <w:rPr>
          <w:rFonts w:ascii="Arial" w:cs="Arial" w:eastAsia="Arial" w:hAnsi="Arial"/>
          <w:sz w:val="18"/>
          <w:szCs w:val="18"/>
          <w:i w:val="1"/>
          <w:iCs w:val="1"/>
          <w:color w:val="3E3935"/>
        </w:rPr>
      </w:pPr>
      <w:r>
        <w:rPr>
          <w:rFonts w:ascii="Arial" w:cs="Arial" w:eastAsia="Arial" w:hAnsi="Arial"/>
          <w:sz w:val="18"/>
          <w:szCs w:val="18"/>
          <w:i w:val="1"/>
          <w:iCs w:val="1"/>
          <w:color w:val="3E3935"/>
        </w:rPr>
        <w:t>Mr. Tatum joined the Board on March 25, 2021.</w:t>
      </w:r>
    </w:p>
    <w:p>
      <w:pPr>
        <w:spacing w:after="0" w:line="11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20"/>
        </w:numPr>
        <w:rPr>
          <w:rFonts w:ascii="Arial" w:cs="Arial" w:eastAsia="Arial" w:hAnsi="Arial"/>
          <w:sz w:val="18"/>
          <w:szCs w:val="18"/>
          <w:i w:val="1"/>
          <w:iCs w:val="1"/>
          <w:color w:val="3E3935"/>
        </w:rPr>
      </w:pPr>
      <w:r>
        <w:rPr>
          <w:rFonts w:ascii="Arial" w:cs="Arial" w:eastAsia="Arial" w:hAnsi="Arial"/>
          <w:sz w:val="18"/>
          <w:szCs w:val="18"/>
          <w:i w:val="1"/>
          <w:iCs w:val="1"/>
          <w:color w:val="3E3935"/>
        </w:rPr>
        <w:t>Ms. Whitman joined the Board on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-1962785</wp:posOffset>
            </wp:positionV>
            <wp:extent cx="63690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-95885</wp:posOffset>
            </wp:positionV>
            <wp:extent cx="5927725" cy="101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0800"/>
          </w:cols>
          <w:pgMar w:left="320" w:top="454" w:right="7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CORPORATE GOVERNANCE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The Board of Directors</w:t>
      </w:r>
    </w:p>
    <w:p>
      <w:pPr>
        <w:spacing w:after="0" w:line="21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GM is governed by a Board of Directors and Committees of the Board that meet throughout the year. The Board is elected by our shareholders to oversee and provide guidance on the Company’s business and affairs. It is the ultimate decision-making body of the Company, except for those matters reserved for shareholders by law or pursuant to the Company’s governance documents. Among other things, the Board oversees Company strategy and execution of the strategic plan. In addition, it oversees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rPr>
          <w:sz w:val="20"/>
          <w:szCs w:val="20"/>
          <w:color w:val="auto"/>
        </w:rPr>
      </w:pPr>
      <w:r>
        <w:rPr>
          <w:rFonts w:ascii="Arial" w:cs="Arial" w:eastAsia="Arial" w:hAnsi="Arial"/>
          <w:sz w:val="19"/>
          <w:szCs w:val="19"/>
          <w:color w:val="3E3935"/>
        </w:rPr>
        <w:t>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-2440305</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240" w:lineRule="exact"/>
        <w:rPr>
          <w:sz w:val="20"/>
          <w:szCs w:val="20"/>
          <w:color w:val="auto"/>
        </w:rPr>
      </w:pPr>
    </w:p>
    <w:p>
      <w:pPr>
        <w:ind w:left="700" w:hanging="533"/>
        <w:spacing w:after="0"/>
        <w:tabs>
          <w:tab w:leader="none" w:pos="700" w:val="left"/>
        </w:tabs>
        <w:numPr>
          <w:ilvl w:val="0"/>
          <w:numId w:val="21"/>
        </w:numPr>
        <w:rPr>
          <w:rFonts w:ascii="Times New Roman" w:cs="Times New Roman" w:eastAsia="Times New Roman" w:hAnsi="Times New Roman"/>
          <w:sz w:val="21"/>
          <w:szCs w:val="21"/>
          <w:color w:val="0071CE"/>
        </w:rPr>
      </w:pPr>
      <w:r>
        <w:rPr>
          <w:rFonts w:ascii="Arial" w:cs="Arial" w:eastAsia="Arial" w:hAnsi="Arial"/>
          <w:sz w:val="25"/>
          <w:szCs w:val="25"/>
          <w:color w:val="3E3935"/>
        </w:rPr>
        <w:t>Board Size</w:t>
      </w:r>
    </w:p>
    <w:p>
      <w:pPr>
        <w:spacing w:after="0" w:line="20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Board sets the number of directors from time to time by a resolution adopted by a majority of the Board. The Governance Committee reassesses the suitability of the Board’s size at least annually. The Board has the flexibility to increase or decrease the size of the Board as circumstances warrant, although the Company’s Certificate of Incorporation limits the total number of directors to 17. There are currently 13 members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Board. If all of the Board’s nominees are elected, the Board will be composed of 12 members immediately following the Annual Meeting. If any nominee is unable to serve as a director, or if any director leaves the Board between annual meetings, the Board may reduce the number of directors or elect an individual to fill the resulting vacancy.</w:t>
      </w:r>
    </w:p>
    <w:p>
      <w:pPr>
        <w:spacing w:after="0" w:line="625"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31" w:lineRule="exact"/>
        <w:rPr>
          <w:sz w:val="20"/>
          <w:szCs w:val="20"/>
          <w:color w:val="auto"/>
        </w:rPr>
      </w:pPr>
    </w:p>
    <w:p>
      <w:pPr>
        <w:ind w:left="700" w:hanging="533"/>
        <w:spacing w:after="0"/>
        <w:tabs>
          <w:tab w:leader="none" w:pos="700" w:val="left"/>
        </w:tabs>
        <w:numPr>
          <w:ilvl w:val="0"/>
          <w:numId w:val="22"/>
        </w:numPr>
        <w:rPr>
          <w:rFonts w:ascii="Times New Roman" w:cs="Times New Roman" w:eastAsia="Times New Roman" w:hAnsi="Times New Roman"/>
          <w:sz w:val="21"/>
          <w:szCs w:val="21"/>
          <w:color w:val="0071CE"/>
        </w:rPr>
      </w:pPr>
      <w:r>
        <w:rPr>
          <w:rFonts w:ascii="Arial" w:cs="Arial" w:eastAsia="Arial" w:hAnsi="Arial"/>
          <w:sz w:val="25"/>
          <w:szCs w:val="25"/>
          <w:color w:val="3E3935"/>
        </w:rPr>
        <w:t>Director Independence</w:t>
      </w:r>
    </w:p>
    <w:p>
      <w:pPr>
        <w:spacing w:after="0" w:line="208"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GM’s Bylaws and Corporate Governance Guidelines define our standards for director independence and reflect applicable NYSE and SEC requirements. At least two-thirds of our directors must be independent under these standards. In addition, all members of the Audit Committee and the Compensation Committee must meet heightened independence standards under applicable NYSE and SEC rules. For a director to be “independent,” the Board must determine that the director has no material relationship with the Company other than his or her service as a director.</w:t>
      </w:r>
    </w:p>
    <w:p>
      <w:pPr>
        <w:spacing w:after="0" w:line="111"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Governance Committee annually assesses the independence of each director and makes recommendations to the Board. Consistent with the standards described above, the Board has reviewed all relationships between the Company and each director and considered all relevant quantitative and qualitative criteria. The Board has affirmatively determined that, other than Ms. Barra who serves as our CEO, all directors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3E3935"/>
        </w:rPr>
        <w:t>director nominees are currently independent and were independent throughout 2021.</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3E3935"/>
        </w:rPr>
        <w:t>In recommending to the Board that it determine each non-employee director is independent, the Governance Committee considered whether there were any other facts or circumstances that might impair a director’s independence.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276"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-95885</wp:posOffset>
            </wp:positionV>
            <wp:extent cx="5927725" cy="101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400" w:space="340"/>
            <w:col w:w="5340"/>
          </w:cols>
          <w:pgMar w:left="320" w:top="454"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Board Leadership Structure and Composition</w:t>
      </w:r>
    </w:p>
    <w:p>
      <w:pPr>
        <w:sectPr>
          <w:pgSz w:w="11900" w:h="16838" w:orient="portrait"/>
          <w:cols w:equalWidth="0" w:num="1">
            <w:col w:w="11080"/>
          </w:cols>
          <w:pgMar w:left="320" w:top="454" w:right="499" w:bottom="1440" w:gutter="0" w:footer="0" w:header="0"/>
        </w:sectPr>
      </w:pPr>
    </w:p>
    <w:p>
      <w:pPr>
        <w:spacing w:after="0" w:line="223" w:lineRule="exact"/>
        <w:rPr>
          <w:sz w:val="20"/>
          <w:szCs w:val="20"/>
          <w:color w:val="auto"/>
        </w:rPr>
      </w:pPr>
    </w:p>
    <w:p>
      <w:pPr>
        <w:jc w:val="both"/>
        <w:ind w:left="160"/>
        <w:spacing w:after="0" w:line="241" w:lineRule="auto"/>
        <w:rPr>
          <w:sz w:val="20"/>
          <w:szCs w:val="20"/>
          <w:color w:val="auto"/>
        </w:rPr>
      </w:pPr>
      <w:r>
        <w:rPr>
          <w:rFonts w:ascii="Arial" w:cs="Arial" w:eastAsia="Arial" w:hAnsi="Arial"/>
          <w:sz w:val="19"/>
          <w:szCs w:val="19"/>
          <w:color w:val="3E3935"/>
        </w:rPr>
        <w:t>The Board has the flexibility to decide when the positions of Board Chair and CEO should be combined or whether an independent director should be Board Chair. This allows the Board to choose the leadership structure that it believes will best serve the interests of our shareholders at any particular time. In January 2016, the Board recombined the positions of Board Chair and CEO under the leadership of Ms. Barra and designated an Independent Lead Director.</w:t>
      </w:r>
    </w:p>
    <w:p>
      <w:pPr>
        <w:spacing w:after="0" w:line="104"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Since then, each year the Board has voted to elect Ms. Barra as Board Chair. The Board believes that Ms. Barra’s in-depth knowledge of GM’s business and vision for the future bring focused leadership</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to the Board and, therefore, combining the role of Board Chair and CEO while electing a strong Independent Lead Director results in the optimal Board leadership structure for GM at this time.</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3E3935"/>
        </w:rPr>
        <w:t>Ms. Russo is the Board’s Independent Lead Director, a role she has held since 2021. Ms. Russo joined our Board in 2009 and previously served as the Independent Lead Director from 2010 to 2014. Her extensive knowledge of GM’s business and experience collaborating with our management team uniquely qualifies her to provide strong, independent leadership and strategic direction to the Board at this time.</w:t>
      </w:r>
    </w:p>
    <w:p>
      <w:pPr>
        <w:spacing w:after="0" w:line="41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40" w:lineRule="exact"/>
        <w:rPr>
          <w:sz w:val="20"/>
          <w:szCs w:val="20"/>
          <w:color w:val="auto"/>
        </w:rPr>
      </w:pPr>
    </w:p>
    <w:p>
      <w:pPr>
        <w:ind w:left="700" w:hanging="533"/>
        <w:spacing w:after="0"/>
        <w:tabs>
          <w:tab w:leader="none" w:pos="700" w:val="left"/>
        </w:tabs>
        <w:numPr>
          <w:ilvl w:val="0"/>
          <w:numId w:val="23"/>
        </w:numPr>
        <w:rPr>
          <w:rFonts w:ascii="Times New Roman" w:cs="Times New Roman" w:eastAsia="Times New Roman" w:hAnsi="Times New Roman"/>
          <w:sz w:val="21"/>
          <w:szCs w:val="21"/>
          <w:color w:val="0071CE"/>
        </w:rPr>
      </w:pPr>
      <w:r>
        <w:rPr>
          <w:rFonts w:ascii="Arial" w:cs="Arial" w:eastAsia="Arial" w:hAnsi="Arial"/>
          <w:sz w:val="25"/>
          <w:szCs w:val="25"/>
          <w:color w:val="3E3935"/>
        </w:rPr>
        <w:t>The Role of the Independent Lead Director</w:t>
      </w:r>
    </w:p>
    <w:p>
      <w:pPr>
        <w:spacing w:after="0" w:line="11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role of the Independent Lead Director is to provide strong, independent leadership to the Board and assist the other independent directors in overseeing and shaping the partnership between management and the Board. Below is a summary of the key duties and responsibilities of GM’s Independent Lead Director.</w:t>
      </w:r>
    </w:p>
    <w:p>
      <w:pPr>
        <w:sectPr>
          <w:pgSz w:w="11900" w:h="16838" w:orient="portrait"/>
          <w:cols w:equalWidth="0" w:num="1">
            <w:col w:w="11080"/>
          </w:cols>
          <w:pgMar w:left="320" w:top="454" w:right="499" w:bottom="1440" w:gutter="0" w:footer="0" w:header="0"/>
          <w:type w:val="continuous"/>
        </w:sectPr>
      </w:pPr>
    </w:p>
    <w:p>
      <w:pPr>
        <w:spacing w:after="0" w:line="193" w:lineRule="exact"/>
        <w:rPr>
          <w:sz w:val="20"/>
          <w:szCs w:val="20"/>
          <w:color w:val="auto"/>
        </w:rPr>
      </w:pPr>
    </w:p>
    <w:p>
      <w:pPr>
        <w:ind w:left="32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Presiding over all Board meetings when the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-179070</wp:posOffset>
            </wp:positionV>
            <wp:extent cx="6929755" cy="3006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3006090"/>
                    </a:xfrm>
                    <a:prstGeom prst="rect">
                      <a:avLst/>
                    </a:prstGeom>
                    <a:noFill/>
                  </pic:spPr>
                </pic:pic>
              </a:graphicData>
            </a:graphic>
          </wp:anchor>
        </w:drawing>
      </w:r>
    </w:p>
    <w:p>
      <w:pPr>
        <w:spacing w:after="0" w:line="1" w:lineRule="exact"/>
        <w:rPr>
          <w:sz w:val="20"/>
          <w:szCs w:val="20"/>
          <w:color w:val="auto"/>
        </w:rPr>
      </w:pPr>
    </w:p>
    <w:p>
      <w:pPr>
        <w:jc w:val="both"/>
        <w:ind w:left="520" w:right="20"/>
        <w:spacing w:after="0" w:line="232" w:lineRule="auto"/>
        <w:rPr>
          <w:sz w:val="20"/>
          <w:szCs w:val="20"/>
          <w:color w:val="auto"/>
        </w:rPr>
      </w:pPr>
      <w:r>
        <w:rPr>
          <w:rFonts w:ascii="Arial" w:cs="Arial" w:eastAsia="Arial" w:hAnsi="Arial"/>
          <w:sz w:val="20"/>
          <w:szCs w:val="20"/>
          <w:color w:val="3E3935"/>
        </w:rPr>
        <w:t>is not present, including executive sessions of non-management directors, and advising the Board Chair of any actions taken;</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Providing  Board  leadership  if  circumstances  arise  in</w:t>
      </w:r>
    </w:p>
    <w:p>
      <w:pPr>
        <w:spacing w:after="0" w:line="21" w:lineRule="exact"/>
        <w:rPr>
          <w:sz w:val="20"/>
          <w:szCs w:val="20"/>
          <w:color w:val="auto"/>
        </w:rPr>
      </w:pPr>
    </w:p>
    <w:p>
      <w:pPr>
        <w:jc w:val="both"/>
        <w:ind w:left="520" w:right="20"/>
        <w:spacing w:after="0" w:line="236" w:lineRule="auto"/>
        <w:rPr>
          <w:sz w:val="20"/>
          <w:szCs w:val="20"/>
          <w:color w:val="auto"/>
        </w:rPr>
      </w:pPr>
      <w:r>
        <w:rPr>
          <w:rFonts w:ascii="Arial" w:cs="Arial" w:eastAsia="Arial" w:hAnsi="Arial"/>
          <w:sz w:val="20"/>
          <w:szCs w:val="20"/>
          <w:color w:val="3E3935"/>
        </w:rPr>
        <w:t>which the Board Chair actually has, potentially has, or is perceived to have, a conflict of interest;</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Calling executive sessions for non-management directors,</w:t>
      </w:r>
    </w:p>
    <w:p>
      <w:pPr>
        <w:spacing w:after="0" w:line="21" w:lineRule="exact"/>
        <w:rPr>
          <w:sz w:val="20"/>
          <w:szCs w:val="20"/>
          <w:color w:val="auto"/>
        </w:rPr>
      </w:pPr>
    </w:p>
    <w:p>
      <w:pPr>
        <w:jc w:val="both"/>
        <w:ind w:left="520" w:right="20"/>
        <w:spacing w:after="0" w:line="232" w:lineRule="auto"/>
        <w:rPr>
          <w:sz w:val="20"/>
          <w:szCs w:val="20"/>
          <w:color w:val="auto"/>
        </w:rPr>
      </w:pPr>
      <w:r>
        <w:rPr>
          <w:rFonts w:ascii="Arial" w:cs="Arial" w:eastAsia="Arial" w:hAnsi="Arial"/>
          <w:sz w:val="20"/>
          <w:szCs w:val="20"/>
          <w:color w:val="3E3935"/>
        </w:rPr>
        <w:t>relaying feedback from these sessions to the Board Chair, and implementing decisions made by the non-management directors;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Leading  non-management  directors  in  the  annual</w:t>
      </w:r>
    </w:p>
    <w:p>
      <w:pPr>
        <w:spacing w:after="0" w:line="21" w:lineRule="exact"/>
        <w:rPr>
          <w:sz w:val="20"/>
          <w:szCs w:val="20"/>
          <w:color w:val="auto"/>
        </w:rPr>
      </w:pPr>
    </w:p>
    <w:p>
      <w:pPr>
        <w:jc w:val="both"/>
        <w:ind w:left="520"/>
        <w:spacing w:after="0" w:line="232" w:lineRule="auto"/>
        <w:rPr>
          <w:sz w:val="20"/>
          <w:szCs w:val="20"/>
          <w:color w:val="auto"/>
        </w:rPr>
      </w:pPr>
      <w:r>
        <w:rPr>
          <w:rFonts w:ascii="Arial" w:cs="Arial" w:eastAsia="Arial" w:hAnsi="Arial"/>
          <w:sz w:val="20"/>
          <w:szCs w:val="20"/>
          <w:color w:val="3E3935"/>
        </w:rPr>
        <w:t>evaluation of the CEO’s performance, communicating the results of that evaluation to the CEO, and overseeing CEO succession planning;</w:t>
      </w:r>
    </w:p>
    <w:p>
      <w:pPr>
        <w:spacing w:after="0" w:line="72" w:lineRule="exact"/>
        <w:rPr>
          <w:sz w:val="20"/>
          <w:szCs w:val="20"/>
          <w:color w:val="auto"/>
        </w:rPr>
      </w:pPr>
    </w:p>
    <w:p>
      <w:pPr>
        <w:ind w:left="520" w:right="20" w:hanging="213"/>
        <w:spacing w:after="0" w:line="285"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Approving Board meeting agendas to ensure sufficient</w:t>
      </w:r>
      <w:r>
        <w:rPr>
          <w:rFonts w:ascii="Arial" w:cs="Arial" w:eastAsia="Arial" w:hAnsi="Arial"/>
          <w:sz w:val="27"/>
          <w:szCs w:val="27"/>
          <w:color w:val="00C1DE"/>
        </w:rPr>
        <w:t xml:space="preserve"> </w:t>
      </w:r>
      <w:r>
        <w:rPr>
          <w:rFonts w:ascii="Arial" w:cs="Arial" w:eastAsia="Arial" w:hAnsi="Arial"/>
          <w:sz w:val="19"/>
          <w:szCs w:val="19"/>
          <w:color w:val="3E3935"/>
        </w:rPr>
        <w:t>time for discussion of all items;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Advising  on  the  scope,  quality,  quantity,  and</w:t>
      </w:r>
    </w:p>
    <w:p>
      <w:pPr>
        <w:spacing w:after="0" w:line="21" w:lineRule="exact"/>
        <w:rPr>
          <w:sz w:val="20"/>
          <w:szCs w:val="20"/>
          <w:color w:val="auto"/>
        </w:rPr>
      </w:pPr>
    </w:p>
    <w:p>
      <w:pPr>
        <w:jc w:val="both"/>
        <w:ind w:left="200" w:right="180"/>
        <w:spacing w:after="0" w:line="236" w:lineRule="auto"/>
        <w:rPr>
          <w:sz w:val="20"/>
          <w:szCs w:val="20"/>
          <w:color w:val="auto"/>
        </w:rPr>
      </w:pPr>
      <w:r>
        <w:rPr>
          <w:rFonts w:ascii="Arial" w:cs="Arial" w:eastAsia="Arial" w:hAnsi="Arial"/>
          <w:sz w:val="20"/>
          <w:szCs w:val="20"/>
          <w:color w:val="3E3935"/>
        </w:rPr>
        <w:t>timeliness of the flow of information between management and the Board;</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Serving  as  a  liaison  between  non-management</w:t>
      </w:r>
    </w:p>
    <w:p>
      <w:pPr>
        <w:spacing w:after="0" w:line="21" w:lineRule="exact"/>
        <w:rPr>
          <w:sz w:val="20"/>
          <w:szCs w:val="20"/>
          <w:color w:val="auto"/>
        </w:rPr>
      </w:pPr>
    </w:p>
    <w:p>
      <w:pPr>
        <w:jc w:val="both"/>
        <w:ind w:left="200" w:right="180"/>
        <w:spacing w:after="0" w:line="229" w:lineRule="auto"/>
        <w:rPr>
          <w:sz w:val="20"/>
          <w:szCs w:val="20"/>
          <w:color w:val="auto"/>
        </w:rPr>
      </w:pPr>
      <w:r>
        <w:rPr>
          <w:rFonts w:ascii="Arial" w:cs="Arial" w:eastAsia="Arial" w:hAnsi="Arial"/>
          <w:sz w:val="20"/>
          <w:szCs w:val="20"/>
          <w:color w:val="3E3935"/>
        </w:rPr>
        <w:t>directors and the Board Chair when requested to do so (although all non-management directors have direct and complete access to the Board Chair at any time they may deem necessary or appropriate);</w:t>
      </w:r>
    </w:p>
    <w:p>
      <w:pPr>
        <w:spacing w:after="0" w:line="75" w:lineRule="exact"/>
        <w:rPr>
          <w:sz w:val="20"/>
          <w:szCs w:val="20"/>
          <w:color w:val="auto"/>
        </w:rPr>
      </w:pPr>
    </w:p>
    <w:p>
      <w:pPr>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Interviewing, along with the Governance Committee</w:t>
      </w:r>
    </w:p>
    <w:p>
      <w:pPr>
        <w:spacing w:after="0" w:line="21" w:lineRule="exact"/>
        <w:rPr>
          <w:sz w:val="20"/>
          <w:szCs w:val="20"/>
          <w:color w:val="auto"/>
        </w:rPr>
      </w:pPr>
    </w:p>
    <w:p>
      <w:pPr>
        <w:jc w:val="both"/>
        <w:ind w:left="200" w:right="180"/>
        <w:spacing w:after="0" w:line="232" w:lineRule="auto"/>
        <w:rPr>
          <w:sz w:val="20"/>
          <w:szCs w:val="20"/>
          <w:color w:val="auto"/>
        </w:rPr>
      </w:pPr>
      <w:r>
        <w:rPr>
          <w:rFonts w:ascii="Arial" w:cs="Arial" w:eastAsia="Arial" w:hAnsi="Arial"/>
          <w:sz w:val="20"/>
          <w:szCs w:val="20"/>
          <w:color w:val="3E3935"/>
        </w:rPr>
        <w:t>Chair, all director candidates and making recommendations to the Governance Committee and the Board;</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Being available to advise the Board Committee Chairs</w:t>
      </w:r>
    </w:p>
    <w:p>
      <w:pPr>
        <w:spacing w:after="0" w:line="21" w:lineRule="exact"/>
        <w:rPr>
          <w:sz w:val="20"/>
          <w:szCs w:val="20"/>
          <w:color w:val="auto"/>
        </w:rPr>
      </w:pPr>
    </w:p>
    <w:p>
      <w:pPr>
        <w:jc w:val="both"/>
        <w:ind w:left="200" w:right="180"/>
        <w:spacing w:after="0" w:line="236" w:lineRule="auto"/>
        <w:rPr>
          <w:sz w:val="20"/>
          <w:szCs w:val="20"/>
          <w:color w:val="auto"/>
        </w:rPr>
      </w:pPr>
      <w:r>
        <w:rPr>
          <w:rFonts w:ascii="Arial" w:cs="Arial" w:eastAsia="Arial" w:hAnsi="Arial"/>
          <w:sz w:val="20"/>
          <w:szCs w:val="20"/>
          <w:color w:val="3E3935"/>
        </w:rPr>
        <w:t>in fulfilling their designated roles and responsibilities to the Board; and</w:t>
      </w:r>
    </w:p>
    <w:p>
      <w:pPr>
        <w:spacing w:after="0" w:line="72" w:lineRule="exact"/>
        <w:rPr>
          <w:sz w:val="20"/>
          <w:szCs w:val="20"/>
          <w:color w:val="auto"/>
        </w:rPr>
      </w:pPr>
    </w:p>
    <w:p>
      <w:pPr>
        <w:ind w:left="200" w:right="180" w:hanging="213"/>
        <w:spacing w:after="0" w:line="259"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Engaging,</w:t>
      </w:r>
      <w:r>
        <w:rPr>
          <w:sz w:val="20"/>
          <w:szCs w:val="20"/>
          <w:color w:val="auto"/>
        </w:rPr>
        <w:t xml:space="preserve"> </w:t>
      </w:r>
      <w:r>
        <w:rPr>
          <w:rFonts w:ascii="Arial" w:cs="Arial" w:eastAsia="Arial" w:hAnsi="Arial"/>
          <w:sz w:val="20"/>
          <w:szCs w:val="20"/>
          <w:color w:val="3E3935"/>
        </w:rPr>
        <w:t>when requested to do so, with shareholders.</w:t>
      </w:r>
    </w:p>
    <w:p>
      <w:pPr>
        <w:spacing w:after="0" w:line="474" w:lineRule="exact"/>
        <w:rPr>
          <w:sz w:val="20"/>
          <w:szCs w:val="20"/>
          <w:color w:val="auto"/>
        </w:rPr>
      </w:pPr>
    </w:p>
    <w:p>
      <w:pPr>
        <w:sectPr>
          <w:pgSz w:w="11900" w:h="16838" w:orient="portrait"/>
          <w:cols w:equalWidth="0" w:num="2">
            <w:col w:w="5560" w:space="440"/>
            <w:col w:w="5080"/>
          </w:cols>
          <w:pgMar w:left="320" w:top="454" w:right="499" w:bottom="1440" w:gutter="0" w:footer="0" w:header="0"/>
          <w:type w:val="continuous"/>
        </w:sectPr>
      </w:pPr>
    </w:p>
    <w:p>
      <w:pPr>
        <w:spacing w:after="0" w:line="6"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Board Committees</w:t>
      </w:r>
    </w:p>
    <w:p>
      <w:pPr>
        <w:spacing w:after="0" w:line="158" w:lineRule="exact"/>
        <w:rPr>
          <w:sz w:val="20"/>
          <w:szCs w:val="20"/>
          <w:color w:val="auto"/>
        </w:rPr>
      </w:pPr>
    </w:p>
    <w:p>
      <w:pPr>
        <w:jc w:val="both"/>
        <w:ind w:left="160"/>
        <w:spacing w:after="0" w:line="241" w:lineRule="auto"/>
        <w:rPr>
          <w:sz w:val="20"/>
          <w:szCs w:val="20"/>
          <w:color w:val="auto"/>
        </w:rPr>
      </w:pPr>
      <w:r>
        <w:rPr>
          <w:rFonts w:ascii="Arial" w:cs="Arial" w:eastAsia="Arial" w:hAnsi="Arial"/>
          <w:sz w:val="19"/>
          <w:szCs w:val="19"/>
          <w:color w:val="3E3935"/>
        </w:rPr>
        <w:t xml:space="preserve">The Board of Directors has six standing Committees: Audit, Compensation, Executive, Finance, Governance, and Risk and Cybersecurity. The key responsibilities, recent activities, and focus areas of each Committee, together with their current membership and the number of meetings held in 2021, are set forth on pages 22 to 24 of this Proxy Statement. Each Committee Chair meets regularly with management during the year to discuss Committee business, shape agendas, and facilitate efficient meetings. The Board Chair, Ms. Barra, attends all Committee meetings to serve as a resource and to identify topics requiring the full Board’s attention. The Board has determined that each member of the Audit, Compensation, Finance, Governance, and Risk and Cybersecurity Committees is independent according to applicable SEC and NYSE requirements and our Corporate Governance Guidelines. Each Committee’s charter is available at </w:t>
      </w:r>
      <w:r>
        <w:rPr>
          <w:rFonts w:ascii="Arial" w:cs="Arial" w:eastAsia="Arial" w:hAnsi="Arial"/>
          <w:sz w:val="19"/>
          <w:szCs w:val="19"/>
          <w:i w:val="1"/>
          <w:iCs w:val="1"/>
          <w:color w:val="00C1DE"/>
        </w:rPr>
        <w:t>investor.gm.com/resources</w:t>
      </w:r>
      <w:r>
        <w:rPr>
          <w:rFonts w:ascii="Arial" w:cs="Arial" w:eastAsia="Arial" w:hAnsi="Arial"/>
          <w:sz w:val="19"/>
          <w:szCs w:val="19"/>
          <w:color w:val="3E3935"/>
        </w:rPr>
        <w:t>.</w:t>
      </w:r>
    </w:p>
    <w:p>
      <w:pPr>
        <w:spacing w:after="0" w:line="290" w:lineRule="exact"/>
        <w:rPr>
          <w:sz w:val="20"/>
          <w:szCs w:val="20"/>
          <w:color w:val="auto"/>
        </w:rPr>
      </w:pPr>
    </w:p>
    <w:p>
      <w:pPr>
        <w:ind w:left="700" w:hanging="533"/>
        <w:spacing w:after="0"/>
        <w:tabs>
          <w:tab w:leader="none" w:pos="700" w:val="left"/>
        </w:tabs>
        <w:numPr>
          <w:ilvl w:val="0"/>
          <w:numId w:val="24"/>
        </w:numPr>
        <w:rPr>
          <w:rFonts w:ascii="Times New Roman" w:cs="Times New Roman" w:eastAsia="Times New Roman" w:hAnsi="Times New Roman"/>
          <w:sz w:val="21"/>
          <w:szCs w:val="21"/>
          <w:color w:val="0071CE"/>
        </w:rPr>
      </w:pPr>
      <w:r>
        <w:rPr>
          <w:rFonts w:ascii="Arial" w:cs="Arial" w:eastAsia="Arial" w:hAnsi="Arial"/>
          <w:sz w:val="25"/>
          <w:szCs w:val="25"/>
          <w:color w:val="3E3935"/>
        </w:rPr>
        <w:t>Board and Committee Meetings and Attendance</w:t>
      </w:r>
    </w:p>
    <w:p>
      <w:pPr>
        <w:spacing w:after="0" w:line="15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In 2021, the Board held 11 meetings and the average director attendance at Board and Committee meetings was 99 percent. Each director standing for re-election attended at least 95 percent of the total meetings of the Board and Committees on which he or she served in 2021. In addition, the Board conducted three special informational sessions throughout the year to receive in-depth briefings on critical topics, including a technical review of batteries and other key components of electric propulsion systems; an update on our EV supply chain with a focus on sourcing raw materials, rare earth elements, and semiconductors; and an in-depth review of our AV strategy.</w:t>
      </w:r>
    </w:p>
    <w:p>
      <w:pPr>
        <w:spacing w:after="0" w:line="9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Directors are encouraged to attend our annual meetings of shareholders. All directors that stood for re-election in 2021 attended the 2021 Annual Meeting.</w:t>
      </w:r>
    </w:p>
    <w:p>
      <w:pPr>
        <w:spacing w:after="0" w:line="280" w:lineRule="exact"/>
        <w:rPr>
          <w:sz w:val="20"/>
          <w:szCs w:val="20"/>
          <w:color w:val="auto"/>
        </w:rPr>
      </w:pPr>
    </w:p>
    <w:p>
      <w:pPr>
        <w:ind w:left="700" w:hanging="533"/>
        <w:spacing w:after="0"/>
        <w:tabs>
          <w:tab w:leader="none" w:pos="700" w:val="left"/>
        </w:tabs>
        <w:numPr>
          <w:ilvl w:val="0"/>
          <w:numId w:val="25"/>
        </w:numPr>
        <w:rPr>
          <w:rFonts w:ascii="Times New Roman" w:cs="Times New Roman" w:eastAsia="Times New Roman" w:hAnsi="Times New Roman"/>
          <w:sz w:val="21"/>
          <w:szCs w:val="21"/>
          <w:color w:val="0071CE"/>
        </w:rPr>
      </w:pPr>
      <w:r>
        <w:rPr>
          <w:rFonts w:ascii="Arial" w:cs="Arial" w:eastAsia="Arial" w:hAnsi="Arial"/>
          <w:sz w:val="25"/>
          <w:szCs w:val="25"/>
          <w:color w:val="3E3935"/>
        </w:rPr>
        <w:t>Executive Sessions</w:t>
      </w:r>
    </w:p>
    <w:p>
      <w:pPr>
        <w:spacing w:after="0" w:line="15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Independent directors have an opportunity to meet in executive session without management present as part of each regularly scheduled Board and Committee meeting. Executive sessions are chaired by our Independent Lead Director or the respective Committee Chair.</w:t>
      </w:r>
    </w:p>
    <w:p>
      <w:pPr>
        <w:spacing w:after="0" w:line="10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During executive sessions of the Board,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93"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non-management directors, all of whom are independent, met in executive session of the Board six times in 2021, in addition to numerous executive sessions of the Committees.</w:t>
      </w:r>
    </w:p>
    <w:p>
      <w:pPr>
        <w:spacing w:after="0" w:line="280" w:lineRule="exact"/>
        <w:rPr>
          <w:sz w:val="20"/>
          <w:szCs w:val="20"/>
          <w:color w:val="auto"/>
        </w:rPr>
      </w:pPr>
    </w:p>
    <w:p>
      <w:pPr>
        <w:ind w:left="700" w:hanging="533"/>
        <w:spacing w:after="0"/>
        <w:tabs>
          <w:tab w:leader="none" w:pos="700" w:val="left"/>
        </w:tabs>
        <w:numPr>
          <w:ilvl w:val="0"/>
          <w:numId w:val="26"/>
        </w:numPr>
        <w:rPr>
          <w:rFonts w:ascii="Times New Roman" w:cs="Times New Roman" w:eastAsia="Times New Roman" w:hAnsi="Times New Roman"/>
          <w:sz w:val="21"/>
          <w:szCs w:val="21"/>
          <w:color w:val="0071CE"/>
        </w:rPr>
      </w:pPr>
      <w:r>
        <w:rPr>
          <w:rFonts w:ascii="Arial" w:cs="Arial" w:eastAsia="Arial" w:hAnsi="Arial"/>
          <w:sz w:val="25"/>
          <w:szCs w:val="25"/>
          <w:color w:val="3E3935"/>
        </w:rPr>
        <w:t>Access to Outside Advisors</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Board and each Board Committee can select and retain the services of outside advisors at the Company’s expense.</w:t>
      </w:r>
    </w:p>
    <w:p>
      <w:pPr>
        <w:spacing w:after="0" w:line="14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3329305" cy="347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9305" cy="34798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62305" cy="662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3100" w:type="dxa"/>
            <w:vAlign w:val="bottom"/>
          </w:tcPr>
          <w:p>
            <w:pPr>
              <w:ind w:left="180"/>
              <w:spacing w:after="0"/>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Thomas M. Schoewe</w:t>
            </w:r>
          </w:p>
        </w:tc>
        <w:tc>
          <w:tcPr>
            <w:tcW w:w="0" w:type="dxa"/>
            <w:vAlign w:val="bottom"/>
          </w:tcPr>
          <w:p>
            <w:pPr>
              <w:spacing w:after="0"/>
              <w:rPr>
                <w:sz w:val="1"/>
                <w:szCs w:val="1"/>
                <w:color w:val="auto"/>
              </w:rPr>
            </w:pPr>
          </w:p>
        </w:tc>
      </w:tr>
      <w:tr>
        <w:trPr>
          <w:trHeight w:val="214"/>
        </w:trPr>
        <w:tc>
          <w:tcPr>
            <w:tcW w:w="2120" w:type="dxa"/>
            <w:vAlign w:val="bottom"/>
          </w:tcPr>
          <w:p>
            <w:pPr>
              <w:spacing w:after="0"/>
              <w:rPr>
                <w:sz w:val="18"/>
                <w:szCs w:val="18"/>
                <w:color w:val="auto"/>
              </w:rPr>
            </w:pPr>
          </w:p>
        </w:tc>
        <w:tc>
          <w:tcPr>
            <w:tcW w:w="3100" w:type="dxa"/>
            <w:vAlign w:val="bottom"/>
          </w:tcPr>
          <w:p>
            <w:pPr>
              <w:ind w:left="180"/>
              <w:spacing w:after="0" w:line="214" w:lineRule="exact"/>
              <w:rPr>
                <w:sz w:val="20"/>
                <w:szCs w:val="20"/>
                <w:color w:val="auto"/>
              </w:rPr>
            </w:pPr>
            <w:r>
              <w:rPr>
                <w:rFonts w:ascii="Arial" w:cs="Arial" w:eastAsia="Arial" w:hAnsi="Arial"/>
                <w:sz w:val="20"/>
                <w:szCs w:val="20"/>
                <w:color w:val="3E3935"/>
              </w:rPr>
              <w:t>(Chair), Wesley G. Bush, Linda</w:t>
            </w:r>
          </w:p>
        </w:tc>
        <w:tc>
          <w:tcPr>
            <w:tcW w:w="0" w:type="dxa"/>
            <w:vAlign w:val="bottom"/>
          </w:tcPr>
          <w:p>
            <w:pPr>
              <w:spacing w:after="0"/>
              <w:rPr>
                <w:sz w:val="1"/>
                <w:szCs w:val="1"/>
                <w:color w:val="auto"/>
              </w:rPr>
            </w:pPr>
          </w:p>
        </w:tc>
      </w:tr>
      <w:tr>
        <w:trPr>
          <w:trHeight w:val="214"/>
        </w:trPr>
        <w:tc>
          <w:tcPr>
            <w:tcW w:w="2120" w:type="dxa"/>
            <w:vAlign w:val="bottom"/>
          </w:tcPr>
          <w:p>
            <w:pPr>
              <w:spacing w:after="0"/>
              <w:rPr>
                <w:sz w:val="18"/>
                <w:szCs w:val="18"/>
                <w:color w:val="auto"/>
              </w:rPr>
            </w:pPr>
          </w:p>
        </w:tc>
        <w:tc>
          <w:tcPr>
            <w:tcW w:w="3100" w:type="dxa"/>
            <w:vAlign w:val="bottom"/>
          </w:tcPr>
          <w:p>
            <w:pPr>
              <w:ind w:left="180"/>
              <w:spacing w:after="0" w:line="214" w:lineRule="exact"/>
              <w:rPr>
                <w:sz w:val="20"/>
                <w:szCs w:val="20"/>
                <w:color w:val="auto"/>
              </w:rPr>
            </w:pPr>
            <w:r>
              <w:rPr>
                <w:rFonts w:ascii="Arial" w:cs="Arial" w:eastAsia="Arial" w:hAnsi="Arial"/>
                <w:sz w:val="20"/>
                <w:szCs w:val="20"/>
                <w:color w:val="3E3935"/>
                <w:w w:val="97"/>
              </w:rPr>
              <w:t>R. Gooden, Jane L. Mendillo, and</w:t>
            </w:r>
          </w:p>
        </w:tc>
        <w:tc>
          <w:tcPr>
            <w:tcW w:w="0" w:type="dxa"/>
            <w:vAlign w:val="bottom"/>
          </w:tcPr>
          <w:p>
            <w:pPr>
              <w:spacing w:after="0"/>
              <w:rPr>
                <w:sz w:val="1"/>
                <w:szCs w:val="1"/>
                <w:color w:val="auto"/>
              </w:rPr>
            </w:pPr>
          </w:p>
        </w:tc>
      </w:tr>
      <w:tr>
        <w:trPr>
          <w:trHeight w:val="257"/>
        </w:trPr>
        <w:tc>
          <w:tcPr>
            <w:tcW w:w="2120" w:type="dxa"/>
            <w:vAlign w:val="bottom"/>
            <w:vMerge w:val="restart"/>
          </w:tcPr>
          <w:p>
            <w:pPr>
              <w:spacing w:after="0"/>
              <w:rPr>
                <w:sz w:val="20"/>
                <w:szCs w:val="20"/>
                <w:color w:val="auto"/>
              </w:rPr>
            </w:pPr>
            <w:r>
              <w:rPr>
                <w:rFonts w:ascii="Arial" w:cs="Arial" w:eastAsia="Arial" w:hAnsi="Arial"/>
                <w:sz w:val="20"/>
                <w:szCs w:val="20"/>
                <w:b w:val="1"/>
                <w:bCs w:val="1"/>
                <w:color w:val="0071CE"/>
              </w:rPr>
              <w:t>Thomas M. Schoewe</w:t>
            </w:r>
          </w:p>
        </w:tc>
        <w:tc>
          <w:tcPr>
            <w:tcW w:w="3100" w:type="dxa"/>
            <w:vAlign w:val="bottom"/>
          </w:tcPr>
          <w:p>
            <w:pPr>
              <w:ind w:left="180"/>
              <w:spacing w:after="0"/>
              <w:rPr>
                <w:sz w:val="20"/>
                <w:szCs w:val="20"/>
                <w:color w:val="auto"/>
              </w:rPr>
            </w:pPr>
            <w:r>
              <w:rPr>
                <w:rFonts w:ascii="Arial" w:cs="Arial" w:eastAsia="Arial" w:hAnsi="Arial"/>
                <w:sz w:val="20"/>
                <w:szCs w:val="20"/>
                <w:color w:val="3E3935"/>
              </w:rPr>
              <w:t>Mark A. Tatum</w:t>
            </w:r>
          </w:p>
        </w:tc>
        <w:tc>
          <w:tcPr>
            <w:tcW w:w="0" w:type="dxa"/>
            <w:vAlign w:val="bottom"/>
          </w:tcPr>
          <w:p>
            <w:pPr>
              <w:spacing w:after="0"/>
              <w:rPr>
                <w:sz w:val="1"/>
                <w:szCs w:val="1"/>
                <w:color w:val="auto"/>
              </w:rPr>
            </w:pPr>
          </w:p>
        </w:tc>
      </w:tr>
      <w:tr>
        <w:trPr>
          <w:trHeight w:val="115"/>
        </w:trPr>
        <w:tc>
          <w:tcPr>
            <w:tcW w:w="2120" w:type="dxa"/>
            <w:vAlign w:val="bottom"/>
            <w:vMerge w:val="continue"/>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3100" w:type="dxa"/>
            <w:vAlign w:val="bottom"/>
          </w:tcPr>
          <w:p>
            <w:pPr>
              <w:ind w:left="180"/>
              <w:spacing w:after="0"/>
              <w:rPr>
                <w:sz w:val="20"/>
                <w:szCs w:val="20"/>
                <w:color w:val="auto"/>
              </w:rPr>
            </w:pPr>
            <w:r>
              <w:rPr>
                <w:rFonts w:ascii="Arial" w:cs="Arial" w:eastAsia="Arial" w:hAnsi="Arial"/>
                <w:sz w:val="20"/>
                <w:szCs w:val="20"/>
                <w:b w:val="1"/>
                <w:bCs w:val="1"/>
                <w:i w:val="1"/>
                <w:iCs w:val="1"/>
                <w:color w:val="00C1DE"/>
              </w:rPr>
              <w:t>Meetings held in 2021: 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3329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15" w:lineRule="exact"/>
        <w:rPr>
          <w:sz w:val="20"/>
          <w:szCs w:val="20"/>
          <w:color w:val="auto"/>
        </w:rPr>
      </w:pPr>
    </w:p>
    <w:p>
      <w:pPr>
        <w:ind w:left="380" w:right="20" w:hanging="213"/>
        <w:spacing w:after="0" w:line="259" w:lineRule="auto"/>
        <w:tabs>
          <w:tab w:leader="none" w:pos="298" w:val="left"/>
        </w:tabs>
        <w:numPr>
          <w:ilvl w:val="0"/>
          <w:numId w:val="27"/>
        </w:numPr>
        <w:rPr>
          <w:rFonts w:ascii="Times New Roman" w:cs="Times New Roman" w:eastAsia="Times New Roman" w:hAnsi="Times New Roman"/>
          <w:sz w:val="20"/>
          <w:szCs w:val="20"/>
          <w:color w:val="00C1DE"/>
        </w:rPr>
      </w:pPr>
      <w:r>
        <w:rPr>
          <w:rFonts w:ascii="Arial" w:cs="Arial" w:eastAsia="Arial" w:hAnsi="Arial"/>
          <w:sz w:val="20"/>
          <w:szCs w:val="20"/>
          <w:color w:val="00C1DE"/>
        </w:rPr>
        <w:t xml:space="preserve">  </w:t>
      </w:r>
      <w:r>
        <w:rPr>
          <w:rFonts w:ascii="Arial" w:cs="Arial" w:eastAsia="Arial" w:hAnsi="Arial"/>
          <w:sz w:val="20"/>
          <w:szCs w:val="20"/>
          <w:color w:val="3E3935"/>
        </w:rPr>
        <w:t>Monitors the effectiveness of GM’s financial reporting</w:t>
      </w:r>
      <w:r>
        <w:rPr>
          <w:rFonts w:ascii="Arial" w:cs="Arial" w:eastAsia="Arial" w:hAnsi="Arial"/>
          <w:sz w:val="20"/>
          <w:szCs w:val="20"/>
          <w:color w:val="00C1DE"/>
        </w:rPr>
        <w:t xml:space="preserve"> </w:t>
      </w:r>
      <w:r>
        <w:rPr>
          <w:rFonts w:ascii="Arial" w:cs="Arial" w:eastAsia="Arial" w:hAnsi="Arial"/>
          <w:sz w:val="20"/>
          <w:szCs w:val="20"/>
          <w:color w:val="3E3935"/>
        </w:rPr>
        <w:t>processes and systems, as well as disclosure and internal controls;</w:t>
      </w:r>
    </w:p>
    <w:p>
      <w:pPr>
        <w:spacing w:after="0" w:line="2" w:lineRule="exact"/>
        <w:rPr>
          <w:rFonts w:ascii="Times New Roman" w:cs="Times New Roman" w:eastAsia="Times New Roman" w:hAnsi="Times New Roman"/>
          <w:sz w:val="20"/>
          <w:szCs w:val="20"/>
          <w:color w:val="00C1DE"/>
        </w:rPr>
      </w:pPr>
    </w:p>
    <w:p>
      <w:pPr>
        <w:ind w:left="300" w:hanging="133"/>
        <w:spacing w:after="0"/>
        <w:tabs>
          <w:tab w:leader="none" w:pos="300" w:val="left"/>
        </w:tabs>
        <w:numPr>
          <w:ilvl w:val="0"/>
          <w:numId w:val="27"/>
        </w:numPr>
        <w:rPr>
          <w:rFonts w:ascii="Times New Roman" w:cs="Times New Roman" w:eastAsia="Times New Roman" w:hAnsi="Times New Roman"/>
          <w:sz w:val="20"/>
          <w:szCs w:val="20"/>
          <w:color w:val="00C1DE"/>
        </w:rPr>
      </w:pPr>
      <w:r>
        <w:rPr>
          <w:rFonts w:ascii="Arial" w:cs="Arial" w:eastAsia="Arial" w:hAnsi="Arial"/>
          <w:sz w:val="20"/>
          <w:szCs w:val="20"/>
          <w:color w:val="00C1DE"/>
        </w:rPr>
        <w:t xml:space="preserve">  </w:t>
      </w:r>
      <w:r>
        <w:rPr>
          <w:rFonts w:ascii="Arial" w:cs="Arial" w:eastAsia="Arial" w:hAnsi="Arial"/>
          <w:sz w:val="20"/>
          <w:szCs w:val="20"/>
          <w:color w:val="3E3935"/>
        </w:rPr>
        <w:t>Selects   and  engages  GM’s   external  auditors  and</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20"/>
          <w:szCs w:val="20"/>
          <w:color w:val="3E3935"/>
        </w:rPr>
        <w:t>reviews and evaluates the audit process;</w:t>
      </w:r>
    </w:p>
    <w:p>
      <w:pPr>
        <w:spacing w:after="0" w:line="24" w:lineRule="exact"/>
        <w:rPr>
          <w:sz w:val="20"/>
          <w:szCs w:val="20"/>
          <w:color w:val="auto"/>
        </w:rPr>
      </w:pPr>
    </w:p>
    <w:p>
      <w:pPr>
        <w:jc w:val="both"/>
        <w:ind w:left="380" w:right="20" w:hanging="213"/>
        <w:spacing w:after="0" w:line="257"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xml:space="preserve">  </w:t>
      </w:r>
      <w:r>
        <w:rPr>
          <w:rFonts w:ascii="Arial" w:cs="Arial" w:eastAsia="Arial" w:hAnsi="Arial"/>
          <w:sz w:val="20"/>
          <w:szCs w:val="20"/>
          <w:color w:val="3E3935"/>
        </w:rPr>
        <w:t>Reviews and evaluates the scope and performance of</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the internal audit function;</w:t>
      </w:r>
    </w:p>
    <w:p>
      <w:pPr>
        <w:jc w:val="both"/>
        <w:ind w:left="380" w:right="20" w:hanging="213"/>
        <w:spacing w:after="0" w:line="261" w:lineRule="auto"/>
        <w:rPr>
          <w:sz w:val="20"/>
          <w:szCs w:val="20"/>
          <w:color w:val="auto"/>
        </w:rPr>
      </w:pPr>
      <w:r>
        <w:rPr>
          <w:rFonts w:ascii="Times New Roman" w:cs="Times New Roman" w:eastAsia="Times New Roman" w:hAnsi="Times New Roman"/>
          <w:sz w:val="20"/>
          <w:szCs w:val="20"/>
          <w:color w:val="00C1DE"/>
        </w:rPr>
        <w:t xml:space="preserve">● </w:t>
      </w:r>
      <w:r>
        <w:rPr>
          <w:rFonts w:ascii="Arial" w:cs="Arial" w:eastAsia="Arial" w:hAnsi="Arial"/>
          <w:sz w:val="20"/>
          <w:szCs w:val="20"/>
          <w:color w:val="00C1DE"/>
        </w:rPr>
        <w:t xml:space="preserve">  </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Facilitates</w:t>
      </w:r>
      <w:r>
        <w:rPr>
          <w:sz w:val="20"/>
          <w:szCs w:val="20"/>
          <w:color w:val="auto"/>
        </w:rPr>
        <w:t xml:space="preserve"> </w:t>
      </w:r>
      <w:r>
        <w:rPr>
          <w:rFonts w:ascii="Arial" w:cs="Arial" w:eastAsia="Arial" w:hAnsi="Arial"/>
          <w:sz w:val="20"/>
          <w:szCs w:val="20"/>
          <w:color w:val="3E3935"/>
        </w:rPr>
        <w:t>ongoing communications about GM’s financial position and affairs between the Board and the external auditors, GM’s financial and senior management, and GM’s internal audit staff;</w:t>
      </w:r>
    </w:p>
    <w:p>
      <w:pPr>
        <w:spacing w:after="0" w:line="3" w:lineRule="exact"/>
        <w:rPr>
          <w:sz w:val="20"/>
          <w:szCs w:val="20"/>
          <w:color w:val="auto"/>
        </w:rPr>
      </w:pPr>
    </w:p>
    <w:p>
      <w:pPr>
        <w:ind w:left="380" w:right="20" w:hanging="213"/>
        <w:spacing w:after="0" w:line="257" w:lineRule="auto"/>
        <w:tabs>
          <w:tab w:leader="none" w:pos="325" w:val="left"/>
        </w:tabs>
        <w:numPr>
          <w:ilvl w:val="0"/>
          <w:numId w:val="28"/>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GM’s policies and procedures regarding</w:t>
      </w:r>
      <w:r>
        <w:rPr>
          <w:rFonts w:ascii="Arial" w:cs="Arial" w:eastAsia="Arial" w:hAnsi="Arial"/>
          <w:sz w:val="20"/>
          <w:szCs w:val="20"/>
          <w:color w:val="00C1DE"/>
        </w:rPr>
        <w:t xml:space="preserve"> </w:t>
      </w:r>
      <w:r>
        <w:rPr>
          <w:rFonts w:ascii="Arial" w:cs="Arial" w:eastAsia="Arial" w:hAnsi="Arial"/>
          <w:sz w:val="20"/>
          <w:szCs w:val="20"/>
          <w:color w:val="3E3935"/>
        </w:rPr>
        <w:t>ethics and compliance;</w:t>
      </w:r>
    </w:p>
    <w:p>
      <w:pPr>
        <w:spacing w:after="0" w:line="1" w:lineRule="exact"/>
        <w:rPr>
          <w:rFonts w:ascii="Times New Roman" w:cs="Times New Roman" w:eastAsia="Times New Roman" w:hAnsi="Times New Roman"/>
          <w:sz w:val="20"/>
          <w:szCs w:val="20"/>
          <w:color w:val="00C1DE"/>
        </w:rPr>
      </w:pPr>
    </w:p>
    <w:p>
      <w:pPr>
        <w:ind w:left="360" w:hanging="193"/>
        <w:spacing w:after="0"/>
        <w:tabs>
          <w:tab w:leader="none" w:pos="360" w:val="left"/>
        </w:tabs>
        <w:numPr>
          <w:ilvl w:val="0"/>
          <w:numId w:val="28"/>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GM’s  ESG  reporting  processes  and control</w:t>
      </w:r>
    </w:p>
    <w:p>
      <w:pPr>
        <w:spacing w:after="0" w:line="23" w:lineRule="exact"/>
        <w:rPr>
          <w:sz w:val="20"/>
          <w:szCs w:val="20"/>
          <w:color w:val="auto"/>
        </w:rPr>
      </w:pPr>
    </w:p>
    <w:p>
      <w:pPr>
        <w:ind w:left="380" w:right="20"/>
        <w:spacing w:after="0" w:line="258" w:lineRule="auto"/>
        <w:rPr>
          <w:sz w:val="20"/>
          <w:szCs w:val="20"/>
          <w:color w:val="auto"/>
        </w:rPr>
      </w:pPr>
      <w:r>
        <w:rPr>
          <w:rFonts w:ascii="Arial" w:cs="Arial" w:eastAsia="Arial" w:hAnsi="Arial"/>
          <w:sz w:val="20"/>
          <w:szCs w:val="20"/>
          <w:color w:val="3E3935"/>
        </w:rPr>
        <w:t>procedures and annually approves GM’s Sustainability Report, starting in 2022; and</w:t>
      </w:r>
    </w:p>
    <w:p>
      <w:pPr>
        <w:jc w:val="both"/>
        <w:ind w:left="380" w:hanging="213"/>
        <w:spacing w:after="0" w:line="281"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xml:space="preserve">  </w:t>
      </w:r>
      <w:r>
        <w:rPr>
          <w:rFonts w:ascii="Arial" w:cs="Arial" w:eastAsia="Arial" w:hAnsi="Arial"/>
          <w:sz w:val="20"/>
          <w:szCs w:val="20"/>
          <w:color w:val="3E3935"/>
        </w:rPr>
        <w:t>Oversees</w:t>
      </w:r>
      <w:r>
        <w:rPr>
          <w:sz w:val="20"/>
          <w:szCs w:val="20"/>
          <w:color w:val="auto"/>
        </w:rPr>
        <w:t xml:space="preserve"> </w:t>
      </w:r>
      <w:r>
        <w:rPr>
          <w:rFonts w:ascii="Arial" w:cs="Arial" w:eastAsia="Arial" w:hAnsi="Arial"/>
          <w:sz w:val="20"/>
          <w:szCs w:val="20"/>
          <w:color w:val="3E3935"/>
        </w:rPr>
        <w:t>the preparation of the Audit Committee Report and related disclosures for the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646430</wp:posOffset>
            </wp:positionV>
            <wp:extent cx="2861945" cy="1673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61945" cy="167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49"/>
        <w:spacing w:after="0"/>
        <w:rPr>
          <w:sz w:val="20"/>
          <w:szCs w:val="20"/>
          <w:color w:val="auto"/>
        </w:rPr>
      </w:pPr>
      <w:r>
        <w:rPr>
          <w:rFonts w:ascii="Arial" w:cs="Arial" w:eastAsia="Arial" w:hAnsi="Arial"/>
          <w:sz w:val="20"/>
          <w:szCs w:val="20"/>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-809625</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-274955</wp:posOffset>
            </wp:positionV>
            <wp:extent cx="3388360" cy="1061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88360" cy="10617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Arial" w:cs="Arial" w:eastAsia="Arial" w:hAnsi="Arial"/>
                <w:sz w:val="20"/>
                <w:szCs w:val="20"/>
                <w:b w:val="1"/>
                <w:bCs w:val="1"/>
                <w:i w:val="1"/>
                <w:iCs w:val="1"/>
                <w:color w:val="00C1DE"/>
                <w:w w:val="97"/>
              </w:rPr>
              <w:t xml:space="preserve">Members: </w:t>
            </w:r>
            <w:r>
              <w:rPr>
                <w:rFonts w:ascii="Arial" w:cs="Arial" w:eastAsia="Arial" w:hAnsi="Arial"/>
                <w:sz w:val="20"/>
                <w:szCs w:val="20"/>
                <w:color w:val="3E3935"/>
                <w:w w:val="97"/>
              </w:rPr>
              <w:t>Carol M. Stephenson</w:t>
            </w: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3020" w:type="dxa"/>
            <w:vAlign w:val="bottom"/>
          </w:tcPr>
          <w:p>
            <w:pPr>
              <w:ind w:left="180"/>
              <w:spacing w:after="0" w:line="214" w:lineRule="exact"/>
              <w:rPr>
                <w:sz w:val="20"/>
                <w:szCs w:val="20"/>
                <w:color w:val="auto"/>
              </w:rPr>
            </w:pPr>
            <w:r>
              <w:rPr>
                <w:rFonts w:ascii="Arial" w:cs="Arial" w:eastAsia="Arial" w:hAnsi="Arial"/>
                <w:sz w:val="20"/>
                <w:szCs w:val="20"/>
                <w:color w:val="3E3935"/>
                <w:w w:val="96"/>
              </w:rPr>
              <w:t>(Chair), Wesley G. Bush, Joseph</w:t>
            </w: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3020" w:type="dxa"/>
            <w:vAlign w:val="bottom"/>
          </w:tcPr>
          <w:p>
            <w:pPr>
              <w:ind w:left="180"/>
              <w:spacing w:after="0" w:line="214" w:lineRule="exact"/>
              <w:rPr>
                <w:sz w:val="20"/>
                <w:szCs w:val="20"/>
                <w:color w:val="auto"/>
              </w:rPr>
            </w:pPr>
            <w:r>
              <w:rPr>
                <w:rFonts w:ascii="Arial" w:cs="Arial" w:eastAsia="Arial" w:hAnsi="Arial"/>
                <w:sz w:val="20"/>
                <w:szCs w:val="20"/>
                <w:color w:val="3E3935"/>
                <w:w w:val="99"/>
              </w:rPr>
              <w:t>Jimenez, Patricia F. Russo, and</w:t>
            </w:r>
          </w:p>
        </w:tc>
        <w:tc>
          <w:tcPr>
            <w:tcW w:w="0" w:type="dxa"/>
            <w:vAlign w:val="bottom"/>
          </w:tcPr>
          <w:p>
            <w:pPr>
              <w:spacing w:after="0"/>
              <w:rPr>
                <w:sz w:val="1"/>
                <w:szCs w:val="1"/>
                <w:color w:val="auto"/>
              </w:rPr>
            </w:pPr>
          </w:p>
        </w:tc>
      </w:tr>
      <w:tr>
        <w:trPr>
          <w:trHeight w:val="257"/>
        </w:trPr>
        <w:tc>
          <w:tcPr>
            <w:tcW w:w="2100" w:type="dxa"/>
            <w:vAlign w:val="bottom"/>
            <w:vMerge w:val="restart"/>
          </w:tcPr>
          <w:p>
            <w:pPr>
              <w:spacing w:after="0"/>
              <w:rPr>
                <w:sz w:val="20"/>
                <w:szCs w:val="20"/>
                <w:color w:val="auto"/>
              </w:rPr>
            </w:pPr>
            <w:r>
              <w:rPr>
                <w:rFonts w:ascii="Arial" w:cs="Arial" w:eastAsia="Arial" w:hAnsi="Arial"/>
                <w:sz w:val="20"/>
                <w:szCs w:val="20"/>
                <w:b w:val="1"/>
                <w:bCs w:val="1"/>
                <w:color w:val="0071CE"/>
              </w:rPr>
              <w:t>Carol M. Stephenson</w:t>
            </w:r>
          </w:p>
        </w:tc>
        <w:tc>
          <w:tcPr>
            <w:tcW w:w="3020" w:type="dxa"/>
            <w:vAlign w:val="bottom"/>
          </w:tcPr>
          <w:p>
            <w:pPr>
              <w:ind w:left="180"/>
              <w:spacing w:after="0"/>
              <w:rPr>
                <w:sz w:val="20"/>
                <w:szCs w:val="20"/>
                <w:color w:val="auto"/>
              </w:rPr>
            </w:pPr>
            <w:r>
              <w:rPr>
                <w:rFonts w:ascii="Arial" w:cs="Arial" w:eastAsia="Arial" w:hAnsi="Arial"/>
                <w:sz w:val="20"/>
                <w:szCs w:val="20"/>
                <w:color w:val="3E3935"/>
              </w:rPr>
              <w:t>Margaret C. Whitman</w:t>
            </w:r>
          </w:p>
        </w:tc>
        <w:tc>
          <w:tcPr>
            <w:tcW w:w="0" w:type="dxa"/>
            <w:vAlign w:val="bottom"/>
          </w:tcPr>
          <w:p>
            <w:pPr>
              <w:spacing w:after="0"/>
              <w:rPr>
                <w:sz w:val="1"/>
                <w:szCs w:val="1"/>
                <w:color w:val="auto"/>
              </w:rPr>
            </w:pPr>
          </w:p>
        </w:tc>
      </w:tr>
      <w:tr>
        <w:trPr>
          <w:trHeight w:val="115"/>
        </w:trPr>
        <w:tc>
          <w:tcPr>
            <w:tcW w:w="210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10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3020" w:type="dxa"/>
            <w:vAlign w:val="bottom"/>
          </w:tcPr>
          <w:p>
            <w:pPr>
              <w:ind w:left="180"/>
              <w:spacing w:after="0"/>
              <w:rPr>
                <w:sz w:val="20"/>
                <w:szCs w:val="20"/>
                <w:color w:val="auto"/>
              </w:rPr>
            </w:pPr>
            <w:r>
              <w:rPr>
                <w:rFonts w:ascii="Arial" w:cs="Arial" w:eastAsia="Arial" w:hAnsi="Arial"/>
                <w:sz w:val="20"/>
                <w:szCs w:val="20"/>
                <w:b w:val="1"/>
                <w:bCs w:val="1"/>
                <w:i w:val="1"/>
                <w:iCs w:val="1"/>
                <w:color w:val="00C1DE"/>
              </w:rPr>
              <w:t>Meetings held in 2021: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30480</wp:posOffset>
            </wp:positionV>
            <wp:extent cx="33883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00" w:lineRule="exact"/>
        <w:rPr>
          <w:sz w:val="20"/>
          <w:szCs w:val="20"/>
          <w:color w:val="auto"/>
        </w:rPr>
      </w:pPr>
    </w:p>
    <w:p>
      <w:pPr>
        <w:ind w:left="9"/>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15" w:lineRule="exact"/>
        <w:rPr>
          <w:sz w:val="20"/>
          <w:szCs w:val="20"/>
          <w:color w:val="auto"/>
        </w:rPr>
      </w:pPr>
    </w:p>
    <w:p>
      <w:pPr>
        <w:ind w:left="209" w:hanging="209"/>
        <w:spacing w:after="0" w:line="257" w:lineRule="auto"/>
        <w:tabs>
          <w:tab w:leader="none" w:pos="221" w:val="left"/>
        </w:tabs>
        <w:numPr>
          <w:ilvl w:val="0"/>
          <w:numId w:val="29"/>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the Company’s executive compensation policies, practices, and programs;</w:t>
      </w:r>
    </w:p>
    <w:p>
      <w:pPr>
        <w:jc w:val="both"/>
        <w:ind w:left="209" w:hanging="213"/>
        <w:spacing w:after="0" w:line="261" w:lineRule="auto"/>
        <w:rPr>
          <w:sz w:val="20"/>
          <w:szCs w:val="20"/>
          <w:color w:val="auto"/>
        </w:rPr>
      </w:pP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Reviews</w:t>
      </w:r>
      <w:r>
        <w:rPr>
          <w:sz w:val="20"/>
          <w:szCs w:val="20"/>
          <w:color w:val="auto"/>
        </w:rPr>
        <w:t xml:space="preserve"> </w:t>
      </w:r>
      <w:r>
        <w:rPr>
          <w:rFonts w:ascii="Arial" w:cs="Arial" w:eastAsia="Arial" w:hAnsi="Arial"/>
          <w:sz w:val="20"/>
          <w:szCs w:val="20"/>
          <w:color w:val="3E3935"/>
        </w:rPr>
        <w:t>and approves corporate goals and objectives for compensation, evaluates performance (along with the full Board), and determines compensation levels for the CEO;</w:t>
      </w:r>
    </w:p>
    <w:p>
      <w:pPr>
        <w:spacing w:after="0" w:line="3" w:lineRule="exact"/>
        <w:rPr>
          <w:sz w:val="20"/>
          <w:szCs w:val="20"/>
          <w:color w:val="auto"/>
        </w:rPr>
      </w:pPr>
    </w:p>
    <w:p>
      <w:pPr>
        <w:jc w:val="both"/>
        <w:ind w:left="209" w:hanging="209"/>
        <w:spacing w:after="0" w:line="260" w:lineRule="auto"/>
        <w:tabs>
          <w:tab w:leader="none" w:pos="140" w:val="left"/>
        </w:tabs>
        <w:numPr>
          <w:ilvl w:val="0"/>
          <w:numId w:val="30"/>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and approves compensation of NEOs,</w:t>
      </w:r>
      <w:r>
        <w:rPr>
          <w:rFonts w:ascii="Arial" w:cs="Arial" w:eastAsia="Arial" w:hAnsi="Arial"/>
          <w:sz w:val="20"/>
          <w:szCs w:val="20"/>
          <w:color w:val="00C1DE"/>
        </w:rPr>
        <w:t xml:space="preserve"> </w:t>
      </w:r>
      <w:r>
        <w:rPr>
          <w:rFonts w:ascii="Arial" w:cs="Arial" w:eastAsia="Arial" w:hAnsi="Arial"/>
          <w:sz w:val="20"/>
          <w:szCs w:val="20"/>
          <w:color w:val="3E3935"/>
        </w:rPr>
        <w:t>executive officers, and other senior leaders under its purview;</w:t>
      </w:r>
    </w:p>
    <w:p>
      <w:pPr>
        <w:ind w:left="209" w:hanging="209"/>
        <w:spacing w:after="0" w:line="260" w:lineRule="auto"/>
        <w:tabs>
          <w:tab w:leader="none" w:pos="126" w:val="left"/>
        </w:tabs>
        <w:numPr>
          <w:ilvl w:val="0"/>
          <w:numId w:val="30"/>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compensation policies and practices so that</w:t>
      </w:r>
      <w:r>
        <w:rPr>
          <w:rFonts w:ascii="Arial" w:cs="Arial" w:eastAsia="Arial" w:hAnsi="Arial"/>
          <w:sz w:val="20"/>
          <w:szCs w:val="20"/>
          <w:color w:val="00C1DE"/>
        </w:rPr>
        <w:t xml:space="preserve"> </w:t>
      </w:r>
      <w:r>
        <w:rPr>
          <w:rFonts w:ascii="Arial" w:cs="Arial" w:eastAsia="Arial" w:hAnsi="Arial"/>
          <w:sz w:val="20"/>
          <w:szCs w:val="20"/>
          <w:color w:val="3E3935"/>
        </w:rPr>
        <w:t>the plans do not encourage unnecessary or excessive risk-taking; and</w:t>
      </w:r>
    </w:p>
    <w:p>
      <w:pPr>
        <w:ind w:left="209" w:hanging="209"/>
        <w:spacing w:after="0" w:line="275" w:lineRule="auto"/>
        <w:tabs>
          <w:tab w:leader="none" w:pos="126" w:val="left"/>
        </w:tabs>
        <w:numPr>
          <w:ilvl w:val="0"/>
          <w:numId w:val="30"/>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compensation policies and</w:t>
      </w:r>
      <w:r>
        <w:rPr>
          <w:rFonts w:ascii="Arial" w:cs="Arial" w:eastAsia="Arial" w:hAnsi="Arial"/>
          <w:sz w:val="20"/>
          <w:szCs w:val="20"/>
          <w:color w:val="00C1DE"/>
        </w:rPr>
        <w:t xml:space="preserve"> </w:t>
      </w:r>
      <w:r>
        <w:rPr>
          <w:rFonts w:ascii="Arial" w:cs="Arial" w:eastAsia="Arial" w:hAnsi="Arial"/>
          <w:sz w:val="20"/>
          <w:szCs w:val="20"/>
          <w:color w:val="3E3935"/>
        </w:rPr>
        <w:t>practices in an effort to promote diversity and inclusion.</w:t>
      </w:r>
    </w:p>
    <w:p>
      <w:pPr>
        <w:spacing w:after="0" w:line="111" w:lineRule="exact"/>
        <w:rPr>
          <w:sz w:val="20"/>
          <w:szCs w:val="20"/>
          <w:color w:val="auto"/>
        </w:rPr>
      </w:pPr>
    </w:p>
    <w:p>
      <w:pPr>
        <w:jc w:val="both"/>
        <w:ind w:left="9"/>
        <w:spacing w:after="0" w:line="228" w:lineRule="auto"/>
        <w:rPr>
          <w:sz w:val="20"/>
          <w:szCs w:val="20"/>
          <w:color w:val="auto"/>
        </w:rPr>
      </w:pPr>
      <w:r>
        <w:rPr>
          <w:rFonts w:ascii="Arial" w:cs="Arial" w:eastAsia="Arial" w:hAnsi="Arial"/>
          <w:sz w:val="20"/>
          <w:szCs w:val="20"/>
          <w:color w:val="3E3935"/>
        </w:rPr>
        <w:t>The Board has determined that all members of the Compensation Committee meet heightened independence and qualification criteria in accordance with NYSE listing standards and SEC rules. The Compensation Committee’s charter permits the Committee to delegate its authority to members of management and also form and delegate authority to subcommittees consisting of one or more members when it deems it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100965</wp:posOffset>
            </wp:positionV>
            <wp:extent cx="2861945" cy="1664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61945" cy="166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31"/>
            <w:col w:w="5229"/>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3337560" cy="415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37560" cy="415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662305" cy="662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20"/>
                <w:szCs w:val="20"/>
                <w:b w:val="1"/>
                <w:bCs w:val="1"/>
                <w:i w:val="1"/>
                <w:iCs w:val="1"/>
                <w:color w:val="00C1DE"/>
                <w:w w:val="97"/>
              </w:rPr>
              <w:t xml:space="preserve">Members: </w:t>
            </w:r>
            <w:r>
              <w:rPr>
                <w:rFonts w:ascii="Arial" w:cs="Arial" w:eastAsia="Arial" w:hAnsi="Arial"/>
                <w:sz w:val="20"/>
                <w:szCs w:val="20"/>
                <w:color w:val="3E3935"/>
                <w:w w:val="97"/>
              </w:rPr>
              <w:t>Joseph Jimenez (Chair),</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3340" w:type="dxa"/>
            <w:vAlign w:val="bottom"/>
          </w:tcPr>
          <w:p>
            <w:pPr>
              <w:ind w:left="220"/>
              <w:spacing w:after="0" w:line="214" w:lineRule="exact"/>
              <w:rPr>
                <w:sz w:val="20"/>
                <w:szCs w:val="20"/>
                <w:color w:val="auto"/>
              </w:rPr>
            </w:pPr>
            <w:r>
              <w:rPr>
                <w:rFonts w:ascii="Arial" w:cs="Arial" w:eastAsia="Arial" w:hAnsi="Arial"/>
                <w:sz w:val="20"/>
                <w:szCs w:val="20"/>
                <w:color w:val="3E3935"/>
              </w:rPr>
              <w:t>Wesley G. Bush, Jane L. Mendillo,</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3340" w:type="dxa"/>
            <w:vAlign w:val="bottom"/>
          </w:tcPr>
          <w:p>
            <w:pPr>
              <w:ind w:left="220"/>
              <w:spacing w:after="0" w:line="214" w:lineRule="exact"/>
              <w:rPr>
                <w:sz w:val="20"/>
                <w:szCs w:val="20"/>
                <w:color w:val="auto"/>
              </w:rPr>
            </w:pPr>
            <w:r>
              <w:rPr>
                <w:rFonts w:ascii="Arial" w:cs="Arial" w:eastAsia="Arial" w:hAnsi="Arial"/>
                <w:sz w:val="20"/>
                <w:szCs w:val="20"/>
                <w:color w:val="3E3935"/>
              </w:rPr>
              <w:t>Judith A. Miscik, Patricia F. Russo,</w:t>
            </w:r>
          </w:p>
        </w:tc>
        <w:tc>
          <w:tcPr>
            <w:tcW w:w="0" w:type="dxa"/>
            <w:vAlign w:val="bottom"/>
          </w:tcPr>
          <w:p>
            <w:pPr>
              <w:spacing w:after="0"/>
              <w:rPr>
                <w:sz w:val="1"/>
                <w:szCs w:val="1"/>
                <w:color w:val="auto"/>
              </w:rPr>
            </w:pPr>
          </w:p>
        </w:tc>
      </w:tr>
      <w:tr>
        <w:trPr>
          <w:trHeight w:val="257"/>
        </w:trPr>
        <w:tc>
          <w:tcPr>
            <w:tcW w:w="1760" w:type="dxa"/>
            <w:vAlign w:val="bottom"/>
            <w:vMerge w:val="restart"/>
          </w:tcPr>
          <w:p>
            <w:pPr>
              <w:spacing w:after="0"/>
              <w:rPr>
                <w:sz w:val="20"/>
                <w:szCs w:val="20"/>
                <w:color w:val="auto"/>
              </w:rPr>
            </w:pPr>
            <w:r>
              <w:rPr>
                <w:rFonts w:ascii="Arial" w:cs="Arial" w:eastAsia="Arial" w:hAnsi="Arial"/>
                <w:sz w:val="20"/>
                <w:szCs w:val="20"/>
                <w:b w:val="1"/>
                <w:bCs w:val="1"/>
                <w:color w:val="0071CE"/>
              </w:rPr>
              <w:t>Joseph Jimenez</w:t>
            </w:r>
          </w:p>
        </w:tc>
        <w:tc>
          <w:tcPr>
            <w:tcW w:w="3340" w:type="dxa"/>
            <w:vAlign w:val="bottom"/>
          </w:tcPr>
          <w:p>
            <w:pPr>
              <w:ind w:left="220"/>
              <w:spacing w:after="0"/>
              <w:rPr>
                <w:sz w:val="20"/>
                <w:szCs w:val="20"/>
                <w:color w:val="auto"/>
              </w:rPr>
            </w:pPr>
            <w:r>
              <w:rPr>
                <w:rFonts w:ascii="Arial" w:cs="Arial" w:eastAsia="Arial" w:hAnsi="Arial"/>
                <w:sz w:val="20"/>
                <w:szCs w:val="20"/>
                <w:color w:val="3E3935"/>
              </w:rPr>
              <w:t>and Thomas M. Schoewe</w:t>
            </w:r>
          </w:p>
        </w:tc>
        <w:tc>
          <w:tcPr>
            <w:tcW w:w="0" w:type="dxa"/>
            <w:vAlign w:val="bottom"/>
          </w:tcPr>
          <w:p>
            <w:pPr>
              <w:spacing w:after="0"/>
              <w:rPr>
                <w:sz w:val="1"/>
                <w:szCs w:val="1"/>
                <w:color w:val="auto"/>
              </w:rPr>
            </w:pPr>
          </w:p>
        </w:tc>
      </w:tr>
      <w:tr>
        <w:trPr>
          <w:trHeight w:val="155"/>
        </w:trPr>
        <w:tc>
          <w:tcPr>
            <w:tcW w:w="176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76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3340" w:type="dxa"/>
            <w:vAlign w:val="bottom"/>
          </w:tcPr>
          <w:p>
            <w:pPr>
              <w:ind w:left="220"/>
              <w:spacing w:after="0"/>
              <w:rPr>
                <w:sz w:val="20"/>
                <w:szCs w:val="20"/>
                <w:color w:val="auto"/>
              </w:rPr>
            </w:pPr>
            <w:r>
              <w:rPr>
                <w:rFonts w:ascii="Arial" w:cs="Arial" w:eastAsia="Arial" w:hAnsi="Arial"/>
                <w:sz w:val="20"/>
                <w:szCs w:val="20"/>
                <w:b w:val="1"/>
                <w:bCs w:val="1"/>
                <w:i w:val="1"/>
                <w:iCs w:val="1"/>
                <w:color w:val="00C1DE"/>
              </w:rPr>
              <w:t>Meetings held in 2021: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3337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15" w:lineRule="exact"/>
        <w:rPr>
          <w:sz w:val="20"/>
          <w:szCs w:val="20"/>
          <w:color w:val="auto"/>
        </w:rPr>
      </w:pPr>
    </w:p>
    <w:p>
      <w:pPr>
        <w:ind w:left="380" w:hanging="213"/>
        <w:spacing w:after="0" w:line="257" w:lineRule="auto"/>
        <w:tabs>
          <w:tab w:leader="none" w:pos="406" w:val="left"/>
        </w:tabs>
        <w:numPr>
          <w:ilvl w:val="0"/>
          <w:numId w:val="31"/>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financial policies, strategies, and capital structure;</w:t>
      </w:r>
    </w:p>
    <w:p>
      <w:pPr>
        <w:jc w:val="both"/>
        <w:ind w:left="380" w:hanging="213"/>
        <w:spacing w:after="0" w:line="275" w:lineRule="auto"/>
        <w:tabs>
          <w:tab w:leader="none" w:pos="311" w:val="left"/>
        </w:tabs>
        <w:numPr>
          <w:ilvl w:val="0"/>
          <w:numId w:val="31"/>
        </w:numPr>
        <w:rPr>
          <w:rFonts w:ascii="Times New Roman" w:cs="Times New Roman" w:eastAsia="Times New Roman" w:hAnsi="Times New Roman"/>
          <w:sz w:val="19"/>
          <w:szCs w:val="19"/>
          <w:color w:val="00C1DE"/>
        </w:rPr>
      </w:pPr>
      <w:r>
        <w:rPr>
          <w:rFonts w:ascii="Arial" w:cs="Arial" w:eastAsia="Arial" w:hAnsi="Arial"/>
          <w:sz w:val="19"/>
          <w:szCs w:val="19"/>
          <w:color w:val="00C1DE"/>
        </w:rPr>
        <w:t xml:space="preserve">   </w:t>
      </w:r>
      <w:r>
        <w:rPr>
          <w:rFonts w:ascii="Arial" w:cs="Arial" w:eastAsia="Arial" w:hAnsi="Arial"/>
          <w:sz w:val="19"/>
          <w:szCs w:val="19"/>
          <w:color w:val="3E3935"/>
        </w:rPr>
        <w:t>Reviews the Company’s cash management policies and</w:t>
      </w:r>
      <w:r>
        <w:rPr>
          <w:rFonts w:ascii="Arial" w:cs="Arial" w:eastAsia="Arial" w:hAnsi="Arial"/>
          <w:sz w:val="19"/>
          <w:szCs w:val="19"/>
          <w:color w:val="00C1DE"/>
        </w:rPr>
        <w:t xml:space="preserve"> </w:t>
      </w:r>
      <w:r>
        <w:rPr>
          <w:rFonts w:ascii="Arial" w:cs="Arial" w:eastAsia="Arial" w:hAnsi="Arial"/>
          <w:sz w:val="19"/>
          <w:szCs w:val="19"/>
          <w:color w:val="3E3935"/>
        </w:rPr>
        <w:t>proposed capital plans, capital expenditures, dividend actions, stock repurchase programs, issuances of debt or equity securities, and credit facility and other borrowings;</w:t>
      </w:r>
    </w:p>
    <w:p>
      <w:pPr>
        <w:jc w:val="both"/>
        <w:ind w:left="380" w:hanging="213"/>
        <w:spacing w:after="0" w:line="257" w:lineRule="auto"/>
        <w:tabs>
          <w:tab w:leader="none" w:pos="338" w:val="left"/>
        </w:tabs>
        <w:numPr>
          <w:ilvl w:val="0"/>
          <w:numId w:val="31"/>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any significant financial exposures and risks,</w:t>
      </w:r>
      <w:r>
        <w:rPr>
          <w:rFonts w:ascii="Arial" w:cs="Arial" w:eastAsia="Arial" w:hAnsi="Arial"/>
          <w:sz w:val="20"/>
          <w:szCs w:val="20"/>
          <w:color w:val="00C1DE"/>
        </w:rPr>
        <w:t xml:space="preserve"> </w:t>
      </w:r>
      <w:r>
        <w:rPr>
          <w:rFonts w:ascii="Arial" w:cs="Arial" w:eastAsia="Arial" w:hAnsi="Arial"/>
          <w:sz w:val="20"/>
          <w:szCs w:val="20"/>
          <w:color w:val="3E3935"/>
        </w:rPr>
        <w:t>including foreign exchange, interest rate, and commodities exposures, and the use of derivatives to hedge those exposures; and</w:t>
      </w:r>
    </w:p>
    <w:p>
      <w:pPr>
        <w:spacing w:after="0" w:line="3" w:lineRule="exact"/>
        <w:rPr>
          <w:rFonts w:ascii="Times New Roman" w:cs="Times New Roman" w:eastAsia="Times New Roman" w:hAnsi="Times New Roman"/>
          <w:sz w:val="20"/>
          <w:szCs w:val="20"/>
          <w:color w:val="00C1DE"/>
        </w:rPr>
      </w:pPr>
    </w:p>
    <w:p>
      <w:pPr>
        <w:jc w:val="both"/>
        <w:ind w:left="380" w:hanging="213"/>
        <w:spacing w:after="0" w:line="254" w:lineRule="auto"/>
        <w:tabs>
          <w:tab w:leader="none" w:pos="325" w:val="left"/>
        </w:tabs>
        <w:numPr>
          <w:ilvl w:val="0"/>
          <w:numId w:val="31"/>
        </w:numPr>
        <w:rPr>
          <w:rFonts w:ascii="Times New Roman" w:cs="Times New Roman" w:eastAsia="Times New Roman" w:hAnsi="Times New Roman"/>
          <w:sz w:val="19"/>
          <w:szCs w:val="19"/>
          <w:color w:val="00C1DE"/>
        </w:rPr>
      </w:pPr>
      <w:r>
        <w:rPr>
          <w:rFonts w:ascii="Arial" w:cs="Arial" w:eastAsia="Arial" w:hAnsi="Arial"/>
          <w:sz w:val="19"/>
          <w:szCs w:val="19"/>
          <w:color w:val="00C1DE"/>
        </w:rPr>
        <w:t>  </w:t>
      </w:r>
      <w:r>
        <w:rPr>
          <w:rFonts w:ascii="Arial" w:cs="Arial" w:eastAsia="Arial" w:hAnsi="Arial"/>
          <w:sz w:val="19"/>
          <w:szCs w:val="19"/>
          <w:color w:val="3E3935"/>
        </w:rPr>
        <w:t>Reviews the regulatory compliance, administration,</w:t>
      </w:r>
      <w:r>
        <w:rPr>
          <w:rFonts w:ascii="Arial" w:cs="Arial" w:eastAsia="Arial" w:hAnsi="Arial"/>
          <w:sz w:val="19"/>
          <w:szCs w:val="19"/>
          <w:color w:val="00C1DE"/>
        </w:rPr>
        <w:t xml:space="preserve"> </w:t>
      </w:r>
      <w:r>
        <w:rPr>
          <w:rFonts w:ascii="Arial" w:cs="Arial" w:eastAsia="Arial" w:hAnsi="Arial"/>
          <w:sz w:val="19"/>
          <w:szCs w:val="19"/>
          <w:color w:val="3E3935"/>
        </w:rPr>
        <w:t>financing, investment performance, risk and liability profile, and funding of the Company’s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1192530</wp:posOffset>
            </wp:positionV>
            <wp:extent cx="2861945" cy="1324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61945" cy="1324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-198120</wp:posOffset>
            </wp:positionV>
            <wp:extent cx="3380105" cy="415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80105" cy="4159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FFFFFF"/>
        </w:rPr>
        <w:t>CORPORATE RESPONSIBILITY</w:t>
      </w:r>
    </w:p>
    <w:p>
      <w:pPr>
        <w:spacing w:after="0" w:line="167" w:lineRule="exact"/>
        <w:rPr>
          <w:sz w:val="20"/>
          <w:szCs w:val="20"/>
          <w:color w:val="auto"/>
        </w:rPr>
      </w:pPr>
    </w:p>
    <w:p>
      <w:pPr>
        <w:ind w:left="1960" w:right="100"/>
        <w:spacing w:after="0" w:line="234" w:lineRule="auto"/>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Patricia F. Russo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Jane L. Mendillo, Carol M. Stephenson, Mark A. Tatum, and Margaret C.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662305" cy="662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1CE"/>
        </w:rPr>
        <w:t>Patricia F. Russo</w:t>
      </w:r>
    </w:p>
    <w:p>
      <w:pPr>
        <w:spacing w:after="0" w:line="182" w:lineRule="auto"/>
        <w:tabs>
          <w:tab w:leader="none" w:pos="1940" w:val="left"/>
        </w:tabs>
        <w:rPr>
          <w:sz w:val="20"/>
          <w:szCs w:val="20"/>
          <w:color w:val="auto"/>
        </w:rPr>
      </w:pPr>
      <w:r>
        <w:rPr>
          <w:rFonts w:ascii="Arial" w:cs="Arial" w:eastAsia="Arial" w:hAnsi="Arial"/>
          <w:sz w:val="31"/>
          <w:szCs w:val="31"/>
          <w:b w:val="1"/>
          <w:bCs w:val="1"/>
          <w:color w:val="0071CE"/>
          <w:vertAlign w:val="superscript"/>
        </w:rPr>
        <w:t>Chair</w:t>
      </w:r>
      <w:r>
        <w:rPr>
          <w:sz w:val="20"/>
          <w:szCs w:val="20"/>
          <w:color w:val="auto"/>
        </w:rPr>
        <w:tab/>
      </w:r>
      <w:r>
        <w:rPr>
          <w:rFonts w:ascii="Arial" w:cs="Arial" w:eastAsia="Arial" w:hAnsi="Arial"/>
          <w:sz w:val="17"/>
          <w:szCs w:val="17"/>
          <w:b w:val="1"/>
          <w:bCs w:val="1"/>
          <w:i w:val="1"/>
          <w:iCs w:val="1"/>
          <w:color w:val="00C1DE"/>
        </w:rPr>
        <w:t>Meetings held in 2021: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45720</wp:posOffset>
            </wp:positionV>
            <wp:extent cx="3380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Key Responsibilities</w:t>
      </w:r>
    </w:p>
    <w:p>
      <w:pPr>
        <w:jc w:val="both"/>
        <w:ind w:left="220" w:hanging="215"/>
        <w:spacing w:after="0" w:line="232" w:lineRule="auto"/>
        <w:tabs>
          <w:tab w:leader="none" w:pos="205" w:val="left"/>
        </w:tabs>
        <w:numPr>
          <w:ilvl w:val="0"/>
          <w:numId w:val="32"/>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the Company’s corporate governance framework, including all significant governance policies and procedures;</w:t>
      </w:r>
    </w:p>
    <w:p>
      <w:pPr>
        <w:jc w:val="both"/>
        <w:ind w:left="220" w:hanging="215"/>
        <w:spacing w:after="0" w:line="259" w:lineRule="auto"/>
        <w:tabs>
          <w:tab w:leader="none" w:pos="219" w:val="left"/>
        </w:tabs>
        <w:numPr>
          <w:ilvl w:val="0"/>
          <w:numId w:val="32"/>
        </w:numPr>
        <w:rPr>
          <w:rFonts w:ascii="Times New Roman" w:cs="Times New Roman" w:eastAsia="Times New Roman" w:hAnsi="Times New Roman"/>
          <w:sz w:val="20"/>
          <w:szCs w:val="20"/>
          <w:color w:val="00C1DE"/>
        </w:rPr>
      </w:pPr>
      <w:r>
        <w:rPr>
          <w:rFonts w:ascii="Arial" w:cs="Arial" w:eastAsia="Arial" w:hAnsi="Arial"/>
          <w:sz w:val="20"/>
          <w:szCs w:val="20"/>
          <w:color w:val="3E3935"/>
        </w:rPr>
        <w:t>Monitors Company policies and strategies related to corporate responsibility, sustainability, and political contributions and lobbying activities;</w:t>
      </w:r>
    </w:p>
    <w:p>
      <w:pPr>
        <w:spacing w:after="0" w:line="2" w:lineRule="exact"/>
        <w:rPr>
          <w:rFonts w:ascii="Times New Roman" w:cs="Times New Roman" w:eastAsia="Times New Roman" w:hAnsi="Times New Roman"/>
          <w:sz w:val="20"/>
          <w:szCs w:val="20"/>
          <w:color w:val="00C1DE"/>
        </w:rPr>
      </w:pPr>
    </w:p>
    <w:p>
      <w:pPr>
        <w:ind w:left="220" w:hanging="215"/>
        <w:spacing w:after="0" w:line="257" w:lineRule="auto"/>
        <w:tabs>
          <w:tab w:leader="none" w:pos="205" w:val="left"/>
        </w:tabs>
        <w:numPr>
          <w:ilvl w:val="0"/>
          <w:numId w:val="32"/>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the appropriate composition of the Board and recommends director nominees;</w:t>
      </w:r>
    </w:p>
    <w:p>
      <w:pPr>
        <w:spacing w:after="0" w:line="1" w:lineRule="exact"/>
        <w:rPr>
          <w:rFonts w:ascii="Times New Roman" w:cs="Times New Roman" w:eastAsia="Times New Roman" w:hAnsi="Times New Roman"/>
          <w:sz w:val="20"/>
          <w:szCs w:val="20"/>
          <w:color w:val="00C1DE"/>
        </w:rPr>
      </w:pPr>
    </w:p>
    <w:p>
      <w:pPr>
        <w:ind w:left="220" w:right="20" w:hanging="215"/>
        <w:spacing w:after="0" w:line="257" w:lineRule="auto"/>
        <w:tabs>
          <w:tab w:leader="none" w:pos="219" w:val="left"/>
        </w:tabs>
        <w:numPr>
          <w:ilvl w:val="0"/>
          <w:numId w:val="32"/>
        </w:numPr>
        <w:rPr>
          <w:rFonts w:ascii="Times New Roman" w:cs="Times New Roman" w:eastAsia="Times New Roman" w:hAnsi="Times New Roman"/>
          <w:sz w:val="20"/>
          <w:szCs w:val="20"/>
          <w:color w:val="00C1DE"/>
        </w:rPr>
      </w:pPr>
      <w:r>
        <w:rPr>
          <w:rFonts w:ascii="Arial" w:cs="Arial" w:eastAsia="Arial" w:hAnsi="Arial"/>
          <w:sz w:val="20"/>
          <w:szCs w:val="20"/>
          <w:color w:val="3E3935"/>
        </w:rPr>
        <w:t>Monitors the self-evaluation process of the Board and Committees;</w:t>
      </w:r>
    </w:p>
    <w:p>
      <w:pPr>
        <w:spacing w:after="0" w:line="1" w:lineRule="exact"/>
        <w:rPr>
          <w:rFonts w:ascii="Times New Roman" w:cs="Times New Roman" w:eastAsia="Times New Roman" w:hAnsi="Times New Roman"/>
          <w:sz w:val="20"/>
          <w:szCs w:val="20"/>
          <w:color w:val="00C1DE"/>
        </w:rPr>
      </w:pPr>
    </w:p>
    <w:p>
      <w:pPr>
        <w:ind w:left="220" w:hanging="215"/>
        <w:spacing w:after="0" w:line="264" w:lineRule="auto"/>
        <w:tabs>
          <w:tab w:leader="none" w:pos="179" w:val="left"/>
        </w:tabs>
        <w:numPr>
          <w:ilvl w:val="0"/>
          <w:numId w:val="32"/>
        </w:numPr>
        <w:rPr>
          <w:rFonts w:ascii="Times New Roman" w:cs="Times New Roman" w:eastAsia="Times New Roman" w:hAnsi="Times New Roman"/>
          <w:sz w:val="20"/>
          <w:szCs w:val="20"/>
          <w:color w:val="00C1DE"/>
        </w:rPr>
      </w:pPr>
      <w:r>
        <w:rPr>
          <w:rFonts w:ascii="Arial" w:cs="Arial" w:eastAsia="Arial" w:hAnsi="Arial"/>
          <w:sz w:val="20"/>
          <w:szCs w:val="20"/>
          <w:color w:val="3E3935"/>
        </w:rPr>
        <w:t>Recommends compensation of non-employee directors to the Board;</w:t>
      </w:r>
    </w:p>
    <w:p>
      <w:pPr>
        <w:spacing w:after="0" w:line="1" w:lineRule="exact"/>
        <w:rPr>
          <w:rFonts w:ascii="Times New Roman" w:cs="Times New Roman" w:eastAsia="Times New Roman" w:hAnsi="Times New Roman"/>
          <w:sz w:val="20"/>
          <w:szCs w:val="20"/>
          <w:color w:val="00C1DE"/>
        </w:rPr>
      </w:pPr>
    </w:p>
    <w:p>
      <w:pPr>
        <w:jc w:val="both"/>
        <w:ind w:left="220" w:hanging="215"/>
        <w:spacing w:after="0" w:line="260" w:lineRule="auto"/>
        <w:tabs>
          <w:tab w:leader="none" w:pos="179" w:val="left"/>
        </w:tabs>
        <w:numPr>
          <w:ilvl w:val="0"/>
          <w:numId w:val="32"/>
        </w:numPr>
        <w:rPr>
          <w:rFonts w:ascii="Times New Roman" w:cs="Times New Roman" w:eastAsia="Times New Roman" w:hAnsi="Times New Roman"/>
          <w:sz w:val="20"/>
          <w:szCs w:val="20"/>
          <w:color w:val="00C1DE"/>
        </w:rPr>
      </w:pPr>
      <w:r>
        <w:rPr>
          <w:rFonts w:ascii="Arial" w:cs="Arial" w:eastAsia="Arial" w:hAnsi="Arial"/>
          <w:sz w:val="20"/>
          <w:szCs w:val="20"/>
          <w:color w:val="3E3935"/>
        </w:rPr>
        <w:t>Oversees the Company’s development of ESG initiatives, strategies, policies, and practices related to sustainability and corporate responsibility;</w:t>
      </w:r>
    </w:p>
    <w:p>
      <w:pPr>
        <w:jc w:val="both"/>
        <w:ind w:left="220" w:hanging="215"/>
        <w:spacing w:after="0" w:line="271" w:lineRule="auto"/>
        <w:tabs>
          <w:tab w:leader="none" w:pos="179" w:val="left"/>
        </w:tabs>
        <w:numPr>
          <w:ilvl w:val="0"/>
          <w:numId w:val="32"/>
        </w:numPr>
        <w:rPr>
          <w:rFonts w:ascii="Times New Roman" w:cs="Times New Roman" w:eastAsia="Times New Roman" w:hAnsi="Times New Roman"/>
          <w:sz w:val="19"/>
          <w:szCs w:val="19"/>
          <w:color w:val="00C1DE"/>
        </w:rPr>
      </w:pPr>
      <w:r>
        <w:rPr>
          <w:rFonts w:ascii="Arial" w:cs="Arial" w:eastAsia="Arial" w:hAnsi="Arial"/>
          <w:sz w:val="19"/>
          <w:szCs w:val="19"/>
          <w:color w:val="3E3935"/>
        </w:rPr>
        <w:t>Reviews and approves, in consultation with the Audit Committee, the Company’s annual Sustainability Report;</w:t>
      </w:r>
    </w:p>
    <w:p>
      <w:pPr>
        <w:ind w:left="220"/>
        <w:spacing w:after="0"/>
        <w:rPr>
          <w:sz w:val="20"/>
          <w:szCs w:val="20"/>
          <w:color w:val="auto"/>
        </w:rPr>
      </w:pPr>
      <w:r>
        <w:rPr>
          <w:rFonts w:ascii="Arial" w:cs="Arial" w:eastAsia="Arial" w:hAnsi="Arial"/>
          <w:sz w:val="20"/>
          <w:szCs w:val="20"/>
          <w:color w:val="3E3935"/>
        </w:rPr>
        <w:t>and</w:t>
      </w:r>
    </w:p>
    <w:p>
      <w:pPr>
        <w:spacing w:after="0" w:line="24" w:lineRule="exact"/>
        <w:rPr>
          <w:sz w:val="20"/>
          <w:szCs w:val="20"/>
          <w:color w:val="auto"/>
        </w:rPr>
      </w:pPr>
    </w:p>
    <w:p>
      <w:pPr>
        <w:ind w:left="220" w:hanging="213"/>
        <w:spacing w:after="0" w:line="274"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xml:space="preserve">  </w:t>
      </w:r>
      <w:r>
        <w:rPr>
          <w:rFonts w:ascii="Arial" w:cs="Arial" w:eastAsia="Arial" w:hAnsi="Arial"/>
          <w:sz w:val="20"/>
          <w:szCs w:val="20"/>
          <w:color w:val="3E3935"/>
        </w:rPr>
        <w:t>Reviews and approves related party transactions and any</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potential director conflicts of interest,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84455</wp:posOffset>
            </wp:positionV>
            <wp:extent cx="2861945" cy="1791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61945" cy="1791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40"/>
            <w:col w:w="522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3337560" cy="271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37560" cy="271780"/>
                    </a:xfrm>
                    <a:prstGeom prst="rect">
                      <a:avLst/>
                    </a:prstGeom>
                    <a:noFill/>
                  </pic:spPr>
                </pic:pic>
              </a:graphicData>
            </a:graphic>
          </wp:anchor>
        </w:drawing>
      </w:r>
    </w:p>
    <w:p>
      <w:pPr>
        <w:spacing w:after="0" w:line="38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FFFFFF"/>
        </w:rPr>
        <w:t>RISK AND CYBERSECURITY</w:t>
      </w:r>
    </w:p>
    <w:p>
      <w:pPr>
        <w:spacing w:after="0" w:line="173" w:lineRule="exact"/>
        <w:rPr>
          <w:sz w:val="20"/>
          <w:szCs w:val="20"/>
          <w:color w:val="auto"/>
        </w:rPr>
      </w:pPr>
    </w:p>
    <w:p>
      <w:pPr>
        <w:ind w:left="2040" w:right="200"/>
        <w:spacing w:after="0" w:line="234" w:lineRule="auto"/>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Linda R. Gooden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Joseph Jimenez, Judith A. Miscik, Thomas M. Schoewe, and Devin N. Wenig</w:t>
      </w: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b w:val="1"/>
                <w:bCs w:val="1"/>
                <w:color w:val="0071CE"/>
              </w:rPr>
              <w:t>Linda R. Gooden</w:t>
            </w:r>
          </w:p>
        </w:tc>
        <w:tc>
          <w:tcPr>
            <w:tcW w:w="1880" w:type="dxa"/>
            <w:vAlign w:val="bottom"/>
          </w:tcPr>
          <w:p>
            <w:pPr>
              <w:spacing w:after="0"/>
              <w:rPr>
                <w:sz w:val="19"/>
                <w:szCs w:val="19"/>
                <w:color w:val="auto"/>
              </w:rPr>
            </w:pPr>
          </w:p>
        </w:tc>
      </w:tr>
      <w:tr>
        <w:trPr>
          <w:trHeight w:val="269"/>
        </w:trPr>
        <w:tc>
          <w:tcPr>
            <w:tcW w:w="104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4220" w:type="dxa"/>
            <w:vAlign w:val="bottom"/>
            <w:gridSpan w:val="2"/>
          </w:tcPr>
          <w:p>
            <w:pPr>
              <w:jc w:val="right"/>
              <w:ind w:right="1022"/>
              <w:spacing w:after="0"/>
              <w:rPr>
                <w:sz w:val="20"/>
                <w:szCs w:val="20"/>
                <w:color w:val="auto"/>
              </w:rPr>
            </w:pPr>
            <w:r>
              <w:rPr>
                <w:rFonts w:ascii="Arial" w:cs="Arial" w:eastAsia="Arial" w:hAnsi="Arial"/>
                <w:sz w:val="20"/>
                <w:szCs w:val="20"/>
                <w:b w:val="1"/>
                <w:bCs w:val="1"/>
                <w:i w:val="1"/>
                <w:iCs w:val="1"/>
                <w:color w:val="00C1DE"/>
              </w:rPr>
              <w:t>Meetings held in 2021: 3</w:t>
            </w:r>
          </w:p>
        </w:tc>
      </w:tr>
      <w:tr>
        <w:trPr>
          <w:trHeight w:val="48"/>
        </w:trPr>
        <w:tc>
          <w:tcPr>
            <w:tcW w:w="3380" w:type="dxa"/>
            <w:vAlign w:val="bottom"/>
            <w:tcBorders>
              <w:bottom w:val="single" w:sz="8" w:color="0071CE"/>
            </w:tcBorders>
            <w:gridSpan w:val="2"/>
          </w:tcPr>
          <w:p>
            <w:pPr>
              <w:spacing w:after="0"/>
              <w:rPr>
                <w:sz w:val="4"/>
                <w:szCs w:val="4"/>
                <w:color w:val="auto"/>
              </w:rPr>
            </w:pPr>
          </w:p>
        </w:tc>
        <w:tc>
          <w:tcPr>
            <w:tcW w:w="1880" w:type="dxa"/>
            <w:vAlign w:val="bottom"/>
            <w:tcBorders>
              <w:bottom w:val="single" w:sz="8" w:color="0071CE"/>
            </w:tcBorders>
          </w:tcPr>
          <w:p>
            <w:pPr>
              <w:spacing w:after="0"/>
              <w:rPr>
                <w:sz w:val="4"/>
                <w:szCs w:val="4"/>
                <w:color w:val="auto"/>
              </w:rPr>
            </w:pPr>
          </w:p>
        </w:tc>
      </w:tr>
      <w:tr>
        <w:trPr>
          <w:trHeight w:val="278"/>
        </w:trPr>
        <w:tc>
          <w:tcPr>
            <w:tcW w:w="3380" w:type="dxa"/>
            <w:vAlign w:val="bottom"/>
            <w:gridSpan w:val="2"/>
          </w:tcPr>
          <w:p>
            <w:pPr>
              <w:spacing w:after="0"/>
              <w:rPr>
                <w:sz w:val="20"/>
                <w:szCs w:val="20"/>
                <w:color w:val="auto"/>
              </w:rPr>
            </w:pPr>
            <w:r>
              <w:rPr>
                <w:rFonts w:ascii="Arial" w:cs="Arial" w:eastAsia="Arial" w:hAnsi="Arial"/>
                <w:sz w:val="20"/>
                <w:szCs w:val="20"/>
                <w:b w:val="1"/>
                <w:bCs w:val="1"/>
                <w:i w:val="1"/>
                <w:iCs w:val="1"/>
                <w:color w:val="00C1DE"/>
              </w:rPr>
              <w:t>Key Responsibilities</w:t>
            </w:r>
          </w:p>
        </w:tc>
        <w:tc>
          <w:tcPr>
            <w:tcW w:w="1880" w:type="dxa"/>
            <w:vAlign w:val="bottom"/>
          </w:tcPr>
          <w:p>
            <w:pPr>
              <w:spacing w:after="0"/>
              <w:rPr>
                <w:sz w:val="24"/>
                <w:szCs w:val="24"/>
                <w:color w:val="auto"/>
              </w:rPr>
            </w:pPr>
          </w:p>
        </w:tc>
      </w:t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Reviews</w:t>
            </w:r>
          </w:p>
        </w:tc>
        <w:tc>
          <w:tcPr>
            <w:tcW w:w="2340" w:type="dxa"/>
            <w:vAlign w:val="bottom"/>
          </w:tcPr>
          <w:p>
            <w:pPr>
              <w:jc w:val="center"/>
              <w:spacing w:after="0"/>
              <w:rPr>
                <w:sz w:val="20"/>
                <w:szCs w:val="20"/>
                <w:color w:val="auto"/>
              </w:rPr>
            </w:pPr>
            <w:r>
              <w:rPr>
                <w:rFonts w:ascii="Arial" w:cs="Arial" w:eastAsia="Arial" w:hAnsi="Arial"/>
                <w:sz w:val="20"/>
                <w:szCs w:val="20"/>
                <w:color w:val="3E3935"/>
              </w:rPr>
              <w:t>the   Company’s   key</w:t>
            </w:r>
          </w:p>
        </w:tc>
        <w:tc>
          <w:tcPr>
            <w:tcW w:w="1880" w:type="dxa"/>
            <w:vAlign w:val="bottom"/>
          </w:tcPr>
          <w:p>
            <w:pPr>
              <w:jc w:val="right"/>
              <w:spacing w:after="0"/>
              <w:rPr>
                <w:sz w:val="20"/>
                <w:szCs w:val="20"/>
                <w:color w:val="auto"/>
              </w:rPr>
            </w:pPr>
            <w:r>
              <w:rPr>
                <w:rFonts w:ascii="Arial" w:cs="Arial" w:eastAsia="Arial" w:hAnsi="Arial"/>
                <w:sz w:val="20"/>
                <w:szCs w:val="20"/>
                <w:color w:val="3E3935"/>
              </w:rPr>
              <w:t>strategic, enterprise,</w:t>
            </w:r>
          </w:p>
        </w:tc>
      </w:tr>
      <w:tr>
        <w:trPr>
          <w:trHeight w:val="253"/>
        </w:trPr>
        <w:tc>
          <w:tcPr>
            <w:tcW w:w="3380" w:type="dxa"/>
            <w:vAlign w:val="bottom"/>
            <w:gridSpan w:val="2"/>
          </w:tcPr>
          <w:p>
            <w:pPr>
              <w:ind w:left="220"/>
              <w:spacing w:after="0"/>
              <w:rPr>
                <w:sz w:val="20"/>
                <w:szCs w:val="20"/>
                <w:color w:val="auto"/>
              </w:rPr>
            </w:pPr>
            <w:r>
              <w:rPr>
                <w:rFonts w:ascii="Arial" w:cs="Arial" w:eastAsia="Arial" w:hAnsi="Arial"/>
                <w:sz w:val="20"/>
                <w:szCs w:val="20"/>
                <w:color w:val="3E3935"/>
              </w:rPr>
              <w:t>and cybersecurity risks;</w:t>
            </w:r>
          </w:p>
        </w:tc>
        <w:tc>
          <w:tcPr>
            <w:tcW w:w="1880" w:type="dxa"/>
            <w:vAlign w:val="bottom"/>
          </w:tcPr>
          <w:p>
            <w:pPr>
              <w:spacing w:after="0"/>
              <w:rPr>
                <w:sz w:val="21"/>
                <w:szCs w:val="21"/>
                <w:color w:val="auto"/>
              </w:rPr>
            </w:pPr>
          </w:p>
        </w:tc>
      </w:tr>
      <w:tr>
        <w:trPr>
          <w:trHeight w:val="259"/>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Reviews</w:t>
            </w:r>
          </w:p>
        </w:tc>
        <w:tc>
          <w:tcPr>
            <w:tcW w:w="2340" w:type="dxa"/>
            <w:vAlign w:val="bottom"/>
          </w:tcPr>
          <w:p>
            <w:pPr>
              <w:jc w:val="center"/>
              <w:spacing w:after="0"/>
              <w:rPr>
                <w:sz w:val="20"/>
                <w:szCs w:val="20"/>
                <w:color w:val="auto"/>
              </w:rPr>
            </w:pPr>
            <w:r>
              <w:rPr>
                <w:rFonts w:ascii="Arial" w:cs="Arial" w:eastAsia="Arial" w:hAnsi="Arial"/>
                <w:sz w:val="20"/>
                <w:szCs w:val="20"/>
                <w:color w:val="3E3935"/>
              </w:rPr>
              <w:t>privacy  risk,  including</w:t>
            </w:r>
          </w:p>
        </w:tc>
        <w:tc>
          <w:tcPr>
            <w:tcW w:w="1880" w:type="dxa"/>
            <w:vAlign w:val="bottom"/>
          </w:tcPr>
          <w:p>
            <w:pPr>
              <w:jc w:val="right"/>
              <w:spacing w:after="0"/>
              <w:rPr>
                <w:sz w:val="20"/>
                <w:szCs w:val="20"/>
                <w:color w:val="auto"/>
              </w:rPr>
            </w:pPr>
            <w:r>
              <w:rPr>
                <w:rFonts w:ascii="Arial" w:cs="Arial" w:eastAsia="Arial" w:hAnsi="Arial"/>
                <w:sz w:val="20"/>
                <w:szCs w:val="20"/>
                <w:color w:val="3E3935"/>
              </w:rPr>
              <w:t>potential  impact to</w:t>
            </w:r>
          </w:p>
        </w:tc>
      </w:tr>
    </w:tbl>
    <w:p>
      <w:pPr>
        <w:jc w:val="right"/>
        <w:ind w:left="160"/>
        <w:spacing w:after="0" w:line="257" w:lineRule="auto"/>
        <w:rPr>
          <w:sz w:val="20"/>
          <w:szCs w:val="20"/>
          <w:color w:val="auto"/>
        </w:rPr>
      </w:pPr>
      <w:r>
        <w:rPr>
          <w:rFonts w:ascii="Arial" w:cs="Arial" w:eastAsia="Arial" w:hAnsi="Arial"/>
          <w:sz w:val="20"/>
          <w:szCs w:val="20"/>
          <w:color w:val="3E3935"/>
        </w:rPr>
        <w:t xml:space="preserve">the Company’s employees, customers, and stakeholders; </w:t>
      </w:r>
      <w:r>
        <w:rPr>
          <w:rFonts w:ascii="Times New Roman" w:cs="Times New Roman" w:eastAsia="Times New Roman" w:hAnsi="Times New Roman"/>
          <w:sz w:val="20"/>
          <w:szCs w:val="20"/>
          <w:color w:val="00C1DE"/>
        </w:rPr>
        <w:t>●</w:t>
      </w:r>
      <w:r>
        <w:rPr>
          <w:rFonts w:ascii="Arial" w:cs="Arial" w:eastAsia="Arial" w:hAnsi="Arial"/>
          <w:sz w:val="20"/>
          <w:szCs w:val="20"/>
          <w:color w:val="00C1DE"/>
        </w:rPr>
        <w:t xml:space="preserve">  </w:t>
      </w:r>
      <w:r>
        <w:rPr>
          <w:rFonts w:ascii="Arial" w:cs="Arial" w:eastAsia="Arial" w:hAnsi="Arial"/>
          <w:sz w:val="20"/>
          <w:szCs w:val="20"/>
          <w:color w:val="3E3935"/>
        </w:rPr>
        <w:t>Reviews the Company’s risk management framework and</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management’s   implementation   of   risk   policies, procedures,   and   governance   to   assess   their</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20"/>
          <w:szCs w:val="20"/>
          <w:color w:val="3E3935"/>
        </w:rPr>
        <w:t>effectiveness;</w:t>
      </w:r>
    </w:p>
    <w:p>
      <w:pPr>
        <w:spacing w:after="0" w:line="24" w:lineRule="exact"/>
        <w:rPr>
          <w:sz w:val="20"/>
          <w:szCs w:val="20"/>
          <w:color w:val="auto"/>
        </w:rPr>
      </w:pPr>
    </w:p>
    <w:p>
      <w:pPr>
        <w:jc w:val="both"/>
        <w:ind w:left="380" w:hanging="213"/>
        <w:spacing w:after="0" w:line="259" w:lineRule="auto"/>
        <w:tabs>
          <w:tab w:leader="none" w:pos="526" w:val="left"/>
        </w:tabs>
        <w:numPr>
          <w:ilvl w:val="0"/>
          <w:numId w:val="33"/>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management’s evaluation of strategic and operating risks, including risk concentrations, mitigating measures, and the types and levels of risk that are acceptable in the pursuit and protection of shareholder value; and</w:t>
      </w:r>
    </w:p>
    <w:p>
      <w:pPr>
        <w:spacing w:after="0" w:line="1" w:lineRule="exact"/>
        <w:rPr>
          <w:rFonts w:ascii="Times New Roman" w:cs="Times New Roman" w:eastAsia="Times New Roman" w:hAnsi="Times New Roman"/>
          <w:sz w:val="20"/>
          <w:szCs w:val="20"/>
          <w:color w:val="00C1DE"/>
        </w:rPr>
      </w:pPr>
    </w:p>
    <w:p>
      <w:pPr>
        <w:jc w:val="both"/>
        <w:ind w:left="380" w:hanging="213"/>
        <w:spacing w:after="0" w:line="270" w:lineRule="auto"/>
        <w:tabs>
          <w:tab w:leader="none" w:pos="311" w:val="left"/>
        </w:tabs>
        <w:numPr>
          <w:ilvl w:val="0"/>
          <w:numId w:val="33"/>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risk culture, including the</w:t>
      </w:r>
      <w:r>
        <w:rPr>
          <w:rFonts w:ascii="Arial" w:cs="Arial" w:eastAsia="Arial" w:hAnsi="Arial"/>
          <w:sz w:val="20"/>
          <w:szCs w:val="20"/>
          <w:color w:val="00C1DE"/>
        </w:rPr>
        <w:t xml:space="preserve"> </w:t>
      </w:r>
      <w:r>
        <w:rPr>
          <w:rFonts w:ascii="Arial" w:cs="Arial" w:eastAsia="Arial" w:hAnsi="Arial"/>
          <w:sz w:val="20"/>
          <w:szCs w:val="20"/>
          <w:color w:val="3E3935"/>
        </w:rPr>
        <w:t>integration of risk management into the Company’s behaviors, decision making,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2861945" cy="1664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61945" cy="166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3"/>
        </w:trPr>
        <w:tc>
          <w:tcPr>
            <w:tcW w:w="1640" w:type="dxa"/>
            <w:vAlign w:val="bottom"/>
            <w:shd w:val="clear" w:color="auto" w:fill="0071CE"/>
          </w:tcPr>
          <w:p>
            <w:pPr>
              <w:spacing w:after="0"/>
              <w:rPr>
                <w:sz w:val="24"/>
                <w:szCs w:val="24"/>
                <w:color w:val="auto"/>
              </w:rPr>
            </w:pPr>
          </w:p>
        </w:tc>
        <w:tc>
          <w:tcPr>
            <w:tcW w:w="3680" w:type="dxa"/>
            <w:vAlign w:val="bottom"/>
            <w:shd w:val="clear" w:color="auto" w:fill="0071CE"/>
          </w:tcPr>
          <w:p>
            <w:pPr>
              <w:ind w:left="520"/>
              <w:spacing w:after="0"/>
              <w:rPr>
                <w:sz w:val="20"/>
                <w:szCs w:val="20"/>
                <w:color w:val="auto"/>
              </w:rPr>
            </w:pPr>
            <w:r>
              <w:rPr>
                <w:rFonts w:ascii="Arial" w:cs="Arial" w:eastAsia="Arial" w:hAnsi="Arial"/>
                <w:sz w:val="20"/>
                <w:szCs w:val="20"/>
                <w:b w:val="1"/>
                <w:bCs w:val="1"/>
                <w:color w:val="FFFFFF"/>
              </w:rPr>
              <w:t>EXECUTIVE</w:t>
            </w:r>
          </w:p>
        </w:tc>
      </w:tr>
      <w:tr>
        <w:trPr>
          <w:trHeight w:val="75"/>
        </w:trPr>
        <w:tc>
          <w:tcPr>
            <w:tcW w:w="1640" w:type="dxa"/>
            <w:vAlign w:val="bottom"/>
            <w:shd w:val="clear" w:color="auto" w:fill="0071CE"/>
          </w:tcPr>
          <w:p>
            <w:pPr>
              <w:spacing w:after="0"/>
              <w:rPr>
                <w:sz w:val="6"/>
                <w:szCs w:val="6"/>
                <w:color w:val="auto"/>
              </w:rPr>
            </w:pPr>
          </w:p>
        </w:tc>
        <w:tc>
          <w:tcPr>
            <w:tcW w:w="3680" w:type="dxa"/>
            <w:vAlign w:val="bottom"/>
            <w:shd w:val="clear" w:color="auto" w:fill="0071CE"/>
          </w:tcPr>
          <w:p>
            <w:pPr>
              <w:spacing w:after="0"/>
              <w:rPr>
                <w:sz w:val="6"/>
                <w:szCs w:val="6"/>
                <w:color w:val="auto"/>
              </w:rPr>
            </w:pPr>
          </w:p>
        </w:tc>
      </w:tr>
      <w:tr>
        <w:trPr>
          <w:trHeight w:val="513"/>
        </w:trPr>
        <w:tc>
          <w:tcPr>
            <w:tcW w:w="1640" w:type="dxa"/>
            <w:vAlign w:val="bottom"/>
          </w:tcPr>
          <w:p>
            <w:pPr>
              <w:spacing w:after="0"/>
              <w:rPr>
                <w:sz w:val="24"/>
                <w:szCs w:val="24"/>
                <w:color w:val="auto"/>
              </w:rPr>
            </w:pPr>
          </w:p>
        </w:tc>
        <w:tc>
          <w:tcPr>
            <w:tcW w:w="3680" w:type="dxa"/>
            <w:vAlign w:val="bottom"/>
          </w:tcPr>
          <w:p>
            <w:pPr>
              <w:ind w:left="320"/>
              <w:spacing w:after="0"/>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Mary T. Barra (Chair),</w:t>
            </w:r>
          </w:p>
        </w:tc>
      </w:tr>
      <w:tr>
        <w:trPr>
          <w:trHeight w:val="214"/>
        </w:trPr>
        <w:tc>
          <w:tcPr>
            <w:tcW w:w="1640" w:type="dxa"/>
            <w:vAlign w:val="bottom"/>
          </w:tcPr>
          <w:p>
            <w:pPr>
              <w:spacing w:after="0"/>
              <w:rPr>
                <w:sz w:val="18"/>
                <w:szCs w:val="18"/>
                <w:color w:val="auto"/>
              </w:rPr>
            </w:pPr>
          </w:p>
        </w:tc>
        <w:tc>
          <w:tcPr>
            <w:tcW w:w="3680" w:type="dxa"/>
            <w:vAlign w:val="bottom"/>
          </w:tcPr>
          <w:p>
            <w:pPr>
              <w:ind w:left="320"/>
              <w:spacing w:after="0" w:line="214" w:lineRule="exact"/>
              <w:rPr>
                <w:sz w:val="20"/>
                <w:szCs w:val="20"/>
                <w:color w:val="auto"/>
              </w:rPr>
            </w:pPr>
            <w:r>
              <w:rPr>
                <w:rFonts w:ascii="Arial" w:cs="Arial" w:eastAsia="Arial" w:hAnsi="Arial"/>
                <w:sz w:val="20"/>
                <w:szCs w:val="20"/>
                <w:color w:val="3E3935"/>
              </w:rPr>
              <w:t>Linda R. Gooden, Joseph Jimenez,</w:t>
            </w:r>
          </w:p>
        </w:tc>
      </w:tr>
      <w:tr>
        <w:trPr>
          <w:trHeight w:val="214"/>
        </w:trPr>
        <w:tc>
          <w:tcPr>
            <w:tcW w:w="1640" w:type="dxa"/>
            <w:vAlign w:val="bottom"/>
          </w:tcPr>
          <w:p>
            <w:pPr>
              <w:spacing w:after="0"/>
              <w:rPr>
                <w:sz w:val="18"/>
                <w:szCs w:val="18"/>
                <w:color w:val="auto"/>
              </w:rPr>
            </w:pPr>
          </w:p>
        </w:tc>
        <w:tc>
          <w:tcPr>
            <w:tcW w:w="3680" w:type="dxa"/>
            <w:vAlign w:val="bottom"/>
          </w:tcPr>
          <w:p>
            <w:pPr>
              <w:ind w:left="320"/>
              <w:spacing w:after="0" w:line="214" w:lineRule="exact"/>
              <w:rPr>
                <w:sz w:val="20"/>
                <w:szCs w:val="20"/>
                <w:color w:val="auto"/>
              </w:rPr>
            </w:pPr>
            <w:r>
              <w:rPr>
                <w:rFonts w:ascii="Arial" w:cs="Arial" w:eastAsia="Arial" w:hAnsi="Arial"/>
                <w:sz w:val="20"/>
                <w:szCs w:val="20"/>
                <w:color w:val="3E3935"/>
              </w:rPr>
              <w:t>Patricia F. Russo, Thomas M.</w:t>
            </w:r>
          </w:p>
        </w:tc>
      </w:tr>
      <w:tr>
        <w:trPr>
          <w:trHeight w:val="257"/>
        </w:trPr>
        <w:tc>
          <w:tcPr>
            <w:tcW w:w="1640" w:type="dxa"/>
            <w:vAlign w:val="bottom"/>
          </w:tcPr>
          <w:p>
            <w:pPr>
              <w:spacing w:after="0"/>
              <w:rPr>
                <w:sz w:val="22"/>
                <w:szCs w:val="22"/>
                <w:color w:val="auto"/>
              </w:rPr>
            </w:pPr>
          </w:p>
        </w:tc>
        <w:tc>
          <w:tcPr>
            <w:tcW w:w="3680" w:type="dxa"/>
            <w:vAlign w:val="bottom"/>
          </w:tcPr>
          <w:p>
            <w:pPr>
              <w:ind w:left="320"/>
              <w:spacing w:after="0"/>
              <w:rPr>
                <w:sz w:val="20"/>
                <w:szCs w:val="20"/>
                <w:color w:val="auto"/>
              </w:rPr>
            </w:pPr>
            <w:r>
              <w:rPr>
                <w:rFonts w:ascii="Arial" w:cs="Arial" w:eastAsia="Arial" w:hAnsi="Arial"/>
                <w:sz w:val="20"/>
                <w:szCs w:val="20"/>
                <w:color w:val="3E3935"/>
              </w:rPr>
              <w:t>Schoewe, and Carol M. Stephenson</w:t>
            </w:r>
          </w:p>
        </w:tc>
      </w:tr>
      <w:tr>
        <w:trPr>
          <w:trHeight w:val="289"/>
        </w:trPr>
        <w:tc>
          <w:tcPr>
            <w:tcW w:w="1640" w:type="dxa"/>
            <w:vAlign w:val="bottom"/>
          </w:tcPr>
          <w:p>
            <w:pPr>
              <w:ind w:left="100"/>
              <w:spacing w:after="0"/>
              <w:rPr>
                <w:sz w:val="20"/>
                <w:szCs w:val="20"/>
                <w:color w:val="auto"/>
              </w:rPr>
            </w:pPr>
            <w:r>
              <w:rPr>
                <w:rFonts w:ascii="Arial" w:cs="Arial" w:eastAsia="Arial" w:hAnsi="Arial"/>
                <w:sz w:val="20"/>
                <w:szCs w:val="20"/>
                <w:b w:val="1"/>
                <w:bCs w:val="1"/>
                <w:color w:val="0071CE"/>
              </w:rPr>
              <w:t>Mary T. Barra</w:t>
            </w:r>
          </w:p>
        </w:tc>
        <w:tc>
          <w:tcPr>
            <w:tcW w:w="3680" w:type="dxa"/>
            <w:vAlign w:val="bottom"/>
          </w:tcPr>
          <w:p>
            <w:pPr>
              <w:spacing w:after="0"/>
              <w:rPr>
                <w:sz w:val="24"/>
                <w:szCs w:val="24"/>
                <w:color w:val="auto"/>
              </w:rPr>
            </w:pPr>
          </w:p>
        </w:tc>
      </w:tr>
      <w:tr>
        <w:trPr>
          <w:trHeight w:val="269"/>
        </w:trPr>
        <w:tc>
          <w:tcPr>
            <w:tcW w:w="1640" w:type="dxa"/>
            <w:vAlign w:val="bottom"/>
          </w:tcPr>
          <w:p>
            <w:pPr>
              <w:ind w:left="100"/>
              <w:spacing w:after="0"/>
              <w:rPr>
                <w:sz w:val="20"/>
                <w:szCs w:val="20"/>
                <w:color w:val="auto"/>
              </w:rPr>
            </w:pPr>
            <w:r>
              <w:rPr>
                <w:rFonts w:ascii="Arial" w:cs="Arial" w:eastAsia="Arial" w:hAnsi="Arial"/>
                <w:sz w:val="20"/>
                <w:szCs w:val="20"/>
                <w:b w:val="1"/>
                <w:bCs w:val="1"/>
                <w:color w:val="0071CE"/>
              </w:rPr>
              <w:t>Chair</w:t>
            </w:r>
          </w:p>
        </w:tc>
        <w:tc>
          <w:tcPr>
            <w:tcW w:w="3680" w:type="dxa"/>
            <w:vAlign w:val="bottom"/>
          </w:tcPr>
          <w:p>
            <w:pPr>
              <w:ind w:left="320"/>
              <w:spacing w:after="0"/>
              <w:rPr>
                <w:sz w:val="20"/>
                <w:szCs w:val="20"/>
                <w:color w:val="auto"/>
              </w:rPr>
            </w:pPr>
            <w:r>
              <w:rPr>
                <w:rFonts w:ascii="Arial" w:cs="Arial" w:eastAsia="Arial" w:hAnsi="Arial"/>
                <w:sz w:val="20"/>
                <w:szCs w:val="20"/>
                <w:b w:val="1"/>
                <w:bCs w:val="1"/>
                <w:i w:val="1"/>
                <w:iCs w:val="1"/>
                <w:color w:val="00C1DE"/>
              </w:rPr>
              <w:t>Meetings held in 2021: 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-1922145</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30480</wp:posOffset>
            </wp:positionV>
            <wp:extent cx="33801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80105"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-1004570</wp:posOffset>
            </wp:positionV>
            <wp:extent cx="662305" cy="662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100" w:lineRule="exact"/>
        <w:rPr>
          <w:sz w:val="20"/>
          <w:szCs w:val="20"/>
          <w:color w:val="auto"/>
        </w:rPr>
      </w:pPr>
    </w:p>
    <w:p>
      <w:pPr>
        <w:jc w:val="both"/>
        <w:ind w:left="100"/>
        <w:spacing w:after="0" w:line="227" w:lineRule="auto"/>
        <w:rPr>
          <w:sz w:val="20"/>
          <w:szCs w:val="20"/>
          <w:color w:val="auto"/>
        </w:rPr>
      </w:pPr>
      <w:r>
        <w:rPr>
          <w:rFonts w:ascii="Arial" w:cs="Arial" w:eastAsia="Arial" w:hAnsi="Arial"/>
          <w:sz w:val="20"/>
          <w:szCs w:val="20"/>
          <w:color w:val="3E3935"/>
        </w:rPr>
        <w:t>The Board has an Executive Committee composed of the Board Chair and CEO, the Independent Lead Director, and the Chairs of all other standing Committees. The Executive Committee is chaired by Ms. Barra, and it can act on certain limited matters for the full Board in intervals between meetings of the Board. The Executive Committee meets as necessary, and all actions by the Executive Committee are reported and ratified at the next succeeding Board meeting. Because the Board addressed all items throughout the year at Board meetings, no Executive Committee meetings were needed in 2021.</w:t>
      </w:r>
    </w:p>
    <w:p>
      <w:pPr>
        <w:spacing w:after="0" w:line="2064" w:lineRule="exact"/>
        <w:rPr>
          <w:sz w:val="20"/>
          <w:szCs w:val="20"/>
          <w:color w:val="auto"/>
        </w:rPr>
      </w:pPr>
    </w:p>
    <w:p>
      <w:pPr>
        <w:sectPr>
          <w:pgSz w:w="11900" w:h="16838" w:orient="portrait"/>
          <w:cols w:equalWidth="0" w:num="2">
            <w:col w:w="5420" w:space="340"/>
            <w:col w:w="532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Board and Committee Oversight of Risk</w:t>
      </w:r>
    </w:p>
    <w:p>
      <w:pPr>
        <w:spacing w:after="0" w:line="158" w:lineRule="exact"/>
        <w:rPr>
          <w:sz w:val="20"/>
          <w:szCs w:val="20"/>
          <w:color w:val="auto"/>
        </w:rPr>
      </w:pPr>
    </w:p>
    <w:p>
      <w:pPr>
        <w:ind w:left="700" w:hanging="533"/>
        <w:spacing w:after="0"/>
        <w:tabs>
          <w:tab w:leader="none" w:pos="700" w:val="left"/>
        </w:tabs>
        <w:numPr>
          <w:ilvl w:val="0"/>
          <w:numId w:val="34"/>
        </w:numPr>
        <w:rPr>
          <w:rFonts w:ascii="Times New Roman" w:cs="Times New Roman" w:eastAsia="Times New Roman" w:hAnsi="Times New Roman"/>
          <w:sz w:val="21"/>
          <w:szCs w:val="21"/>
          <w:color w:val="0071CE"/>
        </w:rPr>
      </w:pPr>
      <w:r>
        <w:rPr>
          <w:rFonts w:ascii="Arial" w:cs="Arial" w:eastAsia="Arial" w:hAnsi="Arial"/>
          <w:sz w:val="25"/>
          <w:szCs w:val="25"/>
          <w:color w:val="3E3935"/>
        </w:rPr>
        <w:t>Role of the Board of Directors</w:t>
      </w:r>
    </w:p>
    <w:p>
      <w:pPr>
        <w:spacing w:after="0" w:line="208" w:lineRule="exact"/>
        <w:rPr>
          <w:sz w:val="20"/>
          <w:szCs w:val="20"/>
          <w:color w:val="auto"/>
        </w:rPr>
      </w:pPr>
    </w:p>
    <w:p>
      <w:pPr>
        <w:jc w:val="both"/>
        <w:ind w:left="160" w:right="5680"/>
        <w:spacing w:after="0" w:line="226" w:lineRule="auto"/>
        <w:rPr>
          <w:sz w:val="20"/>
          <w:szCs w:val="20"/>
          <w:color w:val="auto"/>
        </w:rPr>
      </w:pPr>
      <w:r>
        <w:rPr>
          <w:rFonts w:ascii="Arial" w:cs="Arial" w:eastAsia="Arial" w:hAnsi="Arial"/>
          <w:sz w:val="20"/>
          <w:szCs w:val="20"/>
          <w:color w:val="3E3935"/>
        </w:rPr>
        <w:t>The Board has overall responsibility for risk oversight and focuses on the most significant risks facing the Company. The Board discharges its risk oversight responsibilities, in part, through delegation to its Committees. The Company’s risk governance is facilitated through a top-down and bottom-up communication structure, with the tone established at the top by Ms. Barra, our Board Chair and CEO, who is also our Chief Risk Officer, and other members of management, specifically the Senior Leadership Team. The Senior Leadership Team also utilizes our Risk Advisory Council, an executive-level body with delegates from each business unit, to discuss and monitor the most significant enterprise and emerging risks in a cross-functional setting. They are tasked with championing risk management practices and integrating them into their functional or regional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-2185670</wp:posOffset>
            </wp:positionV>
            <wp:extent cx="1927860" cy="2972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27860" cy="297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hanging="533"/>
        <w:spacing w:after="0"/>
        <w:tabs>
          <w:tab w:leader="none" w:pos="700" w:val="left"/>
        </w:tabs>
        <w:numPr>
          <w:ilvl w:val="0"/>
          <w:numId w:val="35"/>
        </w:numPr>
        <w:rPr>
          <w:rFonts w:ascii="Times New Roman" w:cs="Times New Roman" w:eastAsia="Times New Roman" w:hAnsi="Times New Roman"/>
          <w:sz w:val="21"/>
          <w:szCs w:val="21"/>
          <w:color w:val="0071CE"/>
        </w:rPr>
      </w:pPr>
      <w:r>
        <w:rPr>
          <w:rFonts w:ascii="Arial" w:cs="Arial" w:eastAsia="Arial" w:hAnsi="Arial"/>
          <w:sz w:val="25"/>
          <w:szCs w:val="25"/>
          <w:color w:val="3E3935"/>
        </w:rPr>
        <w:t>Role of the Board Committees</w:t>
      </w:r>
    </w:p>
    <w:p>
      <w:pPr>
        <w:spacing w:after="0" w:line="15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Each of the Board’s Committees has a critical role to play in the overall execution of the Board’s risk oversight duties. The Board delegates oversight for certain risks to each Committee based on the risk categories relevant to the subject matter of the Committee. The Chair of the Risk and Cybersecurity Committee coordinates with the Chairs of the other Committees to support them in managing the relationship between risk management policies and practices and their respective oversight responsibilities. The Risk and Cybersecurity Committee also assists the Board by monitoring the overall effectiveness of the Company’s risk management framework and processes. For example, GM’s Strategic Risk Management team conducts an annual risk assessment, which the Risk and Cybersecurity Committee reviews and receives detailed management updates regularly throughout the year.</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Below is a summary of the key risk oversight responsibilities that the Board has delegated to the Committees.</w:t>
      </w:r>
    </w:p>
    <w:p>
      <w:pPr>
        <w:spacing w:after="0" w:line="102" w:lineRule="exact"/>
        <w:rPr>
          <w:sz w:val="20"/>
          <w:szCs w:val="20"/>
          <w:color w:val="auto"/>
        </w:rPr>
      </w:pPr>
    </w:p>
    <w:p>
      <w:pPr>
        <w:ind w:left="480" w:hanging="313"/>
        <w:spacing w:after="0" w:line="182" w:lineRule="auto"/>
        <w:tabs>
          <w:tab w:leader="none" w:pos="480" w:val="left"/>
        </w:tabs>
        <w:numPr>
          <w:ilvl w:val="0"/>
          <w:numId w:val="36"/>
        </w:numPr>
        <w:rPr>
          <w:rFonts w:ascii="Arial" w:cs="Arial" w:eastAsia="Arial" w:hAnsi="Arial"/>
          <w:sz w:val="38"/>
          <w:szCs w:val="38"/>
          <w:color w:val="00C1DE"/>
          <w:vertAlign w:val="subscript"/>
        </w:rPr>
      </w:pPr>
      <w:r>
        <w:rPr>
          <w:rFonts w:ascii="Arial" w:cs="Arial" w:eastAsia="Arial" w:hAnsi="Arial"/>
          <w:sz w:val="16"/>
          <w:szCs w:val="16"/>
          <w:b w:val="1"/>
          <w:bCs w:val="1"/>
          <w:color w:val="3E3935"/>
        </w:rPr>
        <w:t xml:space="preserve">Risk and Cybersecurity Committee: </w:t>
      </w:r>
      <w:r>
        <w:rPr>
          <w:rFonts w:ascii="Arial" w:cs="Arial" w:eastAsia="Arial" w:hAnsi="Arial"/>
          <w:sz w:val="16"/>
          <w:szCs w:val="16"/>
          <w:color w:val="3E3935"/>
        </w:rPr>
        <w:t>Oversees risks related to the Company’s key strategic, enterprise, and</w:t>
      </w:r>
      <w:r>
        <w:rPr>
          <w:rFonts w:ascii="Arial" w:cs="Arial" w:eastAsia="Arial" w:hAnsi="Arial"/>
          <w:sz w:val="16"/>
          <w:szCs w:val="16"/>
          <w:b w:val="1"/>
          <w:bCs w:val="1"/>
          <w:color w:val="3E3935"/>
        </w:rPr>
        <w:t xml:space="preserve"> </w:t>
      </w:r>
      <w:r>
        <w:rPr>
          <w:rFonts w:ascii="Arial" w:cs="Arial" w:eastAsia="Arial" w:hAnsi="Arial"/>
          <w:sz w:val="16"/>
          <w:szCs w:val="16"/>
          <w:color w:val="3E3935"/>
        </w:rPr>
        <w:t>cybersecurity risks, including climate change, workplace and product safety, and privacy.</w:t>
      </w:r>
    </w:p>
    <w:p>
      <w:pPr>
        <w:spacing w:after="0" w:line="37" w:lineRule="exact"/>
        <w:rPr>
          <w:rFonts w:ascii="Arial" w:cs="Arial" w:eastAsia="Arial" w:hAnsi="Arial"/>
          <w:sz w:val="38"/>
          <w:szCs w:val="38"/>
          <w:color w:val="00C1DE"/>
          <w:vertAlign w:val="subscript"/>
        </w:rPr>
      </w:pPr>
    </w:p>
    <w:p>
      <w:pPr>
        <w:ind w:left="480" w:right="20" w:hanging="313"/>
        <w:spacing w:after="0" w:line="182" w:lineRule="auto"/>
        <w:tabs>
          <w:tab w:leader="none" w:pos="480" w:val="left"/>
        </w:tabs>
        <w:numPr>
          <w:ilvl w:val="0"/>
          <w:numId w:val="36"/>
        </w:numPr>
        <w:rPr>
          <w:rFonts w:ascii="Arial" w:cs="Arial" w:eastAsia="Arial" w:hAnsi="Arial"/>
          <w:sz w:val="38"/>
          <w:szCs w:val="38"/>
          <w:color w:val="00C1DE"/>
          <w:vertAlign w:val="subscript"/>
        </w:rPr>
      </w:pPr>
      <w:r>
        <w:rPr>
          <w:rFonts w:ascii="Arial" w:cs="Arial" w:eastAsia="Arial" w:hAnsi="Arial"/>
          <w:sz w:val="16"/>
          <w:szCs w:val="16"/>
          <w:b w:val="1"/>
          <w:bCs w:val="1"/>
          <w:color w:val="3E3935"/>
        </w:rPr>
        <w:t xml:space="preserve">Audit Committee: </w:t>
      </w:r>
      <w:r>
        <w:rPr>
          <w:rFonts w:ascii="Arial" w:cs="Arial" w:eastAsia="Arial" w:hAnsi="Arial"/>
          <w:sz w:val="16"/>
          <w:szCs w:val="16"/>
          <w:color w:val="3E3935"/>
        </w:rPr>
        <w:t>Oversees risks related to (i) financial reporting, internal disclosure controls (including with respect to</w:t>
      </w:r>
      <w:r>
        <w:rPr>
          <w:rFonts w:ascii="Arial" w:cs="Arial" w:eastAsia="Arial" w:hAnsi="Arial"/>
          <w:sz w:val="16"/>
          <w:szCs w:val="16"/>
          <w:b w:val="1"/>
          <w:bCs w:val="1"/>
          <w:color w:val="3E3935"/>
        </w:rPr>
        <w:t xml:space="preserve"> </w:t>
      </w:r>
      <w:r>
        <w:rPr>
          <w:rFonts w:ascii="Arial" w:cs="Arial" w:eastAsia="Arial" w:hAnsi="Arial"/>
          <w:sz w:val="16"/>
          <w:szCs w:val="16"/>
          <w:color w:val="3E3935"/>
        </w:rPr>
        <w:t>ESG issues), and auditing matters; and (ii) legal, regulatory, and compliance programs.</w:t>
      </w:r>
    </w:p>
    <w:p>
      <w:pPr>
        <w:spacing w:after="0" w:line="37" w:lineRule="exact"/>
        <w:rPr>
          <w:rFonts w:ascii="Arial" w:cs="Arial" w:eastAsia="Arial" w:hAnsi="Arial"/>
          <w:sz w:val="38"/>
          <w:szCs w:val="38"/>
          <w:color w:val="00C1DE"/>
          <w:vertAlign w:val="subscript"/>
        </w:rPr>
      </w:pPr>
    </w:p>
    <w:p>
      <w:pPr>
        <w:jc w:val="both"/>
        <w:ind w:left="480" w:hanging="313"/>
        <w:spacing w:after="0" w:line="181" w:lineRule="auto"/>
        <w:tabs>
          <w:tab w:leader="none" w:pos="480" w:val="left"/>
        </w:tabs>
        <w:numPr>
          <w:ilvl w:val="0"/>
          <w:numId w:val="36"/>
        </w:numPr>
        <w:rPr>
          <w:rFonts w:ascii="Arial" w:cs="Arial" w:eastAsia="Arial" w:hAnsi="Arial"/>
          <w:sz w:val="43"/>
          <w:szCs w:val="43"/>
          <w:color w:val="00C1DE"/>
          <w:vertAlign w:val="subscript"/>
        </w:rPr>
      </w:pPr>
      <w:r>
        <w:rPr>
          <w:rFonts w:ascii="Arial" w:cs="Arial" w:eastAsia="Arial" w:hAnsi="Arial"/>
          <w:sz w:val="18"/>
          <w:szCs w:val="18"/>
          <w:b w:val="1"/>
          <w:bCs w:val="1"/>
          <w:color w:val="3E3935"/>
        </w:rPr>
        <w:t xml:space="preserve">Finance Committee: </w:t>
      </w:r>
      <w:r>
        <w:rPr>
          <w:rFonts w:ascii="Arial" w:cs="Arial" w:eastAsia="Arial" w:hAnsi="Arial"/>
          <w:sz w:val="18"/>
          <w:szCs w:val="18"/>
          <w:color w:val="3E3935"/>
        </w:rPr>
        <w:t>Oversees risks related to (i) significant financial exposures and contingent liabilities of the</w:t>
      </w:r>
      <w:r>
        <w:rPr>
          <w:rFonts w:ascii="Arial" w:cs="Arial" w:eastAsia="Arial" w:hAnsi="Arial"/>
          <w:sz w:val="18"/>
          <w:szCs w:val="18"/>
          <w:b w:val="1"/>
          <w:bCs w:val="1"/>
          <w:color w:val="3E3935"/>
        </w:rPr>
        <w:t xml:space="preserve"> </w:t>
      </w:r>
      <w:r>
        <w:rPr>
          <w:rFonts w:ascii="Arial" w:cs="Arial" w:eastAsia="Arial" w:hAnsi="Arial"/>
          <w:sz w:val="18"/>
          <w:szCs w:val="18"/>
          <w:color w:val="3E3935"/>
        </w:rPr>
        <w:t>Company; (ii) regulatory compliance of employee-defined benefit plans; and (iii) M&amp;A activity and impacts from changes to the Company’s shareholder base.</w:t>
      </w:r>
    </w:p>
    <w:p>
      <w:pPr>
        <w:spacing w:after="0" w:line="2" w:lineRule="exact"/>
        <w:rPr>
          <w:rFonts w:ascii="Arial" w:cs="Arial" w:eastAsia="Arial" w:hAnsi="Arial"/>
          <w:sz w:val="43"/>
          <w:szCs w:val="43"/>
          <w:color w:val="00C1DE"/>
          <w:vertAlign w:val="subscript"/>
        </w:rPr>
      </w:pPr>
    </w:p>
    <w:p>
      <w:pPr>
        <w:ind w:left="480" w:hanging="313"/>
        <w:spacing w:after="0" w:line="180" w:lineRule="auto"/>
        <w:tabs>
          <w:tab w:leader="none" w:pos="480" w:val="left"/>
        </w:tabs>
        <w:numPr>
          <w:ilvl w:val="0"/>
          <w:numId w:val="36"/>
        </w:numPr>
        <w:rPr>
          <w:rFonts w:ascii="Arial" w:cs="Arial" w:eastAsia="Arial" w:hAnsi="Arial"/>
          <w:sz w:val="31"/>
          <w:szCs w:val="31"/>
          <w:color w:val="00C1DE"/>
          <w:vertAlign w:val="subscript"/>
        </w:rPr>
      </w:pPr>
      <w:r>
        <w:rPr>
          <w:rFonts w:ascii="Arial" w:cs="Arial" w:eastAsia="Arial" w:hAnsi="Arial"/>
          <w:sz w:val="15"/>
          <w:szCs w:val="15"/>
          <w:b w:val="1"/>
          <w:bCs w:val="1"/>
          <w:color w:val="3E3935"/>
        </w:rPr>
        <w:t xml:space="preserve">Governance and Corporate Responsibility Committee: </w:t>
      </w:r>
      <w:r>
        <w:rPr>
          <w:rFonts w:ascii="Arial" w:cs="Arial" w:eastAsia="Arial" w:hAnsi="Arial"/>
          <w:sz w:val="15"/>
          <w:szCs w:val="15"/>
          <w:color w:val="3E3935"/>
        </w:rPr>
        <w:t>Oversees risks related to (i) public policy and political activities;</w:t>
      </w:r>
    </w:p>
    <w:p>
      <w:pPr>
        <w:spacing w:after="0" w:line="1" w:lineRule="exact"/>
        <w:rPr>
          <w:rFonts w:ascii="Arial" w:cs="Arial" w:eastAsia="Arial" w:hAnsi="Arial"/>
          <w:sz w:val="31"/>
          <w:szCs w:val="31"/>
          <w:color w:val="00C1DE"/>
          <w:vertAlign w:val="subscript"/>
        </w:rPr>
      </w:pPr>
    </w:p>
    <w:p>
      <w:pPr>
        <w:ind w:left="800" w:hanging="312"/>
        <w:spacing w:after="0" w:line="223" w:lineRule="auto"/>
        <w:tabs>
          <w:tab w:leader="none" w:pos="800" w:val="left"/>
        </w:tabs>
        <w:numPr>
          <w:ilvl w:val="1"/>
          <w:numId w:val="36"/>
        </w:numPr>
        <w:rPr>
          <w:rFonts w:ascii="Arial" w:cs="Arial" w:eastAsia="Arial" w:hAnsi="Arial"/>
          <w:sz w:val="20"/>
          <w:szCs w:val="20"/>
          <w:color w:val="3E3935"/>
        </w:rPr>
      </w:pPr>
      <w:r>
        <w:rPr>
          <w:rFonts w:ascii="Arial" w:cs="Arial" w:eastAsia="Arial" w:hAnsi="Arial"/>
          <w:sz w:val="20"/>
          <w:szCs w:val="20"/>
          <w:color w:val="3E3935"/>
        </w:rPr>
        <w:t>director independence and related party transactions; (iii) the sustainability of our operations and products; and</w:t>
      </w:r>
    </w:p>
    <w:p>
      <w:pPr>
        <w:ind w:left="820" w:hanging="332"/>
        <w:spacing w:after="0"/>
        <w:tabs>
          <w:tab w:leader="none" w:pos="820" w:val="left"/>
        </w:tabs>
        <w:numPr>
          <w:ilvl w:val="1"/>
          <w:numId w:val="37"/>
        </w:numPr>
        <w:rPr>
          <w:rFonts w:ascii="Arial" w:cs="Arial" w:eastAsia="Arial" w:hAnsi="Arial"/>
          <w:sz w:val="20"/>
          <w:szCs w:val="20"/>
          <w:color w:val="3E3935"/>
        </w:rPr>
      </w:pPr>
      <w:r>
        <w:rPr>
          <w:rFonts w:ascii="Arial" w:cs="Arial" w:eastAsia="Arial" w:hAnsi="Arial"/>
          <w:sz w:val="20"/>
          <w:szCs w:val="20"/>
          <w:color w:val="3E3935"/>
        </w:rPr>
        <w:t>ESG disclosures in consultation with the Audit Committee.</w:t>
      </w:r>
    </w:p>
    <w:p>
      <w:pPr>
        <w:spacing w:after="0" w:line="44" w:lineRule="exact"/>
        <w:rPr>
          <w:rFonts w:ascii="Arial" w:cs="Arial" w:eastAsia="Arial" w:hAnsi="Arial"/>
          <w:sz w:val="20"/>
          <w:szCs w:val="20"/>
          <w:color w:val="3E3935"/>
        </w:rPr>
      </w:pPr>
    </w:p>
    <w:p>
      <w:pPr>
        <w:ind w:left="480" w:hanging="313"/>
        <w:spacing w:after="0" w:line="182" w:lineRule="auto"/>
        <w:tabs>
          <w:tab w:leader="none" w:pos="480" w:val="left"/>
        </w:tabs>
        <w:numPr>
          <w:ilvl w:val="0"/>
          <w:numId w:val="37"/>
        </w:numPr>
        <w:rPr>
          <w:rFonts w:ascii="Arial" w:cs="Arial" w:eastAsia="Arial" w:hAnsi="Arial"/>
          <w:sz w:val="38"/>
          <w:szCs w:val="38"/>
          <w:color w:val="00C1DE"/>
          <w:vertAlign w:val="subscript"/>
        </w:rPr>
      </w:pPr>
      <w:r>
        <w:rPr>
          <w:rFonts w:ascii="Arial" w:cs="Arial" w:eastAsia="Arial" w:hAnsi="Arial"/>
          <w:sz w:val="16"/>
          <w:szCs w:val="16"/>
          <w:b w:val="1"/>
          <w:bCs w:val="1"/>
          <w:color w:val="3E3935"/>
        </w:rPr>
        <w:t xml:space="preserve">Executive Compensation Committee: </w:t>
      </w:r>
      <w:r>
        <w:rPr>
          <w:rFonts w:ascii="Arial" w:cs="Arial" w:eastAsia="Arial" w:hAnsi="Arial"/>
          <w:sz w:val="16"/>
          <w:szCs w:val="16"/>
          <w:color w:val="3E3935"/>
        </w:rPr>
        <w:t>Oversees risks related to executive and employee compensation plans, including</w:t>
      </w:r>
      <w:r>
        <w:rPr>
          <w:rFonts w:ascii="Arial" w:cs="Arial" w:eastAsia="Arial" w:hAnsi="Arial"/>
          <w:sz w:val="16"/>
          <w:szCs w:val="16"/>
          <w:b w:val="1"/>
          <w:bCs w:val="1"/>
          <w:color w:val="3E3935"/>
        </w:rPr>
        <w:t xml:space="preserve"> </w:t>
      </w:r>
      <w:r>
        <w:rPr>
          <w:rFonts w:ascii="Arial" w:cs="Arial" w:eastAsia="Arial" w:hAnsi="Arial"/>
          <w:sz w:val="16"/>
          <w:szCs w:val="16"/>
          <w:color w:val="3E3935"/>
        </w:rPr>
        <w:t>by designing compensation plans that promote prudent risk management and do not encourage excessive risk-taking.</w:t>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210820</wp:posOffset>
            </wp:positionV>
            <wp:extent cx="5868035" cy="10102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68035" cy="101028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0" w:hanging="533"/>
        <w:spacing w:after="0"/>
        <w:tabs>
          <w:tab w:leader="none" w:pos="700" w:val="left"/>
        </w:tabs>
        <w:numPr>
          <w:ilvl w:val="0"/>
          <w:numId w:val="38"/>
        </w:numPr>
        <w:rPr>
          <w:rFonts w:ascii="Times New Roman" w:cs="Times New Roman" w:eastAsia="Times New Roman" w:hAnsi="Times New Roman"/>
          <w:sz w:val="21"/>
          <w:szCs w:val="21"/>
          <w:color w:val="0071CE"/>
        </w:rPr>
      </w:pPr>
      <w:r>
        <w:rPr>
          <w:rFonts w:ascii="Arial" w:cs="Arial" w:eastAsia="Arial" w:hAnsi="Arial"/>
          <w:sz w:val="25"/>
          <w:szCs w:val="25"/>
          <w:color w:val="3E3935"/>
        </w:rPr>
        <w:t>Cybersecurity Risk Oversight</w:t>
      </w:r>
    </w:p>
    <w:p>
      <w:pPr>
        <w:spacing w:after="0" w:line="208"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Each quarter, the Risk and Cybersecurity Committee reviews management’s Cybersecurity Maturity Scorecard, which leverages both the National Institute of Standards and Technology cybersecurity framework and the Federal Financial Institutions Examination Council maturity rating. Management discusses various topics, including information security, manufacturing cybersecurity, and product cybersecurity, and provides intelligence briefings on notable cyber events impacting the industry. The briefings summarize the vulnerabilities that led to the event, provide insight into what happened, and highlight learnings that GM can leverage in the future.</w:t>
      </w:r>
    </w:p>
    <w:p>
      <w:pPr>
        <w:spacing w:after="0" w:line="105"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GM’s Global Cybersecurity organization aligns cybersecurity domains across GM, GM Financial (our automotive finance subsidiary), Cruise (our majority-owned subsidiary responsible for the development and commercialization of autonomous vehicle technology), and our growth businesses (such as BrightDrop and OnStar Insurance). It also enables GM to leverage both business and technical experts to accelerate the development and execution of security solutions. Our global team is charged with executing enterprise, product, and manufacturing cybersecurity programs with a focus on security architecture, penetration testing, cyber risk management, incident response, vulnerability management, intelligence, awareness and training,</w:t>
      </w:r>
    </w:p>
    <w:p>
      <w:pPr>
        <w:spacing w:after="0" w:line="200" w:lineRule="exact"/>
        <w:rPr>
          <w:sz w:val="20"/>
          <w:szCs w:val="20"/>
          <w:color w:val="auto"/>
        </w:rPr>
      </w:pPr>
    </w:p>
    <w:p>
      <w:pPr>
        <w:spacing w:after="0" w:line="244" w:lineRule="exact"/>
        <w:rPr>
          <w:sz w:val="20"/>
          <w:szCs w:val="20"/>
          <w:color w:val="auto"/>
        </w:rPr>
      </w:pPr>
    </w:p>
    <w:p>
      <w:pPr>
        <w:ind w:left="700" w:hanging="533"/>
        <w:spacing w:after="0"/>
        <w:tabs>
          <w:tab w:leader="none" w:pos="700" w:val="left"/>
        </w:tabs>
        <w:numPr>
          <w:ilvl w:val="0"/>
          <w:numId w:val="39"/>
        </w:numPr>
        <w:rPr>
          <w:rFonts w:ascii="Times New Roman" w:cs="Times New Roman" w:eastAsia="Times New Roman" w:hAnsi="Times New Roman"/>
          <w:sz w:val="21"/>
          <w:szCs w:val="21"/>
          <w:color w:val="0071CE"/>
        </w:rPr>
      </w:pPr>
      <w:r>
        <w:rPr>
          <w:rFonts w:ascii="Arial" w:cs="Arial" w:eastAsia="Arial" w:hAnsi="Arial"/>
          <w:sz w:val="25"/>
          <w:szCs w:val="25"/>
          <w:color w:val="3E3935"/>
        </w:rPr>
        <w:t>Privacy Risk Oversight</w:t>
      </w:r>
    </w:p>
    <w:p>
      <w:pPr>
        <w:spacing w:after="0" w:line="20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In recent years, GM’s Strategic Risk Management team determined that privacy risks were increasing in significance due to the enactment of new and more stringent U.S. and global regulations on the use and protection of personal information. Accordingly, the Risk and Cybersecurity Committee has taken steps to continue to enhance its oversight of GM’s data privacy policies and practices. Pursuant to the</w:t>
      </w:r>
    </w:p>
    <w:p>
      <w:pPr>
        <w:spacing w:after="0" w:line="257" w:lineRule="exact"/>
        <w:rPr>
          <w:sz w:val="20"/>
          <w:szCs w:val="20"/>
          <w:color w:val="auto"/>
        </w:rPr>
      </w:pPr>
    </w:p>
    <w:p>
      <w:pPr>
        <w:jc w:val="center"/>
        <w:ind w:right="4920"/>
        <w:spacing w:after="0"/>
        <w:rPr>
          <w:sz w:val="20"/>
          <w:szCs w:val="20"/>
          <w:color w:val="auto"/>
        </w:rPr>
      </w:pPr>
      <w:r>
        <w:rPr>
          <w:rFonts w:ascii="Arial" w:cs="Arial" w:eastAsia="Arial" w:hAnsi="Arial"/>
          <w:sz w:val="14"/>
          <w:szCs w:val="14"/>
          <w:color w:val="0071C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and governance. GM applies a defense-in-depth cybersecurity strategy, making it more difficult for attackers to breach our defenses and allowing for quick detection, deflection, and counteraction of attempts at unauthorized access. Beyond the GM ecosystem, GM leverages a Third-Party Cybersecurity Program to minimize disruption to GM’s business and production operations, strengthen supply chain resilience in response to cyber-related events, and ensure the integrity of components and systems used in GM’s products.</w:t>
      </w:r>
    </w:p>
    <w:p>
      <w:pPr>
        <w:spacing w:after="0" w:line="1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GM also includes multi-domain cybersecurity training as part of its corporate required training program. In addition, training and awareness is integrated and continues throughout the year, utilizing various delivery methods such as phishing awareness campaigns, live training sessions, and informational articles. GM continues to invest heavily in cybersecurity, including through our nearly 500 dedicated employees. These employees have diverse skillsets and include pen-testers, cryptologists, analysts, architects, data analysts, security engineers, program managers, and “true hackers.” The Global Cybersecurity team uses a balanced approach in validating the efficacy of its risk management program, leveraging cybersecurity resources and GM’s internal audit services, as well as engaging with external, third-party expertise at least annually across the domains.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Committee’s charter, the Committee is responsible for overseeing GM’s privacy risks relating to the Company’s employees, customers, and other stakeholders. The Committee also devotes portions of its meetings to discuss critical privacy issues with management, including GM’s processes and policies designed to ensure compliance with emerging state, federal, and international laws and regulations.</w:t>
      </w:r>
    </w:p>
    <w:p>
      <w:pPr>
        <w:sectPr>
          <w:pgSz w:w="11900" w:h="16838" w:orient="portrait"/>
          <w:cols w:equalWidth="0" w:num="2">
            <w:col w:w="5400" w:space="340"/>
            <w:col w:w="5340"/>
          </w:cols>
          <w:pgMar w:left="320" w:top="454" w:right="4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The Board’s Governance Policies and Practices</w:t>
      </w:r>
    </w:p>
    <w:p>
      <w:pPr>
        <w:spacing w:after="0" w:line="263" w:lineRule="exact"/>
        <w:rPr>
          <w:sz w:val="20"/>
          <w:szCs w:val="20"/>
          <w:color w:val="auto"/>
        </w:rPr>
      </w:pPr>
    </w:p>
    <w:p>
      <w:pPr>
        <w:ind w:left="700" w:hanging="533"/>
        <w:spacing w:after="0"/>
        <w:tabs>
          <w:tab w:leader="none" w:pos="700" w:val="left"/>
        </w:tabs>
        <w:numPr>
          <w:ilvl w:val="0"/>
          <w:numId w:val="40"/>
        </w:numPr>
        <w:rPr>
          <w:rFonts w:ascii="Times New Roman" w:cs="Times New Roman" w:eastAsia="Times New Roman" w:hAnsi="Times New Roman"/>
          <w:sz w:val="21"/>
          <w:szCs w:val="21"/>
          <w:color w:val="0071CE"/>
        </w:rPr>
      </w:pPr>
      <w:r>
        <w:rPr>
          <w:rFonts w:ascii="Arial" w:cs="Arial" w:eastAsia="Arial" w:hAnsi="Arial"/>
          <w:sz w:val="25"/>
          <w:szCs w:val="25"/>
          <w:color w:val="3E3935"/>
        </w:rPr>
        <w:t>Code of Conduct: “Winning with Integrity”</w:t>
      </w:r>
    </w:p>
    <w:p>
      <w:pPr>
        <w:sectPr>
          <w:pgSz w:w="11900" w:h="16838" w:orient="portrait"/>
          <w:cols w:equalWidth="0" w:num="1">
            <w:col w:w="11080"/>
          </w:cols>
          <w:pgMar w:left="320" w:top="454" w:right="499" w:bottom="1440" w:gutter="0" w:footer="0" w:header="0"/>
        </w:sectPr>
      </w:pPr>
    </w:p>
    <w:p>
      <w:pPr>
        <w:spacing w:after="0" w:line="208"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Board is committed to the highest legal and ethical standards in fulfilling its responsibilities. We have adopted a code of business conduct and ethics, “Winning with Integrity,” that applies to everyone in our Company, at every level, including employees, executives, Board members and, as applicable, subsidiaries that GM controls. This Code of Conduct forms the foundation for compliance with corporate policies and procedures and creates a Company-wide focus on uncompromising integrity in every aspect of our operations. It embodies our expectations on a number of topics, including workplace and vehicle safety; DE&amp;I; conflicts of interest; protection of confidential information; insider trading; competition and fair dealing; human rights; community involvement and corporate citizenship; political activities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5876925" cy="34137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6925" cy="3413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3E3935"/>
        </w:rPr>
        <w:t>lobbying; preservation and use of Company assets; and compliance with laws and regulations. Employees are expected to report any conduct that they believe in good faith to be an actual or apparent violation of our Code of Conduct.</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3E3935"/>
        </w:rPr>
        <w:t xml:space="preserve">The Code of Conduct is available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10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 xml:space="preserve">In addition, GM’s Insider Trading Policy prohibits all GM directors and employees, including executive officers, from trading in GM securities while in possession of material, non-public information about the Company, and from trading any GM derivatives (e.g., put or call options), engaging in short sales or otherwise engaging in hedging activities, and pledging of GM securities. This policy is posted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269"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hanging="533"/>
        <w:spacing w:after="0"/>
        <w:tabs>
          <w:tab w:leader="none" w:pos="700" w:val="left"/>
        </w:tabs>
        <w:numPr>
          <w:ilvl w:val="0"/>
          <w:numId w:val="41"/>
        </w:numPr>
        <w:rPr>
          <w:rFonts w:ascii="Times New Roman" w:cs="Times New Roman" w:eastAsia="Times New Roman" w:hAnsi="Times New Roman"/>
          <w:sz w:val="21"/>
          <w:szCs w:val="21"/>
          <w:color w:val="0071CE"/>
        </w:rPr>
      </w:pPr>
      <w:r>
        <w:rPr>
          <w:rFonts w:ascii="Arial" w:cs="Arial" w:eastAsia="Arial" w:hAnsi="Arial"/>
          <w:sz w:val="25"/>
          <w:szCs w:val="25"/>
          <w:color w:val="3E3935"/>
        </w:rPr>
        <w:t>Corporate Governance Guidelines</w:t>
      </w:r>
    </w:p>
    <w:p>
      <w:pPr>
        <w:spacing w:after="0" w:line="208"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Our Corporate Governance Guidelines form a transparent framework for the effective governance of the Company. The Corporate Governance Guidelines address matters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the respective roles and responsibilities of the Board and management, the Board’s leadership structure, the responsibilities of the Independent Lead Director, director independence, Board</w:t>
      </w:r>
    </w:p>
    <w:p>
      <w:pPr>
        <w:spacing w:after="0" w:line="266"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-95885</wp:posOffset>
            </wp:positionV>
            <wp:extent cx="5927725" cy="101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400" w:space="340"/>
            <w:col w:w="5340"/>
          </w:cols>
          <w:pgMar w:left="320" w:top="454"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3"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membership criteria, Board Committees, and Board and CEO evaluations. The Governance Committee regularly reviews the Corporate Governance Guidelines and periodically recommends to the Board the adoption of amendments in response to changing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evolving best practices, and shareholder concerns. A summary of our corporate governance best practices is discussed in the “Shareholder Protections and Governance Best Practices” section on page 32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-1123950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239" w:lineRule="exact"/>
        <w:rPr>
          <w:sz w:val="20"/>
          <w:szCs w:val="20"/>
          <w:color w:val="auto"/>
        </w:rPr>
      </w:pPr>
    </w:p>
    <w:p>
      <w:pPr>
        <w:ind w:left="700" w:hanging="533"/>
        <w:spacing w:after="0"/>
        <w:tabs>
          <w:tab w:leader="none" w:pos="700" w:val="left"/>
        </w:tabs>
        <w:numPr>
          <w:ilvl w:val="0"/>
          <w:numId w:val="42"/>
        </w:numPr>
        <w:rPr>
          <w:rFonts w:ascii="Times New Roman" w:cs="Times New Roman" w:eastAsia="Times New Roman" w:hAnsi="Times New Roman"/>
          <w:sz w:val="21"/>
          <w:szCs w:val="21"/>
          <w:color w:val="0071CE"/>
        </w:rPr>
      </w:pPr>
      <w:r>
        <w:rPr>
          <w:rFonts w:ascii="Arial" w:cs="Arial" w:eastAsia="Arial" w:hAnsi="Arial"/>
          <w:sz w:val="25"/>
          <w:szCs w:val="25"/>
          <w:color w:val="3E3935"/>
        </w:rPr>
        <w:t>CEO Succession Planning</w:t>
      </w:r>
    </w:p>
    <w:p>
      <w:pPr>
        <w:spacing w:after="0" w:line="208"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Our Independent Lead Director oversees the CEO succession planning process and leads, at least annually, the Board’s discussion of CEO succession planning. Our CEO provides the Board with recommendations for, and evaluations of, potential CEO successors and reviews with the Board developmental plans for these successors. Directors engage with CEO candidates and senior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management talent at Board and Committee meetings and other forums to enable directors to personally assess candidates. The Board reviews management succession planning in the ordinary course of business as well as contingency planning in the event of an emergency or unanticipated event.</w:t>
      </w:r>
    </w:p>
    <w:p>
      <w:pPr>
        <w:spacing w:after="0" w:line="413"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42" w:lineRule="exact"/>
        <w:rPr>
          <w:sz w:val="20"/>
          <w:szCs w:val="20"/>
          <w:color w:val="auto"/>
        </w:rPr>
      </w:pPr>
    </w:p>
    <w:p>
      <w:pPr>
        <w:ind w:left="700" w:hanging="533"/>
        <w:spacing w:after="0"/>
        <w:tabs>
          <w:tab w:leader="none" w:pos="700" w:val="left"/>
        </w:tabs>
        <w:numPr>
          <w:ilvl w:val="0"/>
          <w:numId w:val="43"/>
        </w:numPr>
        <w:rPr>
          <w:rFonts w:ascii="Times New Roman" w:cs="Times New Roman" w:eastAsia="Times New Roman" w:hAnsi="Times New Roman"/>
          <w:sz w:val="21"/>
          <w:szCs w:val="21"/>
          <w:color w:val="0071CE"/>
        </w:rPr>
      </w:pPr>
      <w:r>
        <w:rPr>
          <w:rFonts w:ascii="Arial" w:cs="Arial" w:eastAsia="Arial" w:hAnsi="Arial"/>
          <w:sz w:val="25"/>
          <w:szCs w:val="25"/>
          <w:color w:val="3E3935"/>
        </w:rPr>
        <w:t>Board and Committee Evaluations</w:t>
      </w:r>
    </w:p>
    <w:p>
      <w:pPr>
        <w:spacing w:after="0" w:line="141"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Governance Committee periodically reviews the form and process for Board and Committee self-evaluations. The Board’s evaluation process is based on extensive benchmarking, engagement with shareholders, and internal discussion. Below is a summary of the self-evaluation process for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139700</wp:posOffset>
            </wp:positionV>
            <wp:extent cx="5146675" cy="7556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6675" cy="75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Throughout the process, directors have ample opportunity to provide feedback on Board, Committee, and individual director performance. The Board is committed to implementing feedback from its self-evaluations. Recent examples of changes to practices include evolving the composition of the Board (see page 13 of this Proxy Statement), conducting an extensive review of the Company’s e-commerce strategy, increasing the number of standing Audit Committee meetings, and increasing the frequency of off-cycle Board touchpoints and communications.</w:t>
      </w:r>
    </w:p>
    <w:p>
      <w:pPr>
        <w:sectPr>
          <w:pgSz w:w="11900" w:h="16838" w:orient="portrait"/>
          <w:cols w:equalWidth="0" w:num="1">
            <w:col w:w="11080"/>
          </w:cols>
          <w:pgMar w:left="320" w:top="454" w:right="499" w:bottom="1440" w:gutter="0" w:footer="0" w:header="0"/>
          <w:type w:val="continuous"/>
        </w:sectPr>
      </w:pPr>
    </w:p>
    <w:p>
      <w:pPr>
        <w:spacing w:after="0" w:line="292" w:lineRule="exact"/>
        <w:rPr>
          <w:sz w:val="20"/>
          <w:szCs w:val="20"/>
          <w:color w:val="auto"/>
        </w:rPr>
      </w:pPr>
    </w:p>
    <w:p>
      <w:pPr>
        <w:ind w:left="700" w:hanging="533"/>
        <w:spacing w:after="0"/>
        <w:tabs>
          <w:tab w:leader="none" w:pos="700" w:val="left"/>
        </w:tabs>
        <w:numPr>
          <w:ilvl w:val="0"/>
          <w:numId w:val="44"/>
        </w:numPr>
        <w:rPr>
          <w:rFonts w:ascii="Times New Roman" w:cs="Times New Roman" w:eastAsia="Times New Roman" w:hAnsi="Times New Roman"/>
          <w:sz w:val="21"/>
          <w:szCs w:val="21"/>
          <w:color w:val="0071CE"/>
        </w:rPr>
      </w:pPr>
      <w:r>
        <w:rPr>
          <w:rFonts w:ascii="Arial" w:cs="Arial" w:eastAsia="Arial" w:hAnsi="Arial"/>
          <w:sz w:val="25"/>
          <w:szCs w:val="25"/>
          <w:color w:val="3E3935"/>
        </w:rPr>
        <w:t>Annual Evaluation of CEO</w:t>
      </w:r>
    </w:p>
    <w:p>
      <w:pPr>
        <w:spacing w:after="0" w:line="20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Each year, the Board reviews the CEO’s performance against her annual strategic goals. The non-management directors, meeting separately in executive session, annually conduct a formal evaluation of the CEO, which is communicated to the CEO by the Independent Lead Director. The evaluation is based on both objective and subjective criteria, including, but not limited to, the Company’s financial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accomplishment of ongoing initiatives in furtherance of the Company’s long-term strategic objectives, and development of the Company’s senior management talent. The results of the evaluation are considered by the Compensation Committee in determining the compensation of the CEO as further described in the “Executive Compensation” section beginning on page 46 of this Proxy Statement.</w:t>
      </w:r>
    </w:p>
    <w:p>
      <w:pPr>
        <w:spacing w:after="0" w:line="411"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71"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45"/>
        </w:numPr>
        <w:rPr>
          <w:rFonts w:ascii="Times New Roman" w:cs="Times New Roman" w:eastAsia="Times New Roman" w:hAnsi="Times New Roman"/>
          <w:sz w:val="21"/>
          <w:szCs w:val="21"/>
          <w:color w:val="0071CE"/>
        </w:rPr>
      </w:pPr>
      <w:r>
        <w:rPr>
          <w:rFonts w:ascii="Arial" w:cs="Arial" w:eastAsia="Arial" w:hAnsi="Arial"/>
          <w:sz w:val="25"/>
          <w:szCs w:val="25"/>
          <w:color w:val="3E3935"/>
        </w:rPr>
        <w:t>Director Orientation and Continuing Education</w:t>
      </w:r>
    </w:p>
    <w:p>
      <w:pPr>
        <w:sectPr>
          <w:pgSz w:w="11900" w:h="16838" w:orient="portrait"/>
          <w:cols w:equalWidth="0" w:num="1">
            <w:col w:w="11080"/>
          </w:cols>
          <w:pgMar w:left="320" w:top="454" w:right="499" w:bottom="1440" w:gutter="0" w:footer="0" w:header="0"/>
        </w:sectPr>
      </w:pP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9"/>
          <w:szCs w:val="19"/>
          <w:color w:val="3E3935"/>
        </w:rPr>
        <w:t>All new directors participate in the Company’s director orientation program. The orientation enables new directors to become familiar with the Company’s business and strategic plans; significant financial matters; core values and behaviors, including ethics; compliance programs; corporate governance practices; and other key policies and practices.</w:t>
      </w:r>
    </w:p>
    <w:p>
      <w:pPr>
        <w:spacing w:after="0" w:line="104"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Continuing education opportunities are provided to keep directors updated with information about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the Company and its strategy, operations, products, and other matters relevant to Board service. Board members are encouraged to visit GM facilities and dealers and attend auto shows and other key corporate and industry events to enhance their understanding of the Company and its competitors in the automotive industry. In addition, all directors are encouraged to attend, at our expense, director continuing education programs sponsored by governance organizations and other institutions.</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40" w:lineRule="exact"/>
        <w:rPr>
          <w:sz w:val="20"/>
          <w:szCs w:val="20"/>
          <w:color w:val="auto"/>
        </w:rPr>
      </w:pPr>
    </w:p>
    <w:p>
      <w:pPr>
        <w:ind w:left="700" w:hanging="533"/>
        <w:spacing w:after="0"/>
        <w:tabs>
          <w:tab w:leader="none" w:pos="700" w:val="left"/>
        </w:tabs>
        <w:numPr>
          <w:ilvl w:val="0"/>
          <w:numId w:val="46"/>
        </w:numPr>
        <w:rPr>
          <w:rFonts w:ascii="Times New Roman" w:cs="Times New Roman" w:eastAsia="Times New Roman" w:hAnsi="Times New Roman"/>
          <w:sz w:val="20"/>
          <w:szCs w:val="20"/>
          <w:color w:val="0071CE"/>
        </w:rPr>
      </w:pPr>
      <w:r>
        <w:rPr>
          <w:rFonts w:ascii="Arial" w:cs="Arial" w:eastAsia="Arial" w:hAnsi="Arial"/>
          <w:sz w:val="24"/>
          <w:szCs w:val="24"/>
          <w:color w:val="3E3935"/>
        </w:rPr>
        <w:t>Director Service on Other Public Company Boards</w:t>
      </w:r>
    </w:p>
    <w:p>
      <w:pPr>
        <w:sectPr>
          <w:pgSz w:w="11900" w:h="16838" w:orient="portrait"/>
          <w:cols w:equalWidth="0" w:num="1">
            <w:col w:w="11080"/>
          </w:cols>
          <w:pgMar w:left="320" w:top="454" w:right="499" w:bottom="1440" w:gutter="0" w:footer="0" w:header="0"/>
          <w:type w:val="continuous"/>
        </w:sectPr>
      </w:pPr>
    </w:p>
    <w:p>
      <w:pPr>
        <w:spacing w:after="0" w:line="220"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Board Chair, Independent Lead Director, or Chair of the Governance Committee in advance of accepting an invitation to serve on another board of directors or any audit committee of another public company’s board. This allows the Governance Committee to assess the impact of the director joining another board based on various factors relevant to the specific situation, including the nature and extent of a director’s other professional obligations and the time commitment required by the new position. Directors who are engaged in active, full-time employment, for example, could have less time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left="7"/>
        <w:spacing w:after="0" w:line="234" w:lineRule="auto"/>
        <w:rPr>
          <w:sz w:val="20"/>
          <w:szCs w:val="20"/>
          <w:color w:val="auto"/>
        </w:rPr>
      </w:pPr>
      <w:r>
        <w:rPr>
          <w:rFonts w:ascii="Arial" w:cs="Arial" w:eastAsia="Arial" w:hAnsi="Arial"/>
          <w:sz w:val="20"/>
          <w:szCs w:val="20"/>
          <w:color w:val="3E3935"/>
        </w:rPr>
        <w:t>devote to board service than a director whose principal occupation is serving on boards. Our Corporate Governance Guidelines provide that without obtaining the approval of the Board:</w:t>
      </w:r>
    </w:p>
    <w:p>
      <w:pPr>
        <w:spacing w:after="0" w:line="79" w:lineRule="exact"/>
        <w:rPr>
          <w:sz w:val="20"/>
          <w:szCs w:val="20"/>
          <w:color w:val="auto"/>
        </w:rPr>
      </w:pPr>
    </w:p>
    <w:p>
      <w:pPr>
        <w:jc w:val="both"/>
        <w:ind w:left="267" w:right="20" w:hanging="267"/>
        <w:spacing w:after="0" w:line="220" w:lineRule="auto"/>
        <w:tabs>
          <w:tab w:leader="none" w:pos="267" w:val="left"/>
        </w:tabs>
        <w:numPr>
          <w:ilvl w:val="0"/>
          <w:numId w:val="47"/>
        </w:numPr>
        <w:rPr>
          <w:rFonts w:ascii="Arial" w:cs="Arial" w:eastAsia="Arial" w:hAnsi="Arial"/>
          <w:sz w:val="47"/>
          <w:szCs w:val="47"/>
          <w:color w:val="00C1DE"/>
          <w:vertAlign w:val="subscript"/>
        </w:rPr>
      </w:pPr>
      <w:r>
        <w:rPr>
          <w:rFonts w:ascii="Arial" w:cs="Arial" w:eastAsia="Arial" w:hAnsi="Arial"/>
          <w:sz w:val="18"/>
          <w:szCs w:val="18"/>
          <w:color w:val="3E3935"/>
        </w:rPr>
        <w:t>A director may not serve on the boards of more than four other public companies (excluding nonprofits and subsidiaries); and</w:t>
      </w:r>
    </w:p>
    <w:p>
      <w:pPr>
        <w:spacing w:after="0" w:line="77" w:lineRule="exact"/>
        <w:rPr>
          <w:rFonts w:ascii="Arial" w:cs="Arial" w:eastAsia="Arial" w:hAnsi="Arial"/>
          <w:sz w:val="47"/>
          <w:szCs w:val="47"/>
          <w:color w:val="00C1DE"/>
          <w:vertAlign w:val="subscript"/>
        </w:rPr>
      </w:pPr>
    </w:p>
    <w:p>
      <w:pPr>
        <w:ind w:left="267" w:right="20" w:hanging="267"/>
        <w:spacing w:after="0" w:line="182" w:lineRule="auto"/>
        <w:tabs>
          <w:tab w:leader="none" w:pos="267" w:val="left"/>
        </w:tabs>
        <w:numPr>
          <w:ilvl w:val="0"/>
          <w:numId w:val="47"/>
        </w:numPr>
        <w:rPr>
          <w:rFonts w:ascii="Arial" w:cs="Arial" w:eastAsia="Arial" w:hAnsi="Arial"/>
          <w:sz w:val="38"/>
          <w:szCs w:val="38"/>
          <w:color w:val="00C1DE"/>
          <w:vertAlign w:val="subscript"/>
        </w:rPr>
      </w:pPr>
      <w:r>
        <w:rPr>
          <w:rFonts w:ascii="Arial" w:cs="Arial" w:eastAsia="Arial" w:hAnsi="Arial"/>
          <w:sz w:val="16"/>
          <w:szCs w:val="16"/>
          <w:color w:val="3E3935"/>
        </w:rPr>
        <w:t>No member of the Audit Committee may serve on more than two other public company audit committees.</w:t>
      </w:r>
    </w:p>
    <w:p>
      <w:pPr>
        <w:spacing w:after="0" w:line="104" w:lineRule="exact"/>
        <w:rPr>
          <w:sz w:val="20"/>
          <w:szCs w:val="20"/>
          <w:color w:val="auto"/>
        </w:rPr>
      </w:pPr>
    </w:p>
    <w:p>
      <w:pPr>
        <w:jc w:val="both"/>
        <w:ind w:left="7"/>
        <w:spacing w:after="0" w:line="232" w:lineRule="auto"/>
        <w:rPr>
          <w:sz w:val="20"/>
          <w:szCs w:val="20"/>
          <w:color w:val="auto"/>
        </w:rPr>
      </w:pPr>
      <w:r>
        <w:rPr>
          <w:rFonts w:ascii="Arial" w:cs="Arial" w:eastAsia="Arial" w:hAnsi="Arial"/>
          <w:sz w:val="20"/>
          <w:szCs w:val="20"/>
          <w:color w:val="3E3935"/>
        </w:rPr>
        <w:t>In general, senior members of management may not serve on the board of more than one other public company or for-profit entity, and executive officers must obtain the approval of the Governance Committee prior to accepting an invitation to serve on an outside board.</w:t>
      </w:r>
    </w:p>
    <w:p>
      <w:pPr>
        <w:spacing w:after="0" w:line="239" w:lineRule="exact"/>
        <w:rPr>
          <w:sz w:val="20"/>
          <w:szCs w:val="20"/>
          <w:color w:val="auto"/>
        </w:rPr>
      </w:pPr>
    </w:p>
    <w:p>
      <w:pPr>
        <w:sectPr>
          <w:pgSz w:w="11900" w:h="16838" w:orient="portrait"/>
          <w:cols w:equalWidth="0" w:num="2">
            <w:col w:w="5400" w:space="333"/>
            <w:col w:w="5347"/>
          </w:cols>
          <w:pgMar w:left="320" w:top="454" w:right="499" w:bottom="1440" w:gutter="0" w:footer="0" w:header="0"/>
          <w:type w:val="continuous"/>
        </w:sectPr>
      </w:pPr>
    </w:p>
    <w:p>
      <w:pPr>
        <w:spacing w:after="0" w:line="239" w:lineRule="exact"/>
        <w:rPr>
          <w:sz w:val="20"/>
          <w:szCs w:val="20"/>
          <w:color w:val="auto"/>
        </w:rPr>
      </w:pPr>
    </w:p>
    <w:p>
      <w:pPr>
        <w:ind w:left="700" w:hanging="533"/>
        <w:spacing w:after="0"/>
        <w:tabs>
          <w:tab w:leader="none" w:pos="700" w:val="left"/>
        </w:tabs>
        <w:numPr>
          <w:ilvl w:val="0"/>
          <w:numId w:val="48"/>
        </w:numPr>
        <w:rPr>
          <w:rFonts w:ascii="Times New Roman" w:cs="Times New Roman" w:eastAsia="Times New Roman" w:hAnsi="Times New Roman"/>
          <w:sz w:val="20"/>
          <w:szCs w:val="20"/>
          <w:color w:val="0071CE"/>
        </w:rPr>
      </w:pPr>
      <w:r>
        <w:rPr>
          <w:rFonts w:ascii="Arial" w:cs="Arial" w:eastAsia="Arial" w:hAnsi="Arial"/>
          <w:sz w:val="24"/>
          <w:szCs w:val="24"/>
          <w:color w:val="3E3935"/>
        </w:rPr>
        <w:t>Compensation Committee Interlocks and Insider Participation</w:t>
      </w:r>
    </w:p>
    <w:p>
      <w:pPr>
        <w:sectPr>
          <w:pgSz w:w="11900" w:h="16838" w:orient="portrait"/>
          <w:cols w:equalWidth="0" w:num="1">
            <w:col w:w="11080"/>
          </w:cols>
          <w:pgMar w:left="320" w:top="454" w:right="499" w:bottom="1440" w:gutter="0" w:footer="0" w:header="0"/>
          <w:type w:val="continuous"/>
        </w:sectPr>
      </w:pPr>
    </w:p>
    <w:p>
      <w:pPr>
        <w:spacing w:after="0" w:line="220" w:lineRule="exact"/>
        <w:rPr>
          <w:sz w:val="20"/>
          <w:szCs w:val="20"/>
          <w:color w:val="auto"/>
        </w:rPr>
      </w:pPr>
    </w:p>
    <w:p>
      <w:pPr>
        <w:jc w:val="both"/>
        <w:ind w:left="160"/>
        <w:spacing w:after="0" w:line="249" w:lineRule="auto"/>
        <w:rPr>
          <w:sz w:val="20"/>
          <w:szCs w:val="20"/>
          <w:color w:val="auto"/>
        </w:rPr>
      </w:pPr>
      <w:r>
        <w:rPr>
          <w:rFonts w:ascii="Arial" w:cs="Arial" w:eastAsia="Arial" w:hAnsi="Arial"/>
          <w:sz w:val="19"/>
          <w:szCs w:val="19"/>
          <w:color w:val="3E3935"/>
        </w:rPr>
        <w:t>Mses. Stephenson, Russo, and Whitman, and Messrs. Bush and Jimenez served on the Compensation Committee in 2021. As of the date of this Proxy Statement, no member of the Compensation Committee was or is a GM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or employee, and no executive officer of the Company served or serves on a compensation committee or board of any company that employed or employs any member of the Company’s Compensation Committee or Board.</w:t>
      </w:r>
    </w:p>
    <w:p>
      <w:pPr>
        <w:spacing w:after="0" w:line="209"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4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Shareholder Engagement</w:t>
      </w:r>
    </w:p>
    <w:p>
      <w:pPr>
        <w:spacing w:after="0" w:line="15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Company has an extensive outreach program and routinely engages with institutional shareholders and other stakeholders to help the Board and management gain feedback on a variety of topics. The feedback received from these sessions is communicated to the Governance Committee and Compensation Committee on a regular basis throughout the year. Then, on an annual basis, the Governance Committee considers whether changes to our policies and practices are required in order to meet evolving expectations and best practices. Recent shareholder engagement highlights include:</w:t>
      </w:r>
    </w:p>
    <w:p>
      <w:pPr>
        <w:spacing w:after="0" w:line="79" w:lineRule="exact"/>
        <w:rPr>
          <w:sz w:val="20"/>
          <w:szCs w:val="20"/>
          <w:color w:val="auto"/>
        </w:rPr>
      </w:pPr>
    </w:p>
    <w:p>
      <w:pPr>
        <w:jc w:val="both"/>
        <w:ind w:left="480" w:hanging="313"/>
        <w:spacing w:after="0" w:line="181" w:lineRule="auto"/>
        <w:tabs>
          <w:tab w:leader="none" w:pos="480" w:val="left"/>
        </w:tabs>
        <w:numPr>
          <w:ilvl w:val="0"/>
          <w:numId w:val="49"/>
        </w:numPr>
        <w:rPr>
          <w:rFonts w:ascii="Arial" w:cs="Arial" w:eastAsia="Arial" w:hAnsi="Arial"/>
          <w:sz w:val="43"/>
          <w:szCs w:val="43"/>
          <w:color w:val="00C1DE"/>
          <w:vertAlign w:val="subscript"/>
        </w:rPr>
      </w:pPr>
      <w:r>
        <w:rPr>
          <w:rFonts w:ascii="Arial" w:cs="Arial" w:eastAsia="Arial" w:hAnsi="Arial"/>
          <w:sz w:val="18"/>
          <w:szCs w:val="18"/>
          <w:color w:val="3E3935"/>
        </w:rPr>
        <w:t>Since the last annual meeting, the Independent Lead Director, Ms. Russo, and the Chair and CEO, Ms. Barra, engaged with institutional shareholders owning over 18 percent of the Company’s outstanding common stock, including the lead investor from the Climate Action 100+ initiative.</w:t>
      </w:r>
    </w:p>
    <w:p>
      <w:pPr>
        <w:spacing w:after="0" w:line="198" w:lineRule="exact"/>
        <w:rPr>
          <w:sz w:val="20"/>
          <w:szCs w:val="20"/>
          <w:color w:val="auto"/>
        </w:rPr>
      </w:pPr>
    </w:p>
    <w:p>
      <w:pPr>
        <w:jc w:val="both"/>
        <w:ind w:left="3340"/>
        <w:spacing w:after="0"/>
        <w:rPr>
          <w:sz w:val="20"/>
          <w:szCs w:val="20"/>
          <w:color w:val="auto"/>
        </w:rPr>
      </w:pPr>
      <w:r>
        <w:rPr>
          <w:rFonts w:ascii="Arial" w:cs="Arial" w:eastAsia="Arial" w:hAnsi="Arial"/>
          <w:sz w:val="19"/>
          <w:szCs w:val="19"/>
          <w:color w:val="0071CE"/>
        </w:rPr>
        <w:t>“As the Independent Lead Director, I regularly engage with our investors and other key stakeholders, which include many of the leading voices in sustainable and ESG investing. Our engagements this year focused on the Board’s oversight of ESG risks and opportunities, GM’s DE&amp;I initiatives, recent enhancements to our executive compensation plans, critical public policy issues, and our ongoing efforts to build a more sustainable and resilient global supply chain. I shared the insights we received from these recent engagements with my colleagues on our Board. We take this investor feedback very seriously, and we’ll consider the messages we heard as we continue to accelerate the Company’s EV transformation and execute our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-1234440</wp:posOffset>
            </wp:positionV>
            <wp:extent cx="1256665" cy="12566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jc w:val="center"/>
        <w:ind w:right="7900"/>
        <w:spacing w:after="0"/>
        <w:rPr>
          <w:sz w:val="20"/>
          <w:szCs w:val="20"/>
          <w:color w:val="auto"/>
        </w:rPr>
      </w:pPr>
      <w:r>
        <w:rPr>
          <w:rFonts w:ascii="Arial" w:cs="Arial" w:eastAsia="Arial" w:hAnsi="Arial"/>
          <w:sz w:val="20"/>
          <w:szCs w:val="20"/>
          <w:color w:val="3E3935"/>
        </w:rPr>
        <w:t>Patricia F. Russo</w:t>
      </w:r>
    </w:p>
    <w:p>
      <w:pPr>
        <w:spacing w:after="0" w:line="2" w:lineRule="exact"/>
        <w:rPr>
          <w:sz w:val="20"/>
          <w:szCs w:val="20"/>
          <w:color w:val="auto"/>
        </w:rPr>
      </w:pPr>
    </w:p>
    <w:p>
      <w:pPr>
        <w:jc w:val="center"/>
        <w:ind w:right="7900"/>
        <w:spacing w:after="0"/>
        <w:rPr>
          <w:sz w:val="20"/>
          <w:szCs w:val="20"/>
          <w:color w:val="auto"/>
        </w:rPr>
      </w:pPr>
      <w:r>
        <w:rPr>
          <w:rFonts w:ascii="Arial" w:cs="Arial" w:eastAsia="Arial" w:hAnsi="Arial"/>
          <w:sz w:val="20"/>
          <w:szCs w:val="20"/>
          <w:color w:val="3E3935"/>
        </w:rPr>
        <w:t>Independent Lead Director</w:t>
      </w:r>
    </w:p>
    <w:p>
      <w:pPr>
        <w:spacing w:after="0" w:line="100" w:lineRule="exact"/>
        <w:rPr>
          <w:sz w:val="20"/>
          <w:szCs w:val="20"/>
          <w:color w:val="auto"/>
        </w:rPr>
      </w:pPr>
    </w:p>
    <w:p>
      <w:pPr>
        <w:ind w:left="480" w:right="20" w:hanging="313"/>
        <w:spacing w:after="0" w:line="182" w:lineRule="auto"/>
        <w:tabs>
          <w:tab w:leader="none" w:pos="480" w:val="left"/>
        </w:tabs>
        <w:numPr>
          <w:ilvl w:val="0"/>
          <w:numId w:val="50"/>
        </w:numPr>
        <w:rPr>
          <w:rFonts w:ascii="Arial" w:cs="Arial" w:eastAsia="Arial" w:hAnsi="Arial"/>
          <w:sz w:val="38"/>
          <w:szCs w:val="38"/>
          <w:color w:val="00C1DE"/>
          <w:vertAlign w:val="subscript"/>
        </w:rPr>
      </w:pPr>
      <w:r>
        <w:rPr>
          <w:rFonts w:ascii="Arial" w:cs="Arial" w:eastAsia="Arial" w:hAnsi="Arial"/>
          <w:sz w:val="16"/>
          <w:szCs w:val="16"/>
          <w:color w:val="3E3935"/>
        </w:rPr>
        <w:t>Since the last annual meeting, Ms. Barra has participated in a number of investor conferences, including a key institutional investor conference where she discussed various issues related to ESG.</w:t>
      </w:r>
    </w:p>
    <w:p>
      <w:pPr>
        <w:spacing w:after="0" w:line="198" w:lineRule="exact"/>
        <w:rPr>
          <w:sz w:val="20"/>
          <w:szCs w:val="20"/>
          <w:color w:val="auto"/>
        </w:rPr>
      </w:pPr>
    </w:p>
    <w:p>
      <w:pPr>
        <w:jc w:val="both"/>
        <w:ind w:left="3340"/>
        <w:spacing w:after="0" w:line="232" w:lineRule="auto"/>
        <w:rPr>
          <w:sz w:val="20"/>
          <w:szCs w:val="20"/>
          <w:color w:val="auto"/>
        </w:rPr>
      </w:pPr>
      <w:r>
        <w:rPr>
          <w:rFonts w:ascii="Arial" w:cs="Arial" w:eastAsia="Arial" w:hAnsi="Arial"/>
          <w:sz w:val="20"/>
          <w:szCs w:val="20"/>
          <w:color w:val="0071CE"/>
        </w:rPr>
        <w:t>“Earlier this year, I spoke at the Council of Institutional Investors on issues ranging from GM’s efforts to become more inclusive, our all-electric future, climate change issues, and our AV strategy at Cruise. Conversations like these give me confidence that our shareholders and other stakeholders are aligned with our long-term strategic objectives and the Company’s vision of zero crashes, zero emissions, and zero congestion.”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-691515</wp:posOffset>
            </wp:positionV>
            <wp:extent cx="1256665" cy="12566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00"/>
        <w:spacing w:after="0"/>
        <w:rPr>
          <w:sz w:val="20"/>
          <w:szCs w:val="20"/>
          <w:color w:val="auto"/>
        </w:rPr>
      </w:pPr>
      <w:r>
        <w:rPr>
          <w:rFonts w:ascii="Arial" w:cs="Arial" w:eastAsia="Arial" w:hAnsi="Arial"/>
          <w:sz w:val="20"/>
          <w:szCs w:val="20"/>
          <w:color w:val="3E3935"/>
        </w:rPr>
        <w:t>Mary T. Barra</w:t>
      </w:r>
    </w:p>
    <w:p>
      <w:pPr>
        <w:spacing w:after="0" w:line="2" w:lineRule="exact"/>
        <w:rPr>
          <w:sz w:val="20"/>
          <w:szCs w:val="20"/>
          <w:color w:val="auto"/>
        </w:rPr>
      </w:pPr>
    </w:p>
    <w:p>
      <w:pPr>
        <w:jc w:val="center"/>
        <w:ind w:right="7900"/>
        <w:spacing w:after="0"/>
        <w:rPr>
          <w:sz w:val="20"/>
          <w:szCs w:val="20"/>
          <w:color w:val="auto"/>
        </w:rPr>
      </w:pPr>
      <w:r>
        <w:rPr>
          <w:rFonts w:ascii="Arial" w:cs="Arial" w:eastAsia="Arial" w:hAnsi="Arial"/>
          <w:sz w:val="20"/>
          <w:szCs w:val="20"/>
          <w:color w:val="3E3935"/>
        </w:rPr>
        <w:t>Chair and CEO</w:t>
      </w:r>
    </w:p>
    <w:p>
      <w:pPr>
        <w:spacing w:after="0" w:line="100" w:lineRule="exact"/>
        <w:rPr>
          <w:sz w:val="20"/>
          <w:szCs w:val="20"/>
          <w:color w:val="auto"/>
        </w:rPr>
      </w:pPr>
    </w:p>
    <w:p>
      <w:pPr>
        <w:jc w:val="both"/>
        <w:ind w:left="480" w:hanging="313"/>
        <w:spacing w:after="0" w:line="226" w:lineRule="auto"/>
        <w:tabs>
          <w:tab w:leader="none" w:pos="480" w:val="left"/>
        </w:tabs>
        <w:numPr>
          <w:ilvl w:val="0"/>
          <w:numId w:val="51"/>
        </w:numPr>
        <w:rPr>
          <w:rFonts w:ascii="Arial" w:cs="Arial" w:eastAsia="Arial" w:hAnsi="Arial"/>
          <w:sz w:val="47"/>
          <w:szCs w:val="47"/>
          <w:color w:val="00C1DE"/>
          <w:vertAlign w:val="subscript"/>
        </w:rPr>
      </w:pPr>
      <w:r>
        <w:rPr>
          <w:rFonts w:ascii="Arial" w:cs="Arial" w:eastAsia="Arial" w:hAnsi="Arial"/>
          <w:sz w:val="18"/>
          <w:szCs w:val="18"/>
          <w:color w:val="3E3935"/>
        </w:rPr>
        <w:t>Every year since 2017, the Board has invited at least one institutional shareholder to a Board meeting to provide its perspective on the Company’s strategic direction. The constructive insights, experiences, and ideas exchanged during these engagements have helped the Board evaluate and assess key initiatives during the Company’s ongoing transition to an all-electric future.</w:t>
      </w:r>
    </w:p>
    <w:p>
      <w:pPr>
        <w:spacing w:after="0" w:line="37" w:lineRule="exact"/>
        <w:rPr>
          <w:rFonts w:ascii="Arial" w:cs="Arial" w:eastAsia="Arial" w:hAnsi="Arial"/>
          <w:sz w:val="47"/>
          <w:szCs w:val="47"/>
          <w:color w:val="00C1DE"/>
          <w:vertAlign w:val="subscript"/>
        </w:rPr>
      </w:pPr>
    </w:p>
    <w:p>
      <w:pPr>
        <w:jc w:val="both"/>
        <w:ind w:left="480" w:hanging="313"/>
        <w:spacing w:after="0" w:line="181" w:lineRule="auto"/>
        <w:tabs>
          <w:tab w:leader="none" w:pos="480" w:val="left"/>
        </w:tabs>
        <w:numPr>
          <w:ilvl w:val="0"/>
          <w:numId w:val="51"/>
        </w:numPr>
        <w:rPr>
          <w:rFonts w:ascii="Arial" w:cs="Arial" w:eastAsia="Arial" w:hAnsi="Arial"/>
          <w:sz w:val="52"/>
          <w:szCs w:val="52"/>
          <w:color w:val="00C1DE"/>
          <w:vertAlign w:val="subscript"/>
        </w:rPr>
      </w:pPr>
      <w:r>
        <w:rPr>
          <w:rFonts w:ascii="Arial" w:cs="Arial" w:eastAsia="Arial" w:hAnsi="Arial"/>
          <w:sz w:val="19"/>
          <w:szCs w:val="19"/>
          <w:color w:val="3E3935"/>
        </w:rPr>
        <w:t>Members of senior management annually engage with retail and institutional shareholders on various topics, including executive compensation; Board composition and leadership structure; important ESG issues like DE&amp;I, human rights, and responsible sourcing; and regulatory issues related to environmental matters. See page 50 of this Proxy Statement for shareholder feedback and actions taken related to GM’s executive compensation program, including actions to further integrate ESG into our compensation framework.</w:t>
      </w:r>
    </w:p>
    <w:p>
      <w:pPr>
        <w:spacing w:after="0" w:line="119"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table below provides a summary of common themes we have heard that led to boardroom discussion and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156210</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4"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00C1DE"/>
              </w:rPr>
              <w:t>Message</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40" w:type="dxa"/>
            <w:vAlign w:val="bottom"/>
          </w:tcPr>
          <w:p>
            <w:pPr>
              <w:ind w:left="3260"/>
              <w:spacing w:after="0"/>
              <w:rPr>
                <w:sz w:val="20"/>
                <w:szCs w:val="20"/>
                <w:color w:val="auto"/>
              </w:rPr>
            </w:pPr>
            <w:r>
              <w:rPr>
                <w:rFonts w:ascii="Arial" w:cs="Arial" w:eastAsia="Arial" w:hAnsi="Arial"/>
                <w:sz w:val="18"/>
                <w:szCs w:val="18"/>
                <w:b w:val="1"/>
                <w:bCs w:val="1"/>
                <w:color w:val="00C1DE"/>
              </w:rPr>
              <w:t>Actions</w:t>
            </w:r>
          </w:p>
        </w:tc>
      </w:tr>
      <w:tr>
        <w:trPr>
          <w:trHeight w:val="41"/>
        </w:trPr>
        <w:tc>
          <w:tcPr>
            <w:tcW w:w="1100" w:type="dxa"/>
            <w:vAlign w:val="bottom"/>
            <w:tcBorders>
              <w:bottom w:val="single" w:sz="8" w:color="00C1DE"/>
            </w:tcBorders>
          </w:tcPr>
          <w:p>
            <w:pPr>
              <w:spacing w:after="0"/>
              <w:rPr>
                <w:sz w:val="3"/>
                <w:szCs w:val="3"/>
                <w:color w:val="auto"/>
              </w:rPr>
            </w:pPr>
          </w:p>
        </w:tc>
        <w:tc>
          <w:tcPr>
            <w:tcW w:w="420" w:type="dxa"/>
            <w:vAlign w:val="bottom"/>
            <w:tcBorders>
              <w:bottom w:val="single" w:sz="8" w:color="00C1DE"/>
            </w:tcBorders>
          </w:tcPr>
          <w:p>
            <w:pPr>
              <w:spacing w:after="0"/>
              <w:rPr>
                <w:sz w:val="3"/>
                <w:szCs w:val="3"/>
                <w:color w:val="auto"/>
              </w:rPr>
            </w:pPr>
          </w:p>
        </w:tc>
        <w:tc>
          <w:tcPr>
            <w:tcW w:w="320" w:type="dxa"/>
            <w:vAlign w:val="bottom"/>
            <w:tcBorders>
              <w:bottom w:val="single" w:sz="8" w:color="00C1DE"/>
            </w:tcBorders>
          </w:tcPr>
          <w:p>
            <w:pPr>
              <w:spacing w:after="0"/>
              <w:rPr>
                <w:sz w:val="3"/>
                <w:szCs w:val="3"/>
                <w:color w:val="auto"/>
              </w:rPr>
            </w:pPr>
          </w:p>
        </w:tc>
        <w:tc>
          <w:tcPr>
            <w:tcW w:w="1300" w:type="dxa"/>
            <w:vAlign w:val="bottom"/>
            <w:tcBorders>
              <w:bottom w:val="single" w:sz="8" w:color="00C1DE"/>
            </w:tcBorders>
            <w:gridSpan w:val="2"/>
          </w:tcPr>
          <w:p>
            <w:pPr>
              <w:spacing w:after="0"/>
              <w:rPr>
                <w:sz w:val="3"/>
                <w:szCs w:val="3"/>
                <w:color w:val="auto"/>
              </w:rPr>
            </w:pPr>
          </w:p>
        </w:tc>
        <w:tc>
          <w:tcPr>
            <w:tcW w:w="740" w:type="dxa"/>
            <w:vAlign w:val="bottom"/>
            <w:tcBorders>
              <w:bottom w:val="single" w:sz="8" w:color="00C1DE"/>
            </w:tcBorders>
          </w:tcPr>
          <w:p>
            <w:pPr>
              <w:spacing w:after="0"/>
              <w:rPr>
                <w:sz w:val="3"/>
                <w:szCs w:val="3"/>
                <w:color w:val="auto"/>
              </w:rPr>
            </w:pPr>
          </w:p>
        </w:tc>
        <w:tc>
          <w:tcPr>
            <w:tcW w:w="7040" w:type="dxa"/>
            <w:vAlign w:val="bottom"/>
            <w:tcBorders>
              <w:bottom w:val="single" w:sz="8" w:color="00C1DE"/>
            </w:tcBorders>
          </w:tcPr>
          <w:p>
            <w:pPr>
              <w:spacing w:after="0"/>
              <w:rPr>
                <w:sz w:val="3"/>
                <w:szCs w:val="3"/>
                <w:color w:val="auto"/>
              </w:rPr>
            </w:pPr>
          </w:p>
        </w:tc>
      </w:tr>
      <w:tr>
        <w:trPr>
          <w:trHeight w:val="239"/>
        </w:trPr>
        <w:tc>
          <w:tcPr>
            <w:tcW w:w="1100" w:type="dxa"/>
            <w:vAlign w:val="bottom"/>
          </w:tcPr>
          <w:p>
            <w:pPr>
              <w:spacing w:after="0"/>
              <w:rPr>
                <w:sz w:val="20"/>
                <w:szCs w:val="20"/>
                <w:color w:val="auto"/>
              </w:rPr>
            </w:pPr>
            <w:r>
              <w:rPr>
                <w:rFonts w:ascii="Arial" w:cs="Arial" w:eastAsia="Arial" w:hAnsi="Arial"/>
                <w:sz w:val="20"/>
                <w:szCs w:val="20"/>
                <w:color w:val="3E3935"/>
              </w:rPr>
              <w:t>Requested</w:t>
            </w:r>
          </w:p>
        </w:tc>
        <w:tc>
          <w:tcPr>
            <w:tcW w:w="420" w:type="dxa"/>
            <w:vAlign w:val="bottom"/>
          </w:tcPr>
          <w:p>
            <w:pPr>
              <w:ind w:left="220"/>
              <w:spacing w:after="0"/>
              <w:rPr>
                <w:sz w:val="20"/>
                <w:szCs w:val="20"/>
                <w:color w:val="auto"/>
              </w:rPr>
            </w:pPr>
            <w:r>
              <w:rPr>
                <w:rFonts w:ascii="Arial" w:cs="Arial" w:eastAsia="Arial" w:hAnsi="Arial"/>
                <w:sz w:val="20"/>
                <w:szCs w:val="20"/>
                <w:color w:val="3E3935"/>
              </w:rPr>
              <w:t>to</w:t>
            </w:r>
          </w:p>
        </w:tc>
        <w:tc>
          <w:tcPr>
            <w:tcW w:w="3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20"/>
                <w:szCs w:val="20"/>
                <w:color w:val="3E3935"/>
              </w:rPr>
              <w:t>communicate</w:t>
            </w:r>
          </w:p>
        </w:tc>
        <w:tc>
          <w:tcPr>
            <w:tcW w:w="740" w:type="dxa"/>
            <w:vAlign w:val="bottom"/>
          </w:tcPr>
          <w:p>
            <w:pPr>
              <w:jc w:val="right"/>
              <w:spacing w:after="0"/>
              <w:rPr>
                <w:sz w:val="20"/>
                <w:szCs w:val="20"/>
                <w:color w:val="auto"/>
              </w:rPr>
            </w:pPr>
            <w:r>
              <w:rPr>
                <w:rFonts w:ascii="Arial" w:cs="Arial" w:eastAsia="Arial" w:hAnsi="Arial"/>
                <w:sz w:val="20"/>
                <w:szCs w:val="20"/>
                <w:color w:val="3E3935"/>
              </w:rPr>
              <w:t>more</w:t>
            </w:r>
          </w:p>
        </w:tc>
        <w:tc>
          <w:tcPr>
            <w:tcW w:w="7040" w:type="dxa"/>
            <w:vAlign w:val="bottom"/>
          </w:tcPr>
          <w:p>
            <w:pPr>
              <w:ind w:left="60"/>
              <w:spacing w:after="0"/>
              <w:rPr>
                <w:sz w:val="20"/>
                <w:szCs w:val="20"/>
                <w:color w:val="auto"/>
              </w:rPr>
            </w:pPr>
            <w:r>
              <w:rPr>
                <w:rFonts w:ascii="Arial" w:cs="Arial" w:eastAsia="Arial" w:hAnsi="Arial"/>
                <w:sz w:val="20"/>
                <w:szCs w:val="20"/>
                <w:color w:val="3E3935"/>
                <w:w w:val="98"/>
              </w:rPr>
              <w:t>For a discussion of the actions taken to further assess the Board’s ESG skill set,</w:t>
            </w:r>
          </w:p>
        </w:tc>
      </w:tr>
      <w:tr>
        <w:trPr>
          <w:trHeight w:val="214"/>
        </w:trPr>
        <w:tc>
          <w:tcPr>
            <w:tcW w:w="3880" w:type="dxa"/>
            <w:vAlign w:val="bottom"/>
            <w:gridSpan w:val="6"/>
          </w:tcPr>
          <w:p>
            <w:pPr>
              <w:spacing w:after="0" w:line="214" w:lineRule="exact"/>
              <w:rPr>
                <w:sz w:val="20"/>
                <w:szCs w:val="20"/>
                <w:color w:val="auto"/>
              </w:rPr>
            </w:pPr>
            <w:r>
              <w:rPr>
                <w:rFonts w:ascii="Arial" w:cs="Arial" w:eastAsia="Arial" w:hAnsi="Arial"/>
                <w:sz w:val="20"/>
                <w:szCs w:val="20"/>
                <w:color w:val="3E3935"/>
              </w:rPr>
              <w:t>disclosure around the ESG skills on the</w:t>
            </w: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see page 6 of this Proxy Statement. In addition, beginning last year, the Board</w:t>
            </w:r>
          </w:p>
        </w:tc>
      </w:tr>
      <w:tr>
        <w:trPr>
          <w:trHeight w:val="214"/>
        </w:trPr>
        <w:tc>
          <w:tcPr>
            <w:tcW w:w="3880" w:type="dxa"/>
            <w:vAlign w:val="bottom"/>
            <w:gridSpan w:val="6"/>
          </w:tcPr>
          <w:p>
            <w:pPr>
              <w:spacing w:after="0" w:line="214" w:lineRule="exact"/>
              <w:rPr>
                <w:sz w:val="20"/>
                <w:szCs w:val="20"/>
                <w:color w:val="auto"/>
              </w:rPr>
            </w:pPr>
            <w:r>
              <w:rPr>
                <w:rFonts w:ascii="Arial" w:cs="Arial" w:eastAsia="Arial" w:hAnsi="Arial"/>
                <w:sz w:val="20"/>
                <w:szCs w:val="20"/>
                <w:color w:val="3E3935"/>
              </w:rPr>
              <w:t>Board  and  priorities  for  future  director</w:t>
            </w: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made available elements of its five-year roadmap, which the Governance</w:t>
            </w:r>
          </w:p>
        </w:tc>
      </w:tr>
      <w:tr>
        <w:trPr>
          <w:trHeight w:val="214"/>
        </w:trPr>
        <w:tc>
          <w:tcPr>
            <w:tcW w:w="1100" w:type="dxa"/>
            <w:vAlign w:val="bottom"/>
          </w:tcPr>
          <w:p>
            <w:pPr>
              <w:spacing w:after="0" w:line="214" w:lineRule="exact"/>
              <w:rPr>
                <w:sz w:val="20"/>
                <w:szCs w:val="20"/>
                <w:color w:val="auto"/>
              </w:rPr>
            </w:pPr>
            <w:r>
              <w:rPr>
                <w:rFonts w:ascii="Arial" w:cs="Arial" w:eastAsia="Arial" w:hAnsi="Arial"/>
                <w:sz w:val="20"/>
                <w:szCs w:val="20"/>
                <w:color w:val="3E3935"/>
              </w:rPr>
              <w:t>recruitment.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Committee is using as it prepares for the departure of up to five directors who</w:t>
            </w:r>
          </w:p>
        </w:tc>
      </w:tr>
      <w:tr>
        <w:trPr>
          <w:trHeight w:val="214"/>
        </w:trPr>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are approaching the Company’s retirement age in the coming years and Meg</w:t>
            </w:r>
          </w:p>
        </w:tc>
      </w:tr>
      <w:tr>
        <w:trPr>
          <w:trHeight w:val="214"/>
        </w:trPr>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Whitman, who will need to resign from the Board upon her confirmation as the</w:t>
            </w:r>
          </w:p>
        </w:tc>
      </w:tr>
      <w:tr>
        <w:trPr>
          <w:trHeight w:val="257"/>
        </w:trPr>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40" w:type="dxa"/>
            <w:vAlign w:val="bottom"/>
          </w:tcPr>
          <w:p>
            <w:pPr>
              <w:ind w:left="60"/>
              <w:spacing w:after="0"/>
              <w:rPr>
                <w:sz w:val="20"/>
                <w:szCs w:val="20"/>
                <w:color w:val="auto"/>
              </w:rPr>
            </w:pPr>
            <w:r>
              <w:rPr>
                <w:rFonts w:ascii="Arial" w:cs="Arial" w:eastAsia="Arial" w:hAnsi="Arial"/>
                <w:sz w:val="20"/>
                <w:szCs w:val="20"/>
                <w:color w:val="3E3935"/>
              </w:rPr>
              <w:t>U.S. Ambassador to Kenya.</w:t>
            </w:r>
          </w:p>
        </w:tc>
      </w:tr>
      <w:tr>
        <w:trPr>
          <w:trHeight w:val="45"/>
        </w:trPr>
        <w:tc>
          <w:tcPr>
            <w:tcW w:w="3880" w:type="dxa"/>
            <w:vAlign w:val="bottom"/>
            <w:tcBorders>
              <w:bottom w:val="single" w:sz="8" w:color="3E3935"/>
            </w:tcBorders>
            <w:gridSpan w:val="6"/>
          </w:tcPr>
          <w:p>
            <w:pPr>
              <w:spacing w:after="0"/>
              <w:rPr>
                <w:sz w:val="3"/>
                <w:szCs w:val="3"/>
                <w:color w:val="auto"/>
              </w:rPr>
            </w:pPr>
          </w:p>
        </w:tc>
        <w:tc>
          <w:tcPr>
            <w:tcW w:w="7040" w:type="dxa"/>
            <w:vAlign w:val="bottom"/>
            <w:tcBorders>
              <w:bottom w:val="single" w:sz="8" w:color="3E3935"/>
            </w:tcBorders>
          </w:tcPr>
          <w:p>
            <w:pPr>
              <w:spacing w:after="0"/>
              <w:rPr>
                <w:sz w:val="3"/>
                <w:szCs w:val="3"/>
                <w:color w:val="auto"/>
              </w:rPr>
            </w:pPr>
          </w:p>
        </w:tc>
      </w:tr>
      <w:tr>
        <w:trPr>
          <w:trHeight w:val="239"/>
        </w:trPr>
        <w:tc>
          <w:tcPr>
            <w:tcW w:w="3880" w:type="dxa"/>
            <w:vAlign w:val="bottom"/>
            <w:gridSpan w:val="6"/>
          </w:tcPr>
          <w:p>
            <w:pPr>
              <w:spacing w:after="0"/>
              <w:rPr>
                <w:sz w:val="20"/>
                <w:szCs w:val="20"/>
                <w:color w:val="auto"/>
              </w:rPr>
            </w:pPr>
            <w:r>
              <w:rPr>
                <w:rFonts w:ascii="Arial" w:cs="Arial" w:eastAsia="Arial" w:hAnsi="Arial"/>
                <w:sz w:val="20"/>
                <w:szCs w:val="20"/>
                <w:color w:val="3E3935"/>
              </w:rPr>
              <w:t>Encouraged  to  continue  the  process  of</w:t>
            </w:r>
          </w:p>
        </w:tc>
        <w:tc>
          <w:tcPr>
            <w:tcW w:w="7040" w:type="dxa"/>
            <w:vAlign w:val="bottom"/>
          </w:tcPr>
          <w:p>
            <w:pPr>
              <w:ind w:left="60"/>
              <w:spacing w:after="0"/>
              <w:rPr>
                <w:sz w:val="20"/>
                <w:szCs w:val="20"/>
                <w:color w:val="auto"/>
              </w:rPr>
            </w:pPr>
            <w:r>
              <w:rPr>
                <w:rFonts w:ascii="Arial" w:cs="Arial" w:eastAsia="Arial" w:hAnsi="Arial"/>
                <w:sz w:val="20"/>
                <w:szCs w:val="20"/>
                <w:color w:val="3E3935"/>
              </w:rPr>
              <w:t>The prospect of continued strong earnings and free cash flow even as we</w:t>
            </w:r>
          </w:p>
        </w:tc>
      </w:tr>
      <w:tr>
        <w:trPr>
          <w:trHeight w:val="214"/>
        </w:trPr>
        <w:tc>
          <w:tcPr>
            <w:tcW w:w="1520" w:type="dxa"/>
            <w:vAlign w:val="bottom"/>
            <w:gridSpan w:val="2"/>
          </w:tcPr>
          <w:p>
            <w:pPr>
              <w:spacing w:after="0" w:line="214" w:lineRule="exact"/>
              <w:rPr>
                <w:sz w:val="20"/>
                <w:szCs w:val="20"/>
                <w:color w:val="auto"/>
              </w:rPr>
            </w:pPr>
            <w:r>
              <w:rPr>
                <w:rFonts w:ascii="Arial" w:cs="Arial" w:eastAsia="Arial" w:hAnsi="Arial"/>
                <w:sz w:val="20"/>
                <w:szCs w:val="20"/>
                <w:color w:val="3E3935"/>
              </w:rPr>
              <w:t>communicating</w:t>
            </w:r>
          </w:p>
        </w:tc>
        <w:tc>
          <w:tcPr>
            <w:tcW w:w="320" w:type="dxa"/>
            <w:vAlign w:val="bottom"/>
          </w:tcPr>
          <w:p>
            <w:pPr>
              <w:ind w:left="20"/>
              <w:spacing w:after="0" w:line="214" w:lineRule="exact"/>
              <w:rPr>
                <w:sz w:val="20"/>
                <w:szCs w:val="20"/>
                <w:color w:val="auto"/>
              </w:rPr>
            </w:pPr>
            <w:r>
              <w:rPr>
                <w:rFonts w:ascii="Arial" w:cs="Arial" w:eastAsia="Arial" w:hAnsi="Arial"/>
                <w:sz w:val="20"/>
                <w:szCs w:val="20"/>
                <w:color w:val="3E3935"/>
              </w:rPr>
              <w:t>the</w:t>
            </w:r>
          </w:p>
        </w:tc>
        <w:tc>
          <w:tcPr>
            <w:tcW w:w="1300" w:type="dxa"/>
            <w:vAlign w:val="bottom"/>
            <w:gridSpan w:val="2"/>
          </w:tcPr>
          <w:p>
            <w:pPr>
              <w:ind w:left="200"/>
              <w:spacing w:after="0" w:line="214" w:lineRule="exact"/>
              <w:rPr>
                <w:sz w:val="20"/>
                <w:szCs w:val="20"/>
                <w:color w:val="auto"/>
              </w:rPr>
            </w:pPr>
            <w:r>
              <w:rPr>
                <w:rFonts w:ascii="Arial" w:cs="Arial" w:eastAsia="Arial" w:hAnsi="Arial"/>
                <w:sz w:val="20"/>
                <w:szCs w:val="20"/>
                <w:color w:val="3E3935"/>
              </w:rPr>
              <w:t>Company’s</w:t>
            </w:r>
          </w:p>
        </w:tc>
        <w:tc>
          <w:tcPr>
            <w:tcW w:w="740" w:type="dxa"/>
            <w:vAlign w:val="bottom"/>
          </w:tcPr>
          <w:p>
            <w:pPr>
              <w:jc w:val="right"/>
              <w:spacing w:after="0" w:line="214" w:lineRule="exact"/>
              <w:rPr>
                <w:sz w:val="20"/>
                <w:szCs w:val="20"/>
                <w:color w:val="auto"/>
              </w:rPr>
            </w:pPr>
            <w:r>
              <w:rPr>
                <w:rFonts w:ascii="Arial" w:cs="Arial" w:eastAsia="Arial" w:hAnsi="Arial"/>
                <w:sz w:val="20"/>
                <w:szCs w:val="20"/>
                <w:color w:val="3E3935"/>
              </w:rPr>
              <w:t>capital</w:t>
            </w: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accelerate investments in growth initiatives naturally raises questions about</w:t>
            </w:r>
          </w:p>
        </w:tc>
      </w:tr>
      <w:tr>
        <w:trPr>
          <w:trHeight w:val="214"/>
        </w:trPr>
        <w:tc>
          <w:tcPr>
            <w:tcW w:w="1100" w:type="dxa"/>
            <w:vAlign w:val="bottom"/>
          </w:tcPr>
          <w:p>
            <w:pPr>
              <w:spacing w:after="0" w:line="214" w:lineRule="exact"/>
              <w:rPr>
                <w:sz w:val="20"/>
                <w:szCs w:val="20"/>
                <w:color w:val="auto"/>
              </w:rPr>
            </w:pPr>
            <w:r>
              <w:rPr>
                <w:rFonts w:ascii="Arial" w:cs="Arial" w:eastAsia="Arial" w:hAnsi="Arial"/>
                <w:sz w:val="20"/>
                <w:szCs w:val="20"/>
                <w:color w:val="3E3935"/>
              </w:rPr>
              <w:t>allocation</w:t>
            </w:r>
          </w:p>
        </w:tc>
        <w:tc>
          <w:tcPr>
            <w:tcW w:w="740" w:type="dxa"/>
            <w:vAlign w:val="bottom"/>
            <w:gridSpan w:val="2"/>
          </w:tcPr>
          <w:p>
            <w:pPr>
              <w:ind w:left="40"/>
              <w:spacing w:after="0" w:line="214" w:lineRule="exact"/>
              <w:rPr>
                <w:sz w:val="20"/>
                <w:szCs w:val="20"/>
                <w:color w:val="auto"/>
              </w:rPr>
            </w:pPr>
            <w:r>
              <w:rPr>
                <w:rFonts w:ascii="Arial" w:cs="Arial" w:eastAsia="Arial" w:hAnsi="Arial"/>
                <w:sz w:val="20"/>
                <w:szCs w:val="20"/>
                <w:color w:val="3E3935"/>
                <w:w w:val="95"/>
              </w:rPr>
              <w:t>strategy</w:t>
            </w:r>
          </w:p>
        </w:tc>
        <w:tc>
          <w:tcPr>
            <w:tcW w:w="780" w:type="dxa"/>
            <w:vAlign w:val="bottom"/>
          </w:tcPr>
          <w:p>
            <w:pPr>
              <w:ind w:left="320"/>
              <w:spacing w:after="0" w:line="214" w:lineRule="exact"/>
              <w:rPr>
                <w:sz w:val="20"/>
                <w:szCs w:val="20"/>
                <w:color w:val="auto"/>
              </w:rPr>
            </w:pPr>
            <w:r>
              <w:rPr>
                <w:rFonts w:ascii="Arial" w:cs="Arial" w:eastAsia="Arial" w:hAnsi="Arial"/>
                <w:sz w:val="20"/>
                <w:szCs w:val="20"/>
                <w:color w:val="3E3935"/>
              </w:rPr>
              <w:t>to</w:t>
            </w:r>
          </w:p>
        </w:tc>
        <w:tc>
          <w:tcPr>
            <w:tcW w:w="1260" w:type="dxa"/>
            <w:vAlign w:val="bottom"/>
            <w:gridSpan w:val="2"/>
          </w:tcPr>
          <w:p>
            <w:pPr>
              <w:jc w:val="right"/>
              <w:spacing w:after="0" w:line="214" w:lineRule="exact"/>
              <w:rPr>
                <w:sz w:val="20"/>
                <w:szCs w:val="20"/>
                <w:color w:val="auto"/>
              </w:rPr>
            </w:pPr>
            <w:r>
              <w:rPr>
                <w:rFonts w:ascii="Arial" w:cs="Arial" w:eastAsia="Arial" w:hAnsi="Arial"/>
                <w:sz w:val="20"/>
                <w:szCs w:val="20"/>
                <w:color w:val="3E3935"/>
                <w:w w:val="95"/>
              </w:rPr>
              <w:t>shareholders,</w:t>
            </w: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resuming a common stock dividend. Following significant input from the Board,</w:t>
            </w:r>
          </w:p>
        </w:tc>
      </w:tr>
      <w:tr>
        <w:trPr>
          <w:trHeight w:val="214"/>
        </w:trPr>
        <w:tc>
          <w:tcPr>
            <w:tcW w:w="3880" w:type="dxa"/>
            <w:vAlign w:val="bottom"/>
            <w:gridSpan w:val="6"/>
          </w:tcPr>
          <w:p>
            <w:pPr>
              <w:spacing w:after="0" w:line="214" w:lineRule="exact"/>
              <w:rPr>
                <w:sz w:val="20"/>
                <w:szCs w:val="20"/>
                <w:color w:val="auto"/>
              </w:rPr>
            </w:pPr>
            <w:r>
              <w:rPr>
                <w:rFonts w:ascii="Arial" w:cs="Arial" w:eastAsia="Arial" w:hAnsi="Arial"/>
                <w:sz w:val="20"/>
                <w:szCs w:val="20"/>
                <w:color w:val="3E3935"/>
              </w:rPr>
              <w:t>especially with regard to potential dividend</w:t>
            </w: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w w:val="99"/>
              </w:rPr>
              <w:t>we have taken opportunities – including on earnings calls and in other forums –</w:t>
            </w:r>
          </w:p>
        </w:tc>
      </w:tr>
      <w:tr>
        <w:trPr>
          <w:trHeight w:val="214"/>
        </w:trPr>
        <w:tc>
          <w:tcPr>
            <w:tcW w:w="1520" w:type="dxa"/>
            <w:vAlign w:val="bottom"/>
            <w:gridSpan w:val="2"/>
          </w:tcPr>
          <w:p>
            <w:pPr>
              <w:spacing w:after="0" w:line="214" w:lineRule="exact"/>
              <w:rPr>
                <w:sz w:val="20"/>
                <w:szCs w:val="20"/>
                <w:color w:val="auto"/>
              </w:rPr>
            </w:pPr>
            <w:r>
              <w:rPr>
                <w:rFonts w:ascii="Arial" w:cs="Arial" w:eastAsia="Arial" w:hAnsi="Arial"/>
                <w:sz w:val="20"/>
                <w:szCs w:val="20"/>
                <w:color w:val="3E3935"/>
              </w:rPr>
              <w:t>reinstatement.</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to disclose that we will continue to consider all opportunities to return excess</w:t>
            </w:r>
          </w:p>
        </w:tc>
      </w:tr>
      <w:tr>
        <w:trPr>
          <w:trHeight w:val="214"/>
        </w:trPr>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capital to shareholders, but we do not plan to reinstate a dividend at this time.</w:t>
            </w:r>
          </w:p>
        </w:tc>
      </w:tr>
      <w:tr>
        <w:trPr>
          <w:trHeight w:val="214"/>
        </w:trPr>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w w:val="99"/>
              </w:rPr>
              <w:t>Our clear priority is to accelerate our EV plan and drive growth, and we want to</w:t>
            </w:r>
          </w:p>
        </w:tc>
      </w:tr>
      <w:tr>
        <w:trPr>
          <w:trHeight w:val="257"/>
        </w:trPr>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40" w:type="dxa"/>
            <w:vAlign w:val="bottom"/>
          </w:tcPr>
          <w:p>
            <w:pPr>
              <w:ind w:left="60"/>
              <w:spacing w:after="0"/>
              <w:rPr>
                <w:sz w:val="20"/>
                <w:szCs w:val="20"/>
                <w:color w:val="auto"/>
              </w:rPr>
            </w:pPr>
            <w:r>
              <w:rPr>
                <w:rFonts w:ascii="Arial" w:cs="Arial" w:eastAsia="Arial" w:hAnsi="Arial"/>
                <w:sz w:val="20"/>
                <w:szCs w:val="20"/>
                <w:color w:val="3E3935"/>
              </w:rPr>
              <w:t>maintain maximum financial flexibility to invest as opportunities arise.</w:t>
            </w:r>
          </w:p>
        </w:tc>
      </w:tr>
      <w:tr>
        <w:trPr>
          <w:trHeight w:val="45"/>
        </w:trPr>
        <w:tc>
          <w:tcPr>
            <w:tcW w:w="1100" w:type="dxa"/>
            <w:vAlign w:val="bottom"/>
            <w:tcBorders>
              <w:bottom w:val="single" w:sz="8" w:color="3E3935"/>
            </w:tcBorders>
          </w:tcPr>
          <w:p>
            <w:pPr>
              <w:spacing w:after="0"/>
              <w:rPr>
                <w:sz w:val="3"/>
                <w:szCs w:val="3"/>
                <w:color w:val="auto"/>
              </w:rPr>
            </w:pPr>
          </w:p>
        </w:tc>
        <w:tc>
          <w:tcPr>
            <w:tcW w:w="420" w:type="dxa"/>
            <w:vAlign w:val="bottom"/>
            <w:tcBorders>
              <w:bottom w:val="single" w:sz="8" w:color="3E3935"/>
            </w:tcBorders>
          </w:tcPr>
          <w:p>
            <w:pPr>
              <w:spacing w:after="0"/>
              <w:rPr>
                <w:sz w:val="3"/>
                <w:szCs w:val="3"/>
                <w:color w:val="auto"/>
              </w:rPr>
            </w:pPr>
          </w:p>
        </w:tc>
        <w:tc>
          <w:tcPr>
            <w:tcW w:w="1100" w:type="dxa"/>
            <w:vAlign w:val="bottom"/>
            <w:tcBorders>
              <w:bottom w:val="single" w:sz="8" w:color="3E3935"/>
            </w:tcBorders>
            <w:gridSpan w:val="2"/>
          </w:tcPr>
          <w:p>
            <w:pPr>
              <w:spacing w:after="0"/>
              <w:rPr>
                <w:sz w:val="3"/>
                <w:szCs w:val="3"/>
                <w:color w:val="auto"/>
              </w:rPr>
            </w:pPr>
          </w:p>
        </w:tc>
        <w:tc>
          <w:tcPr>
            <w:tcW w:w="1260" w:type="dxa"/>
            <w:vAlign w:val="bottom"/>
            <w:tcBorders>
              <w:bottom w:val="single" w:sz="8" w:color="3E3935"/>
            </w:tcBorders>
            <w:gridSpan w:val="2"/>
          </w:tcPr>
          <w:p>
            <w:pPr>
              <w:spacing w:after="0"/>
              <w:rPr>
                <w:sz w:val="3"/>
                <w:szCs w:val="3"/>
                <w:color w:val="auto"/>
              </w:rPr>
            </w:pPr>
          </w:p>
        </w:tc>
        <w:tc>
          <w:tcPr>
            <w:tcW w:w="7040" w:type="dxa"/>
            <w:vAlign w:val="bottom"/>
            <w:tcBorders>
              <w:bottom w:val="single" w:sz="8" w:color="3E3935"/>
            </w:tcBorders>
          </w:tcPr>
          <w:p>
            <w:pPr>
              <w:spacing w:after="0"/>
              <w:rPr>
                <w:sz w:val="3"/>
                <w:szCs w:val="3"/>
                <w:color w:val="auto"/>
              </w:rPr>
            </w:pPr>
          </w:p>
        </w:tc>
      </w:tr>
      <w:tr>
        <w:trPr>
          <w:trHeight w:val="239"/>
        </w:trPr>
        <w:tc>
          <w:tcPr>
            <w:tcW w:w="1100" w:type="dxa"/>
            <w:vAlign w:val="bottom"/>
          </w:tcPr>
          <w:p>
            <w:pPr>
              <w:spacing w:after="0"/>
              <w:rPr>
                <w:sz w:val="20"/>
                <w:szCs w:val="20"/>
                <w:color w:val="auto"/>
              </w:rPr>
            </w:pPr>
            <w:r>
              <w:rPr>
                <w:rFonts w:ascii="Arial" w:cs="Arial" w:eastAsia="Arial" w:hAnsi="Arial"/>
                <w:sz w:val="20"/>
                <w:szCs w:val="20"/>
                <w:color w:val="3E3935"/>
              </w:rPr>
              <w:t>Encouraged</w:t>
            </w:r>
          </w:p>
        </w:tc>
        <w:tc>
          <w:tcPr>
            <w:tcW w:w="420" w:type="dxa"/>
            <w:vAlign w:val="bottom"/>
          </w:tcPr>
          <w:p>
            <w:pPr>
              <w:ind w:left="200"/>
              <w:spacing w:after="0"/>
              <w:rPr>
                <w:sz w:val="20"/>
                <w:szCs w:val="20"/>
                <w:color w:val="auto"/>
              </w:rPr>
            </w:pPr>
            <w:r>
              <w:rPr>
                <w:rFonts w:ascii="Arial" w:cs="Arial" w:eastAsia="Arial" w:hAnsi="Arial"/>
                <w:sz w:val="20"/>
                <w:szCs w:val="20"/>
                <w:color w:val="3E3935"/>
              </w:rPr>
              <w:t>to</w:t>
            </w:r>
          </w:p>
        </w:tc>
        <w:tc>
          <w:tcPr>
            <w:tcW w:w="1100" w:type="dxa"/>
            <w:vAlign w:val="bottom"/>
            <w:gridSpan w:val="2"/>
          </w:tcPr>
          <w:p>
            <w:pPr>
              <w:ind w:left="180"/>
              <w:spacing w:after="0"/>
              <w:rPr>
                <w:sz w:val="20"/>
                <w:szCs w:val="20"/>
                <w:color w:val="auto"/>
              </w:rPr>
            </w:pPr>
            <w:r>
              <w:rPr>
                <w:rFonts w:ascii="Arial" w:cs="Arial" w:eastAsia="Arial" w:hAnsi="Arial"/>
                <w:sz w:val="20"/>
                <w:szCs w:val="20"/>
                <w:color w:val="3E3935"/>
              </w:rPr>
              <w:t>increase</w:t>
            </w:r>
          </w:p>
        </w:tc>
        <w:tc>
          <w:tcPr>
            <w:tcW w:w="1260" w:type="dxa"/>
            <w:vAlign w:val="bottom"/>
            <w:gridSpan w:val="2"/>
          </w:tcPr>
          <w:p>
            <w:pPr>
              <w:jc w:val="right"/>
              <w:spacing w:after="0"/>
              <w:rPr>
                <w:sz w:val="20"/>
                <w:szCs w:val="20"/>
                <w:color w:val="auto"/>
              </w:rPr>
            </w:pPr>
            <w:r>
              <w:rPr>
                <w:rFonts w:ascii="Arial" w:cs="Arial" w:eastAsia="Arial" w:hAnsi="Arial"/>
                <w:sz w:val="20"/>
                <w:szCs w:val="20"/>
                <w:color w:val="3E3935"/>
              </w:rPr>
              <w:t>transparency</w:t>
            </w:r>
          </w:p>
        </w:tc>
        <w:tc>
          <w:tcPr>
            <w:tcW w:w="7040" w:type="dxa"/>
            <w:vAlign w:val="bottom"/>
          </w:tcPr>
          <w:p>
            <w:pPr>
              <w:ind w:left="60"/>
              <w:spacing w:after="0"/>
              <w:rPr>
                <w:sz w:val="20"/>
                <w:szCs w:val="20"/>
                <w:color w:val="auto"/>
              </w:rPr>
            </w:pPr>
            <w:r>
              <w:rPr>
                <w:rFonts w:ascii="Arial" w:cs="Arial" w:eastAsia="Arial" w:hAnsi="Arial"/>
                <w:sz w:val="20"/>
                <w:szCs w:val="20"/>
                <w:color w:val="3E3935"/>
              </w:rPr>
              <w:t>We worked with the Climate Action 100+ to publish the Company’s first Public</w:t>
            </w:r>
          </w:p>
        </w:tc>
      </w:tr>
      <w:tr>
        <w:trPr>
          <w:trHeight w:val="214"/>
        </w:trPr>
        <w:tc>
          <w:tcPr>
            <w:tcW w:w="3880" w:type="dxa"/>
            <w:vAlign w:val="bottom"/>
            <w:gridSpan w:val="6"/>
          </w:tcPr>
          <w:p>
            <w:pPr>
              <w:spacing w:after="0" w:line="214" w:lineRule="exact"/>
              <w:rPr>
                <w:sz w:val="20"/>
                <w:szCs w:val="20"/>
                <w:color w:val="auto"/>
              </w:rPr>
            </w:pPr>
            <w:r>
              <w:rPr>
                <w:rFonts w:ascii="Arial" w:cs="Arial" w:eastAsia="Arial" w:hAnsi="Arial"/>
                <w:sz w:val="20"/>
                <w:szCs w:val="20"/>
                <w:color w:val="3E3935"/>
              </w:rPr>
              <w:t>regarding  the  Company’s  public  policy</w:t>
            </w: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w w:val="98"/>
              </w:rPr>
              <w:t>Policy Supplement report that disclosed how GM’s lobbying activities aligns with</w:t>
            </w:r>
          </w:p>
        </w:tc>
      </w:tr>
      <w:tr>
        <w:trPr>
          <w:trHeight w:val="214"/>
        </w:trPr>
        <w:tc>
          <w:tcPr>
            <w:tcW w:w="2620" w:type="dxa"/>
            <w:vAlign w:val="bottom"/>
            <w:gridSpan w:val="4"/>
          </w:tcPr>
          <w:p>
            <w:pPr>
              <w:spacing w:after="0" w:line="214" w:lineRule="exact"/>
              <w:rPr>
                <w:sz w:val="20"/>
                <w:szCs w:val="20"/>
                <w:color w:val="auto"/>
              </w:rPr>
            </w:pPr>
            <w:r>
              <w:rPr>
                <w:rFonts w:ascii="Arial" w:cs="Arial" w:eastAsia="Arial" w:hAnsi="Arial"/>
                <w:sz w:val="20"/>
                <w:szCs w:val="20"/>
                <w:color w:val="3E3935"/>
                <w:w w:val="97"/>
              </w:rPr>
              <w:t>priorities and lobbying activity.</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60"/>
              <w:spacing w:after="0" w:line="214" w:lineRule="exact"/>
              <w:rPr>
                <w:sz w:val="20"/>
                <w:szCs w:val="20"/>
                <w:color w:val="auto"/>
              </w:rPr>
            </w:pPr>
            <w:r>
              <w:rPr>
                <w:rFonts w:ascii="Arial" w:cs="Arial" w:eastAsia="Arial" w:hAnsi="Arial"/>
                <w:sz w:val="20"/>
                <w:szCs w:val="20"/>
                <w:color w:val="3E3935"/>
              </w:rPr>
              <w:t>the Paris Agreement’s goal of limiting average global warming to below 2°</w:t>
            </w:r>
          </w:p>
        </w:tc>
      </w:tr>
      <w:tr>
        <w:trPr>
          <w:trHeight w:val="257"/>
        </w:trPr>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40" w:type="dxa"/>
            <w:vAlign w:val="bottom"/>
          </w:tcPr>
          <w:p>
            <w:pPr>
              <w:ind w:left="60"/>
              <w:spacing w:after="0"/>
              <w:rPr>
                <w:sz w:val="20"/>
                <w:szCs w:val="20"/>
                <w:color w:val="auto"/>
              </w:rPr>
            </w:pPr>
            <w:r>
              <w:rPr>
                <w:rFonts w:ascii="Arial" w:cs="Arial" w:eastAsia="Arial" w:hAnsi="Arial"/>
                <w:sz w:val="20"/>
                <w:szCs w:val="20"/>
                <w:color w:val="3E3935"/>
              </w:rPr>
              <w:t>Celsius. We plan to update the report on an annual basis moving forward.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0"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Requested to enhance the governance of Last year the GM PAC board voted to improve its governance and establish new the Company’s Political Action Committee contributions criteria and processes to manage the candidate selection process</w:t>
      </w:r>
    </w:p>
    <w:p>
      <w:pPr>
        <w:ind w:left="160"/>
        <w:spacing w:after="0" w:line="224" w:lineRule="auto"/>
        <w:tabs>
          <w:tab w:leader="none" w:pos="4080" w:val="left"/>
        </w:tabs>
        <w:rPr>
          <w:sz w:val="20"/>
          <w:szCs w:val="20"/>
          <w:color w:val="auto"/>
        </w:rPr>
      </w:pPr>
      <w:r>
        <w:rPr>
          <w:rFonts w:ascii="Arial" w:cs="Arial" w:eastAsia="Arial" w:hAnsi="Arial"/>
          <w:sz w:val="20"/>
          <w:szCs w:val="20"/>
          <w:color w:val="3E3935"/>
        </w:rPr>
        <w:t>(“GM PAC”).</w:t>
      </w:r>
      <w:r>
        <w:rPr>
          <w:sz w:val="20"/>
          <w:szCs w:val="20"/>
          <w:color w:val="auto"/>
        </w:rPr>
        <w:tab/>
      </w:r>
      <w:r>
        <w:rPr>
          <w:rFonts w:ascii="Arial" w:cs="Arial" w:eastAsia="Arial" w:hAnsi="Arial"/>
          <w:sz w:val="20"/>
          <w:szCs w:val="20"/>
          <w:color w:val="3E3935"/>
        </w:rPr>
        <w:t>and fully assess reputational risks. For a discussion of the actions taken, see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3E3935"/>
        </w:rPr>
        <w:t>page 34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0"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Encouraged to enhance the Company’s In 2021, we conducted purposeful engagement among GM senior leaders, human rights reporting and take action to investors, and other stakeholders with expertise in human rights and supply prevent the acquisition of supplies chain governance. These engagements helped inform key updates to our originating from forced labor in the Xinjiang Human Rights Policy, which the Governance Committee approved in August</w:t>
      </w:r>
    </w:p>
    <w:p>
      <w:pPr>
        <w:jc w:val="both"/>
        <w:ind w:left="4100" w:right="20" w:hanging="3931"/>
        <w:spacing w:after="0" w:line="236" w:lineRule="auto"/>
        <w:tabs>
          <w:tab w:leader="none" w:pos="4080" w:val="left"/>
        </w:tabs>
        <w:rPr>
          <w:sz w:val="20"/>
          <w:szCs w:val="20"/>
          <w:color w:val="auto"/>
        </w:rPr>
      </w:pPr>
      <w:r>
        <w:rPr>
          <w:rFonts w:ascii="Arial" w:cs="Arial" w:eastAsia="Arial" w:hAnsi="Arial"/>
          <w:sz w:val="20"/>
          <w:szCs w:val="20"/>
          <w:color w:val="3E3935"/>
        </w:rPr>
        <w:t>Province in China.</w:t>
      </w:r>
      <w:r>
        <w:rPr>
          <w:sz w:val="20"/>
          <w:szCs w:val="20"/>
          <w:color w:val="auto"/>
        </w:rPr>
        <w:tab/>
      </w:r>
      <w:r>
        <w:rPr>
          <w:rFonts w:ascii="Arial" w:cs="Arial" w:eastAsia="Arial" w:hAnsi="Arial"/>
          <w:sz w:val="20"/>
          <w:szCs w:val="20"/>
          <w:color w:val="3E3935"/>
        </w:rPr>
        <w:t xml:space="preserve">2021. The updated policy can be viewed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78" w:lineRule="exact"/>
        <w:rPr>
          <w:sz w:val="20"/>
          <w:szCs w:val="20"/>
          <w:color w:val="auto"/>
        </w:rPr>
      </w:pPr>
    </w:p>
    <w:p>
      <w:pPr>
        <w:jc w:val="both"/>
        <w:ind w:left="4100"/>
        <w:spacing w:after="0" w:line="230" w:lineRule="auto"/>
        <w:rPr>
          <w:sz w:val="20"/>
          <w:szCs w:val="20"/>
          <w:color w:val="auto"/>
        </w:rPr>
      </w:pPr>
      <w:r>
        <w:rPr>
          <w:rFonts w:ascii="Arial" w:cs="Arial" w:eastAsia="Arial" w:hAnsi="Arial"/>
          <w:sz w:val="20"/>
          <w:szCs w:val="20"/>
          <w:color w:val="3E3935"/>
        </w:rPr>
        <w:t>With regard to forced labor in the Xinjiang Province in China, the Board works to actively monitor and take appropriate steps to ensure that all of our supply chain partners in China and throughout the world meet our high ethical and human rights standards. Further, the Company is building a sustainable and resilient North America-focused supply chain for EVs covering the entire ecosystem from raw materials to battery cell manufacturing and recycling.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9297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9" w:lineRule="exact"/>
        <w:rPr>
          <w:sz w:val="20"/>
          <w:szCs w:val="20"/>
          <w:color w:val="auto"/>
        </w:rPr>
      </w:pPr>
    </w:p>
    <w:p>
      <w:pPr>
        <w:jc w:val="both"/>
        <w:ind w:left="1740"/>
        <w:spacing w:after="0"/>
        <w:tabs>
          <w:tab w:leader="none" w:pos="7280" w:val="left"/>
        </w:tabs>
        <w:rPr>
          <w:sz w:val="20"/>
          <w:szCs w:val="20"/>
          <w:color w:val="auto"/>
        </w:rPr>
      </w:pPr>
      <w:r>
        <w:rPr>
          <w:rFonts w:ascii="Arial" w:cs="Arial" w:eastAsia="Arial" w:hAnsi="Arial"/>
          <w:sz w:val="18"/>
          <w:szCs w:val="18"/>
          <w:b w:val="1"/>
          <w:bCs w:val="1"/>
          <w:color w:val="00C1DE"/>
        </w:rPr>
        <w:t>Message</w:t>
      </w:r>
      <w:r>
        <w:rPr>
          <w:sz w:val="20"/>
          <w:szCs w:val="20"/>
          <w:color w:val="auto"/>
        </w:rPr>
        <w:tab/>
      </w:r>
      <w:r>
        <w:rPr>
          <w:rFonts w:ascii="Arial" w:cs="Arial" w:eastAsia="Arial" w:hAnsi="Arial"/>
          <w:sz w:val="18"/>
          <w:szCs w:val="18"/>
          <w:b w:val="1"/>
          <w:bCs w:val="1"/>
          <w:color w:val="00C1DE"/>
        </w:rPr>
        <w:t>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12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Requested that we continue progress on making the workforce more diverse and transitioning it to be ready for an all-electric future.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The Board worked with management to create a “Work Appropriately” policy that allows employees flexibility in where they work and launched an internal Inclusivity Index to measure our progress on diversity and inclusion and provide survey data to inform future action.</w:t>
      </w:r>
    </w:p>
    <w:p>
      <w:pPr>
        <w:spacing w:after="0" w:line="7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Management also continues to work with the leaders of our represented workforce, including the International Union, United Automobile, Aerospace and Agricultural Implement Workers of America (“UAW”), to constructively address our business challenges in a way that positions our employees and our Company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38100</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199390</wp:posOffset>
            </wp:positionV>
            <wp:extent cx="5868035" cy="1197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68035" cy="1197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120"/>
            <w:col w:w="698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Shareholder Protections and Governance Best Practices</w:t>
      </w:r>
    </w:p>
    <w:p>
      <w:pPr>
        <w:spacing w:after="0" w:line="158"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Board is committed to governance structures and practices that protect shareholder value and important shareholder rights. The Governance Committee regularly reviews these structures and practices, which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132715</wp:posOffset>
            </wp:positionV>
            <wp:extent cx="5868035" cy="32613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68035" cy="326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Corporate Political Contributions and Lobbying Expenditures</w:t>
      </w:r>
    </w:p>
    <w:p>
      <w:pPr>
        <w:spacing w:after="0" w:line="224" w:lineRule="exact"/>
        <w:rPr>
          <w:sz w:val="20"/>
          <w:szCs w:val="20"/>
          <w:color w:val="auto"/>
        </w:rPr>
      </w:pPr>
    </w:p>
    <w:p>
      <w:pPr>
        <w:ind w:left="700" w:hanging="533"/>
        <w:spacing w:after="0"/>
        <w:tabs>
          <w:tab w:leader="none" w:pos="700" w:val="left"/>
        </w:tabs>
        <w:numPr>
          <w:ilvl w:val="0"/>
          <w:numId w:val="52"/>
        </w:numPr>
        <w:rPr>
          <w:rFonts w:ascii="Times New Roman" w:cs="Times New Roman" w:eastAsia="Times New Roman" w:hAnsi="Times New Roman"/>
          <w:sz w:val="21"/>
          <w:szCs w:val="21"/>
          <w:color w:val="0071CE"/>
        </w:rPr>
      </w:pPr>
      <w:r>
        <w:rPr>
          <w:rFonts w:ascii="Arial" w:cs="Arial" w:eastAsia="Arial" w:hAnsi="Arial"/>
          <w:sz w:val="25"/>
          <w:szCs w:val="25"/>
          <w:color w:val="3E3935"/>
        </w:rPr>
        <w:t>Board Oversight</w:t>
      </w:r>
    </w:p>
    <w:p>
      <w:pPr>
        <w:spacing w:after="0" w:line="15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We participate in the legislative, regulatory, and political processes to help inform decision makers and shape public policy that impacts GM, our industry, our shareholders, and other stakeholders. GM has supported and will continue to support legislation and associations that drive the achievement of our long-term, sustainable growth and our vision for the future of mobility. To guide our activities and ensure compliance with applicable laws and regulations, the Board has adopted a U.S. Corporate Political Contributions and Expenditures Policy (“Political Contributions Policy”).</w:t>
      </w:r>
    </w:p>
    <w:p>
      <w:pPr>
        <w:spacing w:after="0" w:line="10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Governance Committee oversees the Political Contributions Policy and annually reviews the Company’s engagement in the public policy process. The Governance Committee also annually reviews all corporate political contributions, GM PAC contributions and expenditures, and the process by which such contributions and expenditures are made. GM PAC expenditures are funded entirely by voluntary director and employee contributions and are guided by a board of directors and a steering committee using defined criteria set forth in the Political Contributions Policy. In 2021, the criteria expanded to also include review of any enforcement actions into the character of a candidate.</w:t>
      </w:r>
    </w:p>
    <w:p>
      <w:pPr>
        <w:spacing w:after="0" w:line="9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Management provides updates twice per year to the Governance Committee regarding the Company’s lobbying expenditures. In addition, the full Board receives a monthly report from management regarding significant global policy issues facing the Company. The Board uses this report to continuously assess which issues are most important to the Company’s long-term interests and which organizations the Company is working with to advance those interests.</w:t>
      </w:r>
    </w:p>
    <w:p>
      <w:pPr>
        <w:spacing w:after="0" w:line="292" w:lineRule="exact"/>
        <w:rPr>
          <w:sz w:val="20"/>
          <w:szCs w:val="20"/>
          <w:color w:val="auto"/>
        </w:rPr>
      </w:pPr>
    </w:p>
    <w:p>
      <w:pPr>
        <w:ind w:left="700" w:hanging="533"/>
        <w:spacing w:after="0"/>
        <w:tabs>
          <w:tab w:leader="none" w:pos="700" w:val="left"/>
        </w:tabs>
        <w:numPr>
          <w:ilvl w:val="0"/>
          <w:numId w:val="53"/>
        </w:numPr>
        <w:rPr>
          <w:rFonts w:ascii="Times New Roman" w:cs="Times New Roman" w:eastAsia="Times New Roman" w:hAnsi="Times New Roman"/>
          <w:sz w:val="21"/>
          <w:szCs w:val="21"/>
          <w:color w:val="0071CE"/>
        </w:rPr>
      </w:pPr>
      <w:r>
        <w:rPr>
          <w:rFonts w:ascii="Arial" w:cs="Arial" w:eastAsia="Arial" w:hAnsi="Arial"/>
          <w:sz w:val="25"/>
          <w:szCs w:val="25"/>
          <w:color w:val="3E3935"/>
        </w:rPr>
        <w:t>Transparency and Disclosure</w:t>
      </w:r>
    </w:p>
    <w:p>
      <w:pPr>
        <w:spacing w:after="0" w:line="15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 xml:space="preserve">To promote political transparency and accountability, GM publishes an annual voluntary report of political contributions. In addition, GM files publicly available federal Lobbying Disclosure Act Reports each quarter, which disclose GM’s lobbying expenditures, describe the legislative issues on which we have lobbied, and identify the individuals who lobbied on behalf of GM. GM also files similar periodic reports with state agencies. In 2021, for the fourth consecutive year, the Center for Political Accountability’s Zicklin Index of Corporate Political Disclosure and Accountability, which benchmarks the political disclosure and accountability policies and practices of leading U.S. public companies, recognized the quality of our disclosures and ranked GM among the First Tier of S&amp;P 500 companies. To further enhance transparency, in 2021 GM published a Public Policy Supplement to our April 2021 Sustainability Report, which can be viewed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 In addition to other pertinent disclosures, this supplement describes how GM’s lobbying activities aligns with society’s broader climate goals, including the Paris Agreement’s goal of limiting average global warming to below 2° Celsius, and supports our vision for zero crashes, zero emissions, and zero congestion.</w:t>
      </w:r>
    </w:p>
    <w:p>
      <w:pPr>
        <w:spacing w:after="0" w:line="120"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203835</wp:posOffset>
            </wp:positionV>
            <wp:extent cx="5868035" cy="3991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68035" cy="399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Certain Relationships and Related Party Transactions</w:t>
      </w:r>
    </w:p>
    <w:p>
      <w:pPr>
        <w:spacing w:after="0" w:line="14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Our Code of Conduct requires all of our employees and directors to avoid any activity that is in conflict with our business interests. In addition, the Board has adopted a Related Party Transaction Policy regarding the review and approval of related party transactions, which was updated in December 2021.</w:t>
      </w:r>
    </w:p>
    <w:p>
      <w:pPr>
        <w:spacing w:after="0" w:line="10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Under the Related Party Transactions Policy, which is administered by our Governance Committee, directors and executive officers must report any potential related party transactions (including transactions involving immediate family members) to the General Counsel to determine whether the transaction constitutes a related party transaction. If any member of the Governance Committee has a potential interest in any related party transaction, such member will recuse themself and abstain from voting on the approval of the related party transaction.</w:t>
      </w:r>
    </w:p>
    <w:p>
      <w:pPr>
        <w:spacing w:after="0" w:line="105"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For purposes of our Related Party Transactions Policy, a related party transaction includes transactions in which our Company (or a subsidiary) is a participant, the amount involved exceeds $120,000, and the related party has or will have a direct or indirect material interest. Related parties of our Company consist of directors (including nominees for election as directors), executive officers, shareholders beneficially owning more than 5 percent of the Company’s voting securities, and the immediate family members of these individuals. Once a potential related party transaction has been identified, the Governance Committee will review all of the relevant facts and circumstances and approve or disapprove entry into the transaction. As required under SEC rules, we disclose all related party transactions annually in our proxy statement.</w:t>
      </w:r>
    </w:p>
    <w:p>
      <w:pPr>
        <w:spacing w:after="0" w:line="121"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54"/>
        </w:numPr>
        <w:rPr>
          <w:rFonts w:ascii="Times New Roman" w:cs="Times New Roman" w:eastAsia="Times New Roman" w:hAnsi="Times New Roman"/>
          <w:sz w:val="20"/>
          <w:szCs w:val="20"/>
          <w:color w:val="0071CE"/>
        </w:rPr>
      </w:pPr>
      <w:r>
        <w:rPr>
          <w:rFonts w:ascii="Arial" w:cs="Arial" w:eastAsia="Arial" w:hAnsi="Arial"/>
          <w:sz w:val="24"/>
          <w:szCs w:val="24"/>
          <w:color w:val="3E3935"/>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178435</wp:posOffset>
            </wp:positionV>
            <wp:extent cx="6929755" cy="11207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112077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21" w:lineRule="exact"/>
        <w:rPr>
          <w:sz w:val="20"/>
          <w:szCs w:val="20"/>
          <w:color w:val="auto"/>
        </w:rPr>
      </w:pPr>
    </w:p>
    <w:p>
      <w:pPr>
        <w:ind w:left="28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Whether the terms of the related party transaction are fair</w:t>
      </w:r>
    </w:p>
    <w:p>
      <w:pPr>
        <w:spacing w:after="0" w:line="21" w:lineRule="exact"/>
        <w:rPr>
          <w:sz w:val="20"/>
          <w:szCs w:val="20"/>
          <w:color w:val="auto"/>
        </w:rPr>
      </w:pPr>
    </w:p>
    <w:p>
      <w:pPr>
        <w:ind w:left="480"/>
        <w:spacing w:after="0" w:line="236" w:lineRule="auto"/>
        <w:rPr>
          <w:sz w:val="20"/>
          <w:szCs w:val="20"/>
          <w:color w:val="auto"/>
        </w:rPr>
      </w:pPr>
      <w:r>
        <w:rPr>
          <w:rFonts w:ascii="Arial" w:cs="Arial" w:eastAsia="Arial" w:hAnsi="Arial"/>
          <w:sz w:val="20"/>
          <w:szCs w:val="20"/>
          <w:color w:val="3E3935"/>
        </w:rPr>
        <w:t>to the Company and on the same basis as if the transaction had occurred on an arm’s-length basis;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Whether there are any compelling business reasons for</w:t>
      </w:r>
    </w:p>
    <w:p>
      <w:pPr>
        <w:spacing w:after="0" w:line="21" w:lineRule="exact"/>
        <w:rPr>
          <w:sz w:val="20"/>
          <w:szCs w:val="20"/>
          <w:color w:val="auto"/>
        </w:rPr>
      </w:pPr>
    </w:p>
    <w:p>
      <w:pPr>
        <w:ind w:left="480"/>
        <w:spacing w:after="0" w:line="236" w:lineRule="auto"/>
        <w:rPr>
          <w:sz w:val="20"/>
          <w:szCs w:val="20"/>
          <w:color w:val="auto"/>
        </w:rPr>
      </w:pPr>
      <w:r>
        <w:rPr>
          <w:rFonts w:ascii="Arial" w:cs="Arial" w:eastAsia="Arial" w:hAnsi="Arial"/>
          <w:sz w:val="20"/>
          <w:szCs w:val="20"/>
          <w:color w:val="3E3935"/>
        </w:rPr>
        <w:t>the Company to enter into the related party transaction and the nature of alternative transactions, if any;</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right"/>
        <w:ind w:right="120"/>
        <w:spacing w:after="0" w:line="220" w:lineRule="auto"/>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Whether the related party transaction would impair the</w:t>
      </w:r>
      <w:r>
        <w:rPr>
          <w:rFonts w:ascii="Arial" w:cs="Arial" w:eastAsia="Arial" w:hAnsi="Arial"/>
          <w:sz w:val="27"/>
          <w:szCs w:val="27"/>
          <w:color w:val="00C1DE"/>
        </w:rPr>
        <w:t xml:space="preserve"> </w:t>
      </w:r>
      <w:r>
        <w:rPr>
          <w:rFonts w:ascii="Arial" w:cs="Arial" w:eastAsia="Arial" w:hAnsi="Arial"/>
          <w:sz w:val="19"/>
          <w:szCs w:val="19"/>
          <w:color w:val="3E3935"/>
        </w:rPr>
        <w:t>independence of an otherwise independent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-343535</wp:posOffset>
            </wp:positionV>
            <wp:extent cx="3456305" cy="10782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56305" cy="107823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Whether the related party transaction would present an</w:t>
      </w:r>
    </w:p>
    <w:p>
      <w:pPr>
        <w:spacing w:after="0" w:line="21" w:lineRule="exact"/>
        <w:rPr>
          <w:sz w:val="20"/>
          <w:szCs w:val="20"/>
          <w:color w:val="auto"/>
        </w:rPr>
      </w:pPr>
    </w:p>
    <w:p>
      <w:pPr>
        <w:jc w:val="both"/>
        <w:ind w:left="200" w:right="100"/>
        <w:spacing w:after="0" w:line="246" w:lineRule="auto"/>
        <w:rPr>
          <w:sz w:val="20"/>
          <w:szCs w:val="20"/>
          <w:color w:val="auto"/>
        </w:rPr>
      </w:pPr>
      <w:r>
        <w:rPr>
          <w:rFonts w:ascii="Arial" w:cs="Arial" w:eastAsia="Arial" w:hAnsi="Arial"/>
          <w:sz w:val="19"/>
          <w:szCs w:val="19"/>
          <w:color w:val="3E3935"/>
        </w:rPr>
        <w:t>improper conflict of interest for any director or executive officer of the Company, taking into account the specific facts and circumstances of such transaction.</w:t>
      </w:r>
    </w:p>
    <w:p>
      <w:pPr>
        <w:spacing w:after="0" w:line="200" w:lineRule="exact"/>
        <w:rPr>
          <w:sz w:val="20"/>
          <w:szCs w:val="20"/>
          <w:color w:val="auto"/>
        </w:rPr>
      </w:pPr>
    </w:p>
    <w:p>
      <w:pPr>
        <w:sectPr>
          <w:pgSz w:w="11900" w:h="16838" w:orient="portrait"/>
          <w:cols w:equalWidth="0" w:num="2">
            <w:col w:w="5520" w:space="340"/>
            <w:col w:w="5220"/>
          </w:cols>
          <w:pgMar w:left="320" w:top="454" w:right="499" w:bottom="1440" w:gutter="0" w:footer="0" w:header="0"/>
          <w:type w:val="continuous"/>
        </w:sectPr>
      </w:pPr>
    </w:p>
    <w:p>
      <w:pPr>
        <w:spacing w:after="0" w:line="259" w:lineRule="exact"/>
        <w:rPr>
          <w:sz w:val="20"/>
          <w:szCs w:val="20"/>
          <w:color w:val="auto"/>
        </w:rPr>
      </w:pPr>
    </w:p>
    <w:p>
      <w:pPr>
        <w:ind w:left="700" w:hanging="533"/>
        <w:spacing w:after="0"/>
        <w:tabs>
          <w:tab w:leader="none" w:pos="700" w:val="left"/>
        </w:tabs>
        <w:numPr>
          <w:ilvl w:val="0"/>
          <w:numId w:val="55"/>
        </w:numPr>
        <w:rPr>
          <w:rFonts w:ascii="Times New Roman" w:cs="Times New Roman" w:eastAsia="Times New Roman" w:hAnsi="Times New Roman"/>
          <w:sz w:val="21"/>
          <w:szCs w:val="21"/>
          <w:color w:val="0071CE"/>
        </w:rPr>
      </w:pPr>
      <w:r>
        <w:rPr>
          <w:rFonts w:ascii="Arial" w:cs="Arial" w:eastAsia="Arial" w:hAnsi="Arial"/>
          <w:sz w:val="25"/>
          <w:szCs w:val="25"/>
          <w:color w:val="3E3935"/>
        </w:rPr>
        <w:t>2021 Related Party Transactions</w:t>
      </w:r>
    </w:p>
    <w:p>
      <w:pPr>
        <w:spacing w:after="0" w:line="15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In 2021, GM entered into an agreement for consulting services with Kissinger Associates for approximately $500,000. Our director, Ms. Miscik, is the Chief Executive Officer and Vice Chairman of Kissinger Associates.</w:t>
      </w:r>
    </w:p>
    <w:p>
      <w:pPr>
        <w:spacing w:after="0" w:line="94"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In 2021, two holders of 5 percent or more of the Company’s common stock – BlackRock and Vanguard – provided investment management services to Company-sponsored pension plans.</w:t>
      </w:r>
    </w:p>
    <w:p>
      <w:pPr>
        <w:spacing w:after="0" w:line="81"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The SEC has identified employment of immediate family members of directors and executive officers as per-se related party transactions and subject to disclosure if the $120,000 threshold is met. In 2021, the following immediate family members of executive officers were employed by General Motors or its subsidiaries and had 2021 total compensation in excess of $120,000: the daughter of Mark L. Reuss, our President, is employed by GM in the Brand organization; the wife of Julian Blissett, our Executive Vice President and President, GM China, is employed by GM in the Global Manufacturing organization; and the son of Craig B. Glidden, our Executive Vice President, Global Public Policy, General Counsel, and Corporate Secretary, is employed by Cruise as a Manager, Reliability and Lifecycle Planning.</w:t>
      </w:r>
    </w:p>
    <w:p>
      <w:pPr>
        <w:spacing w:after="0" w:line="10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NEOs may be eligible to reimburse personal travel expenses pursuant to time-sharing agreements that the Company may enter into from time to time, subject to Federal Aviation Administration regulations. In 2021, pursuant to such an agreement, Mr. Reuss reimbursed the Company $ 140,000 for his personal use of corporate aircraft, including certain taxes. For additional information about NEO’s personal use of corporate aircraft, see page 56 of this Proxy Statement under “Perquisites and Other Compensation.”</w:t>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OUR PURPOSE, OUR VALUES, AND OUR BEHAVIORS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Our Purpose</w:t>
      </w:r>
    </w:p>
    <w:p>
      <w:pPr>
        <w:spacing w:after="0" w:line="118" w:lineRule="exact"/>
        <w:rPr>
          <w:sz w:val="20"/>
          <w:szCs w:val="20"/>
          <w:color w:val="auto"/>
        </w:rPr>
      </w:pPr>
    </w:p>
    <w:p>
      <w:pPr>
        <w:jc w:val="both"/>
        <w:ind w:left="160"/>
        <w:spacing w:after="0" w:line="243" w:lineRule="auto"/>
        <w:rPr>
          <w:sz w:val="20"/>
          <w:szCs w:val="20"/>
          <w:color w:val="auto"/>
        </w:rPr>
      </w:pPr>
      <w:r>
        <w:rPr>
          <w:rFonts w:ascii="Arial" w:cs="Arial" w:eastAsia="Arial" w:hAnsi="Arial"/>
          <w:sz w:val="20"/>
          <w:szCs w:val="20"/>
          <w:color w:val="3E3935"/>
        </w:rPr>
        <w:t xml:space="preserve">After extensive work by the Board, our senior leadership team, and a diverse, cross-functional global team of colleagues, we introduced our Purpose statement in 2021. It’s a simple but powerful statement that honors our heritage of innovation, captures who we are when we’re at our best, and looks ahead to the future: </w:t>
      </w:r>
      <w:r>
        <w:rPr>
          <w:rFonts w:ascii="Arial" w:cs="Arial" w:eastAsia="Arial" w:hAnsi="Arial"/>
          <w:sz w:val="23"/>
          <w:szCs w:val="23"/>
          <w:b w:val="1"/>
          <w:bCs w:val="1"/>
          <w:i w:val="1"/>
          <w:iCs w:val="1"/>
          <w:color w:val="0071CE"/>
        </w:rPr>
        <w:t>We pioneer the innovations that move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3"/>
          <w:szCs w:val="23"/>
          <w:b w:val="1"/>
          <w:bCs w:val="1"/>
          <w:i w:val="1"/>
          <w:iCs w:val="1"/>
          <w:color w:val="0071CE"/>
        </w:rPr>
        <w:t>and connect people to what matters</w:t>
      </w:r>
      <w:r>
        <w:rPr>
          <w:rFonts w:ascii="Arial" w:cs="Arial" w:eastAsia="Arial" w:hAnsi="Arial"/>
          <w:sz w:val="19"/>
          <w:szCs w:val="19"/>
          <w:b w:val="1"/>
          <w:bCs w:val="1"/>
          <w:color w:val="3E3935"/>
        </w:rPr>
        <w:t>.</w:t>
      </w:r>
    </w:p>
    <w:p>
      <w:pPr>
        <w:sectPr>
          <w:pgSz w:w="11900" w:h="16838" w:orient="portrait"/>
          <w:cols w:equalWidth="0" w:num="1">
            <w:col w:w="11080"/>
          </w:cols>
          <w:pgMar w:left="320" w:top="454" w:right="499" w:bottom="1440" w:gutter="0" w:footer="0" w:header="0"/>
        </w:sect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Our Values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1"/>
          <w:szCs w:val="21"/>
          <w:color w:val="0071CE"/>
        </w:rPr>
        <w:t>Customers</w:t>
      </w:r>
    </w:p>
    <w:p>
      <w:pPr>
        <w:spacing w:after="0" w:line="16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We put the customer at the center of everything we do. We listen intently to our customers’ needs. Each interaction matters. Safety and quality are foundational commitments, never compromised.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color w:val="0071CE"/>
        </w:rPr>
        <w:t>Excellence</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We act with integrity. We are driven by ingenuity and innovation. We have the courage to do and say what’s difficult. Each of us takes accountability for results, drives for continued efficiencies, and has the tenacity to win.</w:t>
      </w:r>
    </w:p>
    <w:p>
      <w:pPr>
        <w:spacing w:after="0" w:line="200" w:lineRule="exact"/>
        <w:rPr>
          <w:sz w:val="20"/>
          <w:szCs w:val="20"/>
          <w:color w:val="auto"/>
        </w:rPr>
      </w:pPr>
    </w:p>
    <w:p>
      <w:pPr>
        <w:sectPr>
          <w:pgSz w:w="11900" w:h="16838" w:orient="portrait"/>
          <w:cols w:equalWidth="0" w:num="2">
            <w:col w:w="5500" w:space="240"/>
            <w:col w:w="5340"/>
          </w:cols>
          <w:pgMar w:left="320" w:top="454" w:right="499" w:bottom="1440" w:gutter="0" w:footer="0" w:header="0"/>
          <w:type w:val="continuous"/>
        </w:sectPr>
      </w:pPr>
    </w:p>
    <w:p>
      <w:pPr>
        <w:spacing w:after="0" w:line="48" w:lineRule="exact"/>
        <w:rPr>
          <w:sz w:val="20"/>
          <w:szCs w:val="20"/>
          <w:color w:val="auto"/>
        </w:rPr>
      </w:pPr>
    </w:p>
    <w:p>
      <w:pPr>
        <w:ind w:left="160"/>
        <w:spacing w:after="0"/>
        <w:rPr>
          <w:sz w:val="20"/>
          <w:szCs w:val="20"/>
          <w:color w:val="auto"/>
        </w:rPr>
      </w:pPr>
      <w:r>
        <w:rPr>
          <w:rFonts w:ascii="Arial" w:cs="Arial" w:eastAsia="Arial" w:hAnsi="Arial"/>
          <w:sz w:val="21"/>
          <w:szCs w:val="21"/>
          <w:color w:val="0071CE"/>
        </w:rPr>
        <w:t>Relationships</w:t>
      </w:r>
    </w:p>
    <w:p>
      <w:pPr>
        <w:spacing w:after="0" w:line="16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Our success depends on our relationships inside and outside the Company. We encourage diverse thinking and collaboration from all over the world to create great customer experiences.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Our Behaviors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0071CE"/>
        </w:rPr>
        <w:t>Seek Truth</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3E3935"/>
        </w:rPr>
        <w:t>We pursue facts, respectfully challenge assumptions, and clearly define objectives. When we disagree, we provide additional context and consider multiple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675005</wp:posOffset>
            </wp:positionV>
            <wp:extent cx="5502910" cy="3354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02910" cy="3354705"/>
                    </a:xfrm>
                    <a:prstGeom prst="rect">
                      <a:avLst/>
                    </a:prstGeom>
                    <a:noFill/>
                  </pic:spPr>
                </pic:pic>
              </a:graphicData>
            </a:graphic>
          </wp:anchor>
        </w:drawing>
      </w:r>
    </w:p>
    <w:p>
      <w:pPr>
        <w:spacing w:after="0" w:line="988" w:lineRule="exact"/>
        <w:rPr>
          <w:sz w:val="20"/>
          <w:szCs w:val="20"/>
          <w:color w:val="auto"/>
        </w:rPr>
      </w:pPr>
    </w:p>
    <w:p>
      <w:pPr>
        <w:sectPr>
          <w:pgSz w:w="11900" w:h="16838" w:orient="portrait"/>
          <w:cols w:equalWidth="0" w:num="2">
            <w:col w:w="5500" w:space="240"/>
            <w:col w:w="5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SOCIAL AND ENVIRONMENTAL HIGHLIGHTS</w:t>
      </w:r>
    </w:p>
    <w:p>
      <w:pPr>
        <w:sectPr>
          <w:pgSz w:w="11900" w:h="16838" w:orient="portrait"/>
          <w:cols w:equalWidth="0" w:num="1">
            <w:col w:w="11080"/>
          </w:cols>
          <w:pgMar w:left="320" w:top="454" w:right="49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Our People</w:t>
      </w:r>
    </w:p>
    <w:p>
      <w:pPr>
        <w:spacing w:after="0" w:line="212" w:lineRule="exact"/>
        <w:rPr>
          <w:sz w:val="20"/>
          <w:szCs w:val="20"/>
          <w:color w:val="auto"/>
        </w:rPr>
      </w:pPr>
    </w:p>
    <w:p>
      <w:pPr>
        <w:jc w:val="both"/>
        <w:ind w:left="160"/>
        <w:spacing w:after="0"/>
        <w:rPr>
          <w:sz w:val="20"/>
          <w:szCs w:val="20"/>
          <w:color w:val="auto"/>
        </w:rPr>
      </w:pPr>
      <w:r>
        <w:rPr>
          <w:rFonts w:ascii="Arial" w:cs="Arial" w:eastAsia="Arial" w:hAnsi="Arial"/>
          <w:sz w:val="19"/>
          <w:szCs w:val="19"/>
          <w:color w:val="3E3935"/>
        </w:rPr>
        <w:t>We are building a diverse, equitable, and inclusive team that is inspired to make people’s lives safer, more convenient, and more sustainable. In pursuit of our ambition to become the most inclusive company in the world, we are also committed to bringing our workforce along as we transform our business and execute GM’s long-term EV and growth strategy. Our focus is on providing a safe and inclusive workplace with ample opportunity for talent development and career advancement.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By applying our GM behaviors, we strive to inspire our team across various key dimensions, including teamwork, fairness, trust, growth, commitment, and recognition, to make a lasting impact. A key development with respect to our workforce in 2021 was our adoption of a Work Appropriately policy, a new approach to the future of work that allows most office-based employees to work where they can have the greatest impact on achieving their goals.</w:t>
      </w:r>
    </w:p>
    <w:p>
      <w:pPr>
        <w:spacing w:after="0" w:line="418"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38" w:lineRule="exact"/>
        <w:rPr>
          <w:sz w:val="20"/>
          <w:szCs w:val="20"/>
          <w:color w:val="auto"/>
        </w:rPr>
      </w:pPr>
    </w:p>
    <w:p>
      <w:pPr>
        <w:ind w:left="700" w:hanging="533"/>
        <w:spacing w:after="0"/>
        <w:tabs>
          <w:tab w:leader="none" w:pos="700" w:val="left"/>
        </w:tabs>
        <w:numPr>
          <w:ilvl w:val="0"/>
          <w:numId w:val="56"/>
        </w:numPr>
        <w:rPr>
          <w:rFonts w:ascii="Times New Roman" w:cs="Times New Roman" w:eastAsia="Times New Roman" w:hAnsi="Times New Roman"/>
          <w:sz w:val="21"/>
          <w:szCs w:val="21"/>
          <w:color w:val="0071CE"/>
        </w:rPr>
      </w:pPr>
      <w:r>
        <w:rPr>
          <w:rFonts w:ascii="Arial" w:cs="Arial" w:eastAsia="Arial" w:hAnsi="Arial"/>
          <w:sz w:val="25"/>
          <w:szCs w:val="25"/>
          <w:b w:val="1"/>
          <w:bCs w:val="1"/>
          <w:color w:val="3E3935"/>
        </w:rPr>
        <w:t>Key Workforce Priorities</w:t>
      </w:r>
    </w:p>
    <w:p>
      <w:pPr>
        <w:spacing w:after="0" w:line="210" w:lineRule="exact"/>
        <w:rPr>
          <w:sz w:val="20"/>
          <w:szCs w:val="20"/>
          <w:color w:val="auto"/>
        </w:rPr>
      </w:pPr>
    </w:p>
    <w:p>
      <w:pPr>
        <w:ind w:left="400" w:hanging="233"/>
        <w:spacing w:after="0" w:line="182" w:lineRule="auto"/>
        <w:tabs>
          <w:tab w:leader="none" w:pos="400" w:val="left"/>
        </w:tabs>
        <w:numPr>
          <w:ilvl w:val="0"/>
          <w:numId w:val="57"/>
        </w:numPr>
        <w:rPr>
          <w:rFonts w:ascii="Arial" w:cs="Arial" w:eastAsia="Arial" w:hAnsi="Arial"/>
          <w:sz w:val="38"/>
          <w:szCs w:val="38"/>
          <w:color w:val="00C1DE"/>
          <w:vertAlign w:val="subscript"/>
        </w:rPr>
      </w:pPr>
      <w:r>
        <w:rPr>
          <w:rFonts w:ascii="Arial" w:cs="Arial" w:eastAsia="Arial" w:hAnsi="Arial"/>
          <w:sz w:val="16"/>
          <w:szCs w:val="16"/>
          <w:color w:val="0071CE"/>
        </w:rPr>
        <w:t xml:space="preserve">Workplace Safety: </w:t>
      </w:r>
      <w:r>
        <w:rPr>
          <w:rFonts w:ascii="Arial" w:cs="Arial" w:eastAsia="Arial" w:hAnsi="Arial"/>
          <w:sz w:val="16"/>
          <w:szCs w:val="16"/>
          <w:color w:val="3E3935"/>
        </w:rPr>
        <w:t>Returning people home safely – every</w:t>
      </w:r>
      <w:r>
        <w:rPr>
          <w:rFonts w:ascii="Arial" w:cs="Arial" w:eastAsia="Arial" w:hAnsi="Arial"/>
          <w:sz w:val="16"/>
          <w:szCs w:val="16"/>
          <w:color w:val="0071CE"/>
        </w:rPr>
        <w:t xml:space="preserve"> </w:t>
      </w:r>
      <w:r>
        <w:rPr>
          <w:rFonts w:ascii="Arial" w:cs="Arial" w:eastAsia="Arial" w:hAnsi="Arial"/>
          <w:sz w:val="16"/>
          <w:szCs w:val="16"/>
          <w:color w:val="3E3935"/>
        </w:rPr>
        <w:t>person, every site, every day.</w:t>
      </w:r>
    </w:p>
    <w:p>
      <w:pPr>
        <w:spacing w:after="0" w:line="37" w:lineRule="exact"/>
        <w:rPr>
          <w:rFonts w:ascii="Arial" w:cs="Arial" w:eastAsia="Arial" w:hAnsi="Arial"/>
          <w:sz w:val="38"/>
          <w:szCs w:val="38"/>
          <w:color w:val="00C1DE"/>
          <w:vertAlign w:val="subscript"/>
        </w:rPr>
      </w:pPr>
    </w:p>
    <w:p>
      <w:pPr>
        <w:jc w:val="both"/>
        <w:ind w:left="400" w:hanging="233"/>
        <w:spacing w:after="0" w:line="185" w:lineRule="auto"/>
        <w:tabs>
          <w:tab w:leader="none" w:pos="400" w:val="left"/>
        </w:tabs>
        <w:numPr>
          <w:ilvl w:val="0"/>
          <w:numId w:val="57"/>
        </w:numPr>
        <w:rPr>
          <w:rFonts w:ascii="Arial" w:cs="Arial" w:eastAsia="Arial" w:hAnsi="Arial"/>
          <w:sz w:val="47"/>
          <w:szCs w:val="47"/>
          <w:color w:val="00C1DE"/>
          <w:vertAlign w:val="subscript"/>
        </w:rPr>
      </w:pPr>
      <w:r>
        <w:rPr>
          <w:rFonts w:ascii="Arial" w:cs="Arial" w:eastAsia="Arial" w:hAnsi="Arial"/>
          <w:sz w:val="18"/>
          <w:szCs w:val="18"/>
          <w:color w:val="0071CE"/>
        </w:rPr>
        <w:t xml:space="preserve">Talent Engagement: </w:t>
      </w:r>
      <w:r>
        <w:rPr>
          <w:rFonts w:ascii="Arial" w:cs="Arial" w:eastAsia="Arial" w:hAnsi="Arial"/>
          <w:sz w:val="18"/>
          <w:szCs w:val="18"/>
          <w:color w:val="3E3935"/>
        </w:rPr>
        <w:t>Creating a positive work</w:t>
      </w:r>
      <w:r>
        <w:rPr>
          <w:rFonts w:ascii="Arial" w:cs="Arial" w:eastAsia="Arial" w:hAnsi="Arial"/>
          <w:sz w:val="18"/>
          <w:szCs w:val="18"/>
          <w:color w:val="0071CE"/>
        </w:rPr>
        <w:t xml:space="preserve"> </w:t>
      </w:r>
      <w:r>
        <w:rPr>
          <w:rFonts w:ascii="Arial" w:cs="Arial" w:eastAsia="Arial" w:hAnsi="Arial"/>
          <w:sz w:val="18"/>
          <w:szCs w:val="18"/>
          <w:color w:val="3E3935"/>
        </w:rPr>
        <w:t>environment and a place where employees feel inspired to do their best work, valued for doing it, and connected to our Purpose, Vision, and Values.</w:t>
      </w:r>
    </w:p>
    <w:p>
      <w:pPr>
        <w:spacing w:after="0" w:line="40" w:lineRule="exact"/>
        <w:rPr>
          <w:rFonts w:ascii="Arial" w:cs="Arial" w:eastAsia="Arial" w:hAnsi="Arial"/>
          <w:sz w:val="47"/>
          <w:szCs w:val="47"/>
          <w:color w:val="00C1DE"/>
          <w:vertAlign w:val="subscript"/>
        </w:rPr>
      </w:pPr>
    </w:p>
    <w:p>
      <w:pPr>
        <w:jc w:val="both"/>
        <w:ind w:left="400" w:hanging="233"/>
        <w:spacing w:after="0" w:line="181" w:lineRule="auto"/>
        <w:tabs>
          <w:tab w:leader="none" w:pos="400" w:val="left"/>
        </w:tabs>
        <w:numPr>
          <w:ilvl w:val="0"/>
          <w:numId w:val="57"/>
        </w:numPr>
        <w:rPr>
          <w:rFonts w:ascii="Arial" w:cs="Arial" w:eastAsia="Arial" w:hAnsi="Arial"/>
          <w:sz w:val="52"/>
          <w:szCs w:val="52"/>
          <w:color w:val="00C1DE"/>
          <w:vertAlign w:val="subscript"/>
        </w:rPr>
      </w:pPr>
      <w:r>
        <w:rPr>
          <w:rFonts w:ascii="Arial" w:cs="Arial" w:eastAsia="Arial" w:hAnsi="Arial"/>
          <w:sz w:val="19"/>
          <w:szCs w:val="19"/>
          <w:color w:val="0071CE"/>
        </w:rPr>
        <w:t xml:space="preserve">Talent Development: </w:t>
      </w:r>
      <w:r>
        <w:rPr>
          <w:rFonts w:ascii="Arial" w:cs="Arial" w:eastAsia="Arial" w:hAnsi="Arial"/>
          <w:sz w:val="19"/>
          <w:szCs w:val="19"/>
          <w:color w:val="3E3935"/>
        </w:rPr>
        <w:t>Providing a broad range of</w:t>
      </w:r>
      <w:r>
        <w:rPr>
          <w:rFonts w:ascii="Arial" w:cs="Arial" w:eastAsia="Arial" w:hAnsi="Arial"/>
          <w:sz w:val="19"/>
          <w:szCs w:val="19"/>
          <w:color w:val="0071CE"/>
        </w:rPr>
        <w:t xml:space="preserve"> </w:t>
      </w:r>
      <w:r>
        <w:rPr>
          <w:rFonts w:ascii="Arial" w:cs="Arial" w:eastAsia="Arial" w:hAnsi="Arial"/>
          <w:sz w:val="19"/>
          <w:szCs w:val="19"/>
          <w:color w:val="3E3935"/>
        </w:rPr>
        <w:t>development opportunities to employees, including training current employees for new types of work as our business evolves, education reimbursement, and stretch assignments.</w:t>
      </w:r>
    </w:p>
    <w:p>
      <w:pPr>
        <w:spacing w:after="0" w:line="40" w:lineRule="exact"/>
        <w:rPr>
          <w:rFonts w:ascii="Arial" w:cs="Arial" w:eastAsia="Arial" w:hAnsi="Arial"/>
          <w:sz w:val="52"/>
          <w:szCs w:val="52"/>
          <w:color w:val="00C1DE"/>
          <w:vertAlign w:val="subscript"/>
        </w:rPr>
      </w:pPr>
    </w:p>
    <w:p>
      <w:pPr>
        <w:jc w:val="both"/>
        <w:ind w:left="400" w:right="20" w:hanging="233"/>
        <w:spacing w:after="0" w:line="181" w:lineRule="auto"/>
        <w:tabs>
          <w:tab w:leader="none" w:pos="400" w:val="left"/>
        </w:tabs>
        <w:numPr>
          <w:ilvl w:val="0"/>
          <w:numId w:val="57"/>
        </w:numPr>
        <w:rPr>
          <w:rFonts w:ascii="Arial" w:cs="Arial" w:eastAsia="Arial" w:hAnsi="Arial"/>
          <w:sz w:val="43"/>
          <w:szCs w:val="43"/>
          <w:color w:val="00C1DE"/>
          <w:vertAlign w:val="subscript"/>
        </w:rPr>
      </w:pPr>
      <w:r>
        <w:rPr>
          <w:rFonts w:ascii="Arial" w:cs="Arial" w:eastAsia="Arial" w:hAnsi="Arial"/>
          <w:sz w:val="18"/>
          <w:szCs w:val="18"/>
          <w:color w:val="0071CE"/>
        </w:rPr>
        <w:t xml:space="preserve">Talent Acquisition: </w:t>
      </w:r>
      <w:r>
        <w:rPr>
          <w:rFonts w:ascii="Arial" w:cs="Arial" w:eastAsia="Arial" w:hAnsi="Arial"/>
          <w:sz w:val="18"/>
          <w:szCs w:val="18"/>
          <w:color w:val="3E3935"/>
        </w:rPr>
        <w:t>Attracting a diverse candidate pool,</w:t>
      </w:r>
      <w:r>
        <w:rPr>
          <w:rFonts w:ascii="Arial" w:cs="Arial" w:eastAsia="Arial" w:hAnsi="Arial"/>
          <w:sz w:val="18"/>
          <w:szCs w:val="18"/>
          <w:color w:val="0071CE"/>
        </w:rPr>
        <w:t xml:space="preserve"> </w:t>
      </w:r>
      <w:r>
        <w:rPr>
          <w:rFonts w:ascii="Arial" w:cs="Arial" w:eastAsia="Arial" w:hAnsi="Arial"/>
          <w:sz w:val="18"/>
          <w:szCs w:val="18"/>
          <w:color w:val="3E3935"/>
        </w:rPr>
        <w:t>creating an inclusive hiring process, hiring top talent, and investing in their success.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247" w:right="20" w:hanging="247"/>
        <w:spacing w:after="0" w:line="185" w:lineRule="auto"/>
        <w:tabs>
          <w:tab w:leader="none" w:pos="247" w:val="left"/>
        </w:tabs>
        <w:numPr>
          <w:ilvl w:val="0"/>
          <w:numId w:val="58"/>
        </w:numPr>
        <w:rPr>
          <w:rFonts w:ascii="Arial" w:cs="Arial" w:eastAsia="Arial" w:hAnsi="Arial"/>
          <w:sz w:val="53"/>
          <w:szCs w:val="53"/>
          <w:color w:val="00C1DE"/>
          <w:vertAlign w:val="subscript"/>
        </w:rPr>
      </w:pPr>
      <w:r>
        <w:rPr>
          <w:rFonts w:ascii="Arial" w:cs="Arial" w:eastAsia="Arial" w:hAnsi="Arial"/>
          <w:sz w:val="20"/>
          <w:szCs w:val="20"/>
          <w:color w:val="0071CE"/>
        </w:rPr>
        <w:t xml:space="preserve">Wellness and Benefits: </w:t>
      </w:r>
      <w:r>
        <w:rPr>
          <w:rFonts w:ascii="Arial" w:cs="Arial" w:eastAsia="Arial" w:hAnsi="Arial"/>
          <w:sz w:val="20"/>
          <w:szCs w:val="20"/>
          <w:color w:val="3E3935"/>
        </w:rPr>
        <w:t>Market competitive pay; quality</w:t>
      </w:r>
      <w:r>
        <w:rPr>
          <w:rFonts w:ascii="Arial" w:cs="Arial" w:eastAsia="Arial" w:hAnsi="Arial"/>
          <w:sz w:val="20"/>
          <w:szCs w:val="20"/>
          <w:color w:val="0071CE"/>
        </w:rPr>
        <w:t xml:space="preserve"> </w:t>
      </w:r>
      <w:r>
        <w:rPr>
          <w:rFonts w:ascii="Arial" w:cs="Arial" w:eastAsia="Arial" w:hAnsi="Arial"/>
          <w:sz w:val="20"/>
          <w:szCs w:val="20"/>
          <w:color w:val="3E3935"/>
        </w:rPr>
        <w:t>health care plans; retirement and savings plans with Company contributions and matching programs; paid time off for vacations, illness, family care needs, and military leave; physical and mental health and well-being programs; and support for flexible and alternative work arrangements.</w:t>
      </w:r>
    </w:p>
    <w:p>
      <w:pPr>
        <w:spacing w:after="0" w:line="44" w:lineRule="exact"/>
        <w:rPr>
          <w:rFonts w:ascii="Arial" w:cs="Arial" w:eastAsia="Arial" w:hAnsi="Arial"/>
          <w:sz w:val="53"/>
          <w:szCs w:val="53"/>
          <w:color w:val="00C1DE"/>
          <w:vertAlign w:val="subscript"/>
        </w:rPr>
      </w:pPr>
    </w:p>
    <w:p>
      <w:pPr>
        <w:jc w:val="both"/>
        <w:ind w:left="247" w:right="20" w:hanging="247"/>
        <w:spacing w:after="0" w:line="185" w:lineRule="auto"/>
        <w:tabs>
          <w:tab w:leader="none" w:pos="247" w:val="left"/>
        </w:tabs>
        <w:numPr>
          <w:ilvl w:val="0"/>
          <w:numId w:val="58"/>
        </w:numPr>
        <w:rPr>
          <w:rFonts w:ascii="Arial" w:cs="Arial" w:eastAsia="Arial" w:hAnsi="Arial"/>
          <w:sz w:val="47"/>
          <w:szCs w:val="47"/>
          <w:color w:val="00C1DE"/>
          <w:vertAlign w:val="subscript"/>
        </w:rPr>
      </w:pPr>
      <w:r>
        <w:rPr>
          <w:rFonts w:ascii="Arial" w:cs="Arial" w:eastAsia="Arial" w:hAnsi="Arial"/>
          <w:sz w:val="18"/>
          <w:szCs w:val="18"/>
          <w:color w:val="0071CE"/>
        </w:rPr>
        <w:t xml:space="preserve">Labor Relations: </w:t>
      </w:r>
      <w:r>
        <w:rPr>
          <w:rFonts w:ascii="Arial" w:cs="Arial" w:eastAsia="Arial" w:hAnsi="Arial"/>
          <w:sz w:val="18"/>
          <w:szCs w:val="18"/>
          <w:color w:val="3E3935"/>
        </w:rPr>
        <w:t>Respecting our employees’ right to</w:t>
      </w:r>
      <w:r>
        <w:rPr>
          <w:rFonts w:ascii="Arial" w:cs="Arial" w:eastAsia="Arial" w:hAnsi="Arial"/>
          <w:sz w:val="18"/>
          <w:szCs w:val="18"/>
          <w:color w:val="0071CE"/>
        </w:rPr>
        <w:t xml:space="preserve"> </w:t>
      </w:r>
      <w:r>
        <w:rPr>
          <w:rFonts w:ascii="Arial" w:cs="Arial" w:eastAsia="Arial" w:hAnsi="Arial"/>
          <w:sz w:val="18"/>
          <w:szCs w:val="18"/>
          <w:color w:val="3E3935"/>
        </w:rPr>
        <w:t>freedom of association in all countries, complying with all local labor laws and regulations, and engaging our workforce in our collective future.</w:t>
      </w:r>
    </w:p>
    <w:p>
      <w:pPr>
        <w:spacing w:after="0" w:line="1006" w:lineRule="exact"/>
        <w:rPr>
          <w:sz w:val="20"/>
          <w:szCs w:val="20"/>
          <w:color w:val="auto"/>
        </w:rPr>
      </w:pPr>
    </w:p>
    <w:p>
      <w:pPr>
        <w:sectPr>
          <w:pgSz w:w="11900" w:h="16838" w:orient="portrait"/>
          <w:cols w:equalWidth="0" w:num="2">
            <w:col w:w="5400" w:space="333"/>
            <w:col w:w="5347"/>
          </w:cols>
          <w:pgMar w:left="320" w:top="454" w:right="499" w:bottom="1440" w:gutter="0" w:footer="0" w:header="0"/>
          <w:type w:val="continuous"/>
        </w:sectPr>
      </w:pPr>
    </w:p>
    <w:p>
      <w:pPr>
        <w:spacing w:after="0" w:line="235" w:lineRule="exact"/>
        <w:rPr>
          <w:sz w:val="20"/>
          <w:szCs w:val="20"/>
          <w:color w:val="auto"/>
        </w:rPr>
      </w:pPr>
    </w:p>
    <w:p>
      <w:pPr>
        <w:ind w:left="700" w:hanging="533"/>
        <w:spacing w:after="0"/>
        <w:tabs>
          <w:tab w:leader="none" w:pos="700" w:val="left"/>
        </w:tabs>
        <w:numPr>
          <w:ilvl w:val="0"/>
          <w:numId w:val="59"/>
        </w:numPr>
        <w:rPr>
          <w:rFonts w:ascii="Times New Roman" w:cs="Times New Roman" w:eastAsia="Times New Roman" w:hAnsi="Times New Roman"/>
          <w:sz w:val="21"/>
          <w:szCs w:val="21"/>
          <w:color w:val="0071CE"/>
        </w:rPr>
      </w:pPr>
      <w:r>
        <w:rPr>
          <w:rFonts w:ascii="Arial" w:cs="Arial" w:eastAsia="Arial" w:hAnsi="Arial"/>
          <w:sz w:val="25"/>
          <w:szCs w:val="25"/>
          <w:b w:val="1"/>
          <w:bCs w:val="1"/>
          <w:color w:val="3E3935"/>
        </w:rPr>
        <w:t>Diversity, Equity, and Inclusion</w:t>
      </w:r>
    </w:p>
    <w:p>
      <w:pPr>
        <w:spacing w:after="0" w:line="21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In 2020, GM set an aspirational goal to become the world’s most inclusive company. We are committed to DE&amp;I in our interactions with all people, including employees, customers, and communities. We are proud of our efforts to create positive, sustainable, and inclusive social change, exemplified through the following:</w:t>
      </w:r>
    </w:p>
    <w:p>
      <w:pPr>
        <w:spacing w:after="0" w:line="42" w:lineRule="exact"/>
        <w:rPr>
          <w:sz w:val="20"/>
          <w:szCs w:val="20"/>
          <w:color w:val="auto"/>
        </w:rPr>
      </w:pPr>
    </w:p>
    <w:p>
      <w:pPr>
        <w:jc w:val="both"/>
        <w:ind w:left="400" w:hanging="233"/>
        <w:spacing w:after="0" w:line="188" w:lineRule="auto"/>
        <w:tabs>
          <w:tab w:leader="none" w:pos="400" w:val="left"/>
        </w:tabs>
        <w:numPr>
          <w:ilvl w:val="0"/>
          <w:numId w:val="60"/>
        </w:numPr>
        <w:rPr>
          <w:rFonts w:ascii="Arial" w:cs="Arial" w:eastAsia="Arial" w:hAnsi="Arial"/>
          <w:sz w:val="52"/>
          <w:szCs w:val="52"/>
          <w:color w:val="00C1DE"/>
          <w:vertAlign w:val="subscript"/>
        </w:rPr>
      </w:pPr>
      <w:r>
        <w:rPr>
          <w:rFonts w:ascii="Arial" w:cs="Arial" w:eastAsia="Arial" w:hAnsi="Arial"/>
          <w:sz w:val="19"/>
          <w:szCs w:val="19"/>
          <w:color w:val="3E3935"/>
        </w:rPr>
        <w:t>GM has long been a global leader in advocating for women’s equity in the workplace, with women in 31.9 percent of our top management positions within two levels of the CEO. As a part of GM’s commitment to the Equal Pay Pledge, GM reviews pay equity annually in the United States with respect to gender, race, and ethnicity.</w:t>
      </w:r>
    </w:p>
    <w:p>
      <w:pPr>
        <w:spacing w:after="0" w:line="39" w:lineRule="exact"/>
        <w:rPr>
          <w:rFonts w:ascii="Arial" w:cs="Arial" w:eastAsia="Arial" w:hAnsi="Arial"/>
          <w:sz w:val="52"/>
          <w:szCs w:val="52"/>
          <w:color w:val="00C1DE"/>
          <w:vertAlign w:val="subscript"/>
        </w:rPr>
      </w:pPr>
    </w:p>
    <w:p>
      <w:pPr>
        <w:ind w:left="400" w:hanging="233"/>
        <w:spacing w:after="0" w:line="182" w:lineRule="auto"/>
        <w:tabs>
          <w:tab w:leader="none" w:pos="400" w:val="left"/>
        </w:tabs>
        <w:numPr>
          <w:ilvl w:val="0"/>
          <w:numId w:val="60"/>
        </w:numPr>
        <w:rPr>
          <w:rFonts w:ascii="Arial" w:cs="Arial" w:eastAsia="Arial" w:hAnsi="Arial"/>
          <w:sz w:val="38"/>
          <w:szCs w:val="38"/>
          <w:color w:val="00C1DE"/>
          <w:vertAlign w:val="subscript"/>
        </w:rPr>
      </w:pPr>
      <w:r>
        <w:rPr>
          <w:rFonts w:ascii="Arial" w:cs="Arial" w:eastAsia="Arial" w:hAnsi="Arial"/>
          <w:sz w:val="16"/>
          <w:szCs w:val="16"/>
          <w:color w:val="3E3935"/>
        </w:rPr>
        <w:t>GM’s policies and practices support the LGBTQ+ community. We have a strong anti-discrimination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47" w:right="20"/>
        <w:spacing w:after="0" w:line="250" w:lineRule="auto"/>
        <w:rPr>
          <w:sz w:val="20"/>
          <w:szCs w:val="20"/>
          <w:color w:val="auto"/>
        </w:rPr>
      </w:pPr>
      <w:r>
        <w:rPr>
          <w:rFonts w:ascii="Arial" w:cs="Arial" w:eastAsia="Arial" w:hAnsi="Arial"/>
          <w:sz w:val="19"/>
          <w:szCs w:val="19"/>
          <w:color w:val="3E3935"/>
        </w:rPr>
        <w:t>policy, which protects all employees at GM. We extended same-sex domestic partner benefits early on and continue to provide full benefits to married LGBTQ+ couples.</w:t>
      </w:r>
    </w:p>
    <w:p>
      <w:pPr>
        <w:spacing w:after="0" w:line="39" w:lineRule="exact"/>
        <w:rPr>
          <w:sz w:val="20"/>
          <w:szCs w:val="20"/>
          <w:color w:val="auto"/>
        </w:rPr>
      </w:pPr>
    </w:p>
    <w:p>
      <w:pPr>
        <w:jc w:val="both"/>
        <w:ind w:left="247" w:right="20" w:hanging="247"/>
        <w:spacing w:after="0" w:line="192" w:lineRule="auto"/>
        <w:tabs>
          <w:tab w:leader="none" w:pos="247" w:val="left"/>
        </w:tabs>
        <w:numPr>
          <w:ilvl w:val="0"/>
          <w:numId w:val="61"/>
        </w:numPr>
        <w:rPr>
          <w:rFonts w:ascii="Arial" w:cs="Arial" w:eastAsia="Arial" w:hAnsi="Arial"/>
          <w:sz w:val="53"/>
          <w:szCs w:val="53"/>
          <w:color w:val="00C1DE"/>
          <w:vertAlign w:val="subscript"/>
        </w:rPr>
      </w:pPr>
      <w:r>
        <w:rPr>
          <w:rFonts w:ascii="Arial" w:cs="Arial" w:eastAsia="Arial" w:hAnsi="Arial"/>
          <w:sz w:val="20"/>
          <w:szCs w:val="20"/>
          <w:color w:val="3E3935"/>
        </w:rPr>
        <w:t>GM joined the Business Roundtable’s Multiple Pathways Initiative to hire employees based on the value of skills rather than just degrees, and to improve equity and diversity in the workplace. GM also joined and became the Detroit-area lead for OneTen, a consortium of companies who have committed to creating career opportunities for 1 million Black Americans over the next 10 years. In 2021, we exceeded our OneTen hiring commitment by 100 percent.</w:t>
      </w:r>
    </w:p>
    <w:p>
      <w:pPr>
        <w:spacing w:after="0" w:line="46" w:lineRule="exact"/>
        <w:rPr>
          <w:rFonts w:ascii="Arial" w:cs="Arial" w:eastAsia="Arial" w:hAnsi="Arial"/>
          <w:sz w:val="53"/>
          <w:szCs w:val="53"/>
          <w:color w:val="00C1DE"/>
          <w:vertAlign w:val="subscript"/>
        </w:rPr>
      </w:pPr>
    </w:p>
    <w:p>
      <w:pPr>
        <w:ind w:left="247" w:right="20" w:hanging="247"/>
        <w:spacing w:after="0" w:line="182" w:lineRule="auto"/>
        <w:tabs>
          <w:tab w:leader="none" w:pos="247" w:val="left"/>
        </w:tabs>
        <w:numPr>
          <w:ilvl w:val="0"/>
          <w:numId w:val="61"/>
        </w:numPr>
        <w:rPr>
          <w:rFonts w:ascii="Arial" w:cs="Arial" w:eastAsia="Arial" w:hAnsi="Arial"/>
          <w:sz w:val="38"/>
          <w:szCs w:val="38"/>
          <w:color w:val="00C1DE"/>
          <w:vertAlign w:val="subscript"/>
        </w:rPr>
      </w:pPr>
      <w:r>
        <w:rPr>
          <w:rFonts w:ascii="Arial" w:cs="Arial" w:eastAsia="Arial" w:hAnsi="Arial"/>
          <w:sz w:val="16"/>
          <w:szCs w:val="16"/>
          <w:color w:val="3E3935"/>
        </w:rPr>
        <w:t>GM has strengthened transparency and accountability on DE&amp;I by publicly releasing our</w:t>
      </w:r>
    </w:p>
    <w:p>
      <w:pPr>
        <w:spacing w:after="0" w:line="250" w:lineRule="exact"/>
        <w:rPr>
          <w:sz w:val="20"/>
          <w:szCs w:val="20"/>
          <w:color w:val="auto"/>
        </w:rPr>
      </w:pPr>
    </w:p>
    <w:p>
      <w:pPr>
        <w:ind w:left="4867"/>
        <w:spacing w:after="0"/>
        <w:rPr>
          <w:sz w:val="20"/>
          <w:szCs w:val="20"/>
          <w:color w:val="auto"/>
        </w:rPr>
      </w:pPr>
      <w:r>
        <w:rPr>
          <w:rFonts w:ascii="Arial" w:cs="Arial" w:eastAsia="Arial" w:hAnsi="Arial"/>
          <w:sz w:val="14"/>
          <w:szCs w:val="14"/>
          <w:color w:val="0071C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-95885</wp:posOffset>
            </wp:positionV>
            <wp:extent cx="5927725" cy="1016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400" w:space="333"/>
            <w:col w:w="5347"/>
          </w:cols>
          <w:pgMar w:left="320" w:top="454" w:right="4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3" w:lineRule="exact"/>
        <w:rPr>
          <w:sz w:val="20"/>
          <w:szCs w:val="20"/>
          <w:color w:val="auto"/>
        </w:rPr>
      </w:pPr>
    </w:p>
    <w:p>
      <w:pPr>
        <w:jc w:val="both"/>
        <w:ind w:left="400"/>
        <w:spacing w:after="0" w:line="228" w:lineRule="auto"/>
        <w:rPr>
          <w:sz w:val="20"/>
          <w:szCs w:val="20"/>
          <w:color w:val="auto"/>
        </w:rPr>
      </w:pPr>
      <w:r>
        <w:rPr>
          <w:rFonts w:ascii="Arial" w:cs="Arial" w:eastAsia="Arial" w:hAnsi="Arial"/>
          <w:sz w:val="20"/>
          <w:szCs w:val="20"/>
          <w:color w:val="3E3935"/>
        </w:rPr>
        <w:t>EEO-1 Consolidated Report and adopting corporate key performance indicators (“KPIs”) for diversity across several metrics. We also launched an Inclusivity Index as part of our global Workplace of Choice survey, which asks eight inclusion-related questions, and which revealed a three-point increase in our inclusion score among salaried employees from our baseline established in 2020.</w:t>
      </w:r>
    </w:p>
    <w:p>
      <w:pPr>
        <w:spacing w:after="0" w:line="44" w:lineRule="exact"/>
        <w:rPr>
          <w:sz w:val="20"/>
          <w:szCs w:val="20"/>
          <w:color w:val="auto"/>
        </w:rPr>
      </w:pPr>
    </w:p>
    <w:p>
      <w:pPr>
        <w:jc w:val="both"/>
        <w:ind w:left="400" w:hanging="233"/>
        <w:spacing w:after="0" w:line="198" w:lineRule="auto"/>
        <w:tabs>
          <w:tab w:leader="none" w:pos="400" w:val="left"/>
        </w:tabs>
        <w:numPr>
          <w:ilvl w:val="0"/>
          <w:numId w:val="62"/>
        </w:numPr>
        <w:rPr>
          <w:rFonts w:ascii="Arial" w:cs="Arial" w:eastAsia="Arial" w:hAnsi="Arial"/>
          <w:sz w:val="52"/>
          <w:szCs w:val="52"/>
          <w:color w:val="00C1DE"/>
          <w:vertAlign w:val="subscript"/>
        </w:rPr>
      </w:pPr>
      <w:r>
        <w:rPr>
          <w:rFonts w:ascii="Arial" w:cs="Arial" w:eastAsia="Arial" w:hAnsi="Arial"/>
          <w:sz w:val="19"/>
          <w:szCs w:val="19"/>
          <w:color w:val="3E3935"/>
        </w:rPr>
        <w:t>GM signed the Gender and Diversity KPI Alliance (“KPI Alliance”) in 2021. The KPI Alliance supports the adoption and use of a set of KPIs to measure gender and diversity. By signing on to the KPI Alliance, GM pledges to use three KPIs – percentage of representation on the GM board, percentage of representation by employee category, and pay equality – as part of our efforts to measure and improve diversity in the organization.</w:t>
      </w:r>
    </w:p>
    <w:p>
      <w:pPr>
        <w:spacing w:after="0" w:line="37" w:lineRule="exact"/>
        <w:rPr>
          <w:rFonts w:ascii="Arial" w:cs="Arial" w:eastAsia="Arial" w:hAnsi="Arial"/>
          <w:sz w:val="52"/>
          <w:szCs w:val="52"/>
          <w:color w:val="00C1DE"/>
          <w:vertAlign w:val="subscript"/>
        </w:rPr>
      </w:pPr>
    </w:p>
    <w:p>
      <w:pPr>
        <w:ind w:left="400" w:right="20" w:hanging="233"/>
        <w:spacing w:after="0" w:line="182" w:lineRule="auto"/>
        <w:tabs>
          <w:tab w:leader="none" w:pos="400" w:val="left"/>
        </w:tabs>
        <w:numPr>
          <w:ilvl w:val="0"/>
          <w:numId w:val="62"/>
        </w:numPr>
        <w:rPr>
          <w:rFonts w:ascii="Arial" w:cs="Arial" w:eastAsia="Arial" w:hAnsi="Arial"/>
          <w:sz w:val="38"/>
          <w:szCs w:val="38"/>
          <w:color w:val="00C1DE"/>
          <w:vertAlign w:val="subscript"/>
        </w:rPr>
      </w:pPr>
      <w:r>
        <w:rPr>
          <w:rFonts w:ascii="Arial" w:cs="Arial" w:eastAsia="Arial" w:hAnsi="Arial"/>
          <w:sz w:val="16"/>
          <w:szCs w:val="16"/>
          <w:color w:val="3E3935"/>
        </w:rPr>
        <w:t>GM supports diversity across our business, including among our suppliers and dealers. GM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ind w:left="247"/>
        <w:spacing w:after="0" w:line="227" w:lineRule="auto"/>
        <w:rPr>
          <w:sz w:val="20"/>
          <w:szCs w:val="20"/>
          <w:color w:val="auto"/>
        </w:rPr>
      </w:pPr>
      <w:r>
        <w:rPr>
          <w:rFonts w:ascii="Arial" w:cs="Arial" w:eastAsia="Arial" w:hAnsi="Arial"/>
          <w:sz w:val="20"/>
          <w:szCs w:val="20"/>
          <w:color w:val="3E3935"/>
        </w:rPr>
        <w:t>was the first automotive OEM to establish a formal supplier diversity program. Over the past five years, we have spent more than $17 billion with diverse suppliers and contributed to many community initiatives in collaboration with diverse suppliers. Today, our commitment to supplier diversity continues with engagement, technical assistance programs, and supplier diversity KPIs. GM also has a Minority Dealer Development Program and Women’s Retail Network as part of our commitment to a diverse dealer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-1936115</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5" w:lineRule="exact"/>
        <w:rPr>
          <w:sz w:val="20"/>
          <w:szCs w:val="20"/>
          <w:color w:val="auto"/>
        </w:rPr>
      </w:pPr>
    </w:p>
    <w:p>
      <w:pPr>
        <w:jc w:val="both"/>
        <w:ind w:left="247" w:hanging="247"/>
        <w:spacing w:after="0" w:line="189" w:lineRule="auto"/>
        <w:tabs>
          <w:tab w:leader="none" w:pos="247" w:val="left"/>
        </w:tabs>
        <w:numPr>
          <w:ilvl w:val="0"/>
          <w:numId w:val="63"/>
        </w:numPr>
        <w:rPr>
          <w:rFonts w:ascii="Arial" w:cs="Arial" w:eastAsia="Arial" w:hAnsi="Arial"/>
          <w:sz w:val="53"/>
          <w:szCs w:val="53"/>
          <w:color w:val="00C1DE"/>
          <w:vertAlign w:val="subscript"/>
        </w:rPr>
      </w:pPr>
      <w:r>
        <w:rPr>
          <w:rFonts w:ascii="Arial" w:cs="Arial" w:eastAsia="Arial" w:hAnsi="Arial"/>
          <w:sz w:val="20"/>
          <w:szCs w:val="20"/>
          <w:color w:val="3E3935"/>
        </w:rPr>
        <w:t>GM has 11 Employee Resource Groups (“ERGs”) which are voluntary, employee-led groups that serve as a resource for their members and a catalyst for promoting a diverse, inclusive workplace that aligns with the Vision and core Values of the Company. Importantly, ERGs are fully open to anyone interested in joining, and we are proud that all GM ERGs experienced growth in members and allies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288290</wp:posOffset>
            </wp:positionV>
            <wp:extent cx="5834380" cy="3209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34380" cy="3209925"/>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5400" w:space="333"/>
            <w:col w:w="5327"/>
          </w:cols>
          <w:pgMar w:left="32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580"/>
        <w:spacing w:after="0"/>
        <w:rPr>
          <w:sz w:val="20"/>
          <w:szCs w:val="20"/>
          <w:color w:val="auto"/>
        </w:rPr>
      </w:pPr>
      <w:r>
        <w:rPr>
          <w:rFonts w:ascii="Arial" w:cs="Arial" w:eastAsia="Arial" w:hAnsi="Arial"/>
          <w:sz w:val="14"/>
          <w:szCs w:val="14"/>
          <w:color w:val="0071CE"/>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60"/>
          </w:cols>
          <w:pgMar w:left="320" w:top="454" w:right="5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Our Communities</w:t>
      </w:r>
    </w:p>
    <w:p>
      <w:pPr>
        <w:spacing w:after="0" w:line="212"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An important part of our aspiration to be the world’s most inclusive company is doing our part to help create a clean, safe, and equitable world for all. We create jobs and technological innovations that support customers and local economies. We also give back to promote progress in the communities where we live and work.</w:t>
      </w:r>
    </w:p>
    <w:p>
      <w:pPr>
        <w:spacing w:after="0" w:line="10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GM’s philanthropic investments focus on inclusive and sustainable solutions for our communities. This work puts people at the center and is structured under three focus areas aligned with the United Nations Sustainable Development Goals: expand access to science, technology, engineering, and math (“STEM”) educational opportunities, vehicle and road safety, and community development. We also prioritize programs that create equitable opportunities and advance DE&amp;I goals.</w:t>
      </w:r>
    </w:p>
    <w:p>
      <w:pPr>
        <w:spacing w:after="0" w:line="107"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Recognizing that climate change does not impact every community equally, in 2021 we launched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Climate Equity Fund to help lead positive change and implement inclusive solutions by providing funding to organizations focused on clean energy jobs, sustainable transportation, and community-level action that helps residents adapt to the effects of climate change. In early 2022, we doubled our financial commitment to the fund from $25 million to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-1835785</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8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3E3935"/>
        </w:rPr>
        <w:t>In 2020, GM launched a Justice and Inclusion Fund, and in 2021, we committed $22 million to organizations doing critical racial justice work, such as the Martin Luther King Jr. Memorial Foundation, the Asian Pacific American Institute for Congressional Studies, and the Smithsonian Latino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1071880</wp:posOffset>
            </wp:positionV>
            <wp:extent cx="5095240" cy="1664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95240" cy="1664335"/>
                    </a:xfrm>
                    <a:prstGeom prst="rect">
                      <a:avLst/>
                    </a:prstGeom>
                    <a:noFill/>
                  </pic:spPr>
                </pic:pic>
              </a:graphicData>
            </a:graphic>
          </wp:anchor>
        </w:drawing>
      </w:r>
    </w:p>
    <w:p>
      <w:pPr>
        <w:spacing w:after="0" w:line="1424"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Our Environment</w:t>
      </w:r>
    </w:p>
    <w:p>
      <w:pPr>
        <w:spacing w:after="0" w:line="212" w:lineRule="exact"/>
        <w:rPr>
          <w:sz w:val="20"/>
          <w:szCs w:val="20"/>
          <w:color w:val="auto"/>
        </w:rPr>
      </w:pPr>
    </w:p>
    <w:p>
      <w:pPr>
        <w:jc w:val="both"/>
        <w:ind w:left="160"/>
        <w:spacing w:after="0" w:line="256" w:lineRule="auto"/>
        <w:rPr>
          <w:sz w:val="20"/>
          <w:szCs w:val="20"/>
          <w:color w:val="auto"/>
        </w:rPr>
      </w:pPr>
      <w:r>
        <w:rPr>
          <w:rFonts w:ascii="Arial" w:cs="Arial" w:eastAsia="Arial" w:hAnsi="Arial"/>
          <w:sz w:val="19"/>
          <w:szCs w:val="19"/>
          <w:color w:val="3E3935"/>
        </w:rPr>
        <w:t>GM remains committed to an all-electric future with zero emissions. Climate change is a problem that urgently needs to be addressed, and we want to be part of the solution.</w:t>
      </w:r>
    </w:p>
    <w:p>
      <w:pPr>
        <w:spacing w:after="0" w:line="77" w:lineRule="exact"/>
        <w:rPr>
          <w:sz w:val="20"/>
          <w:szCs w:val="20"/>
          <w:color w:val="auto"/>
        </w:rPr>
      </w:pPr>
    </w:p>
    <w:p>
      <w:pPr>
        <w:ind w:left="160" w:right="300"/>
        <w:spacing w:after="0" w:line="245" w:lineRule="auto"/>
        <w:rPr>
          <w:sz w:val="20"/>
          <w:szCs w:val="20"/>
          <w:color w:val="auto"/>
        </w:rPr>
      </w:pPr>
      <w:r>
        <w:rPr>
          <w:rFonts w:ascii="Arial" w:cs="Arial" w:eastAsia="Arial" w:hAnsi="Arial"/>
          <w:sz w:val="20"/>
          <w:szCs w:val="20"/>
          <w:color w:val="3E3935"/>
        </w:rPr>
        <w:t>In 2021, we made the following commitments to advance our vision of a world with zero emissions:</w:t>
      </w:r>
    </w:p>
    <w:p>
      <w:pPr>
        <w:spacing w:after="0" w:line="39" w:lineRule="exact"/>
        <w:rPr>
          <w:sz w:val="20"/>
          <w:szCs w:val="20"/>
          <w:color w:val="auto"/>
        </w:rPr>
      </w:pPr>
    </w:p>
    <w:p>
      <w:pPr>
        <w:jc w:val="both"/>
        <w:ind w:left="400" w:hanging="233"/>
        <w:spacing w:after="0" w:line="181" w:lineRule="auto"/>
        <w:tabs>
          <w:tab w:leader="none" w:pos="400" w:val="left"/>
        </w:tabs>
        <w:numPr>
          <w:ilvl w:val="0"/>
          <w:numId w:val="64"/>
        </w:numPr>
        <w:rPr>
          <w:rFonts w:ascii="Arial" w:cs="Arial" w:eastAsia="Arial" w:hAnsi="Arial"/>
          <w:sz w:val="43"/>
          <w:szCs w:val="43"/>
          <w:color w:val="00C1DE"/>
          <w:vertAlign w:val="subscript"/>
        </w:rPr>
      </w:pPr>
      <w:r>
        <w:rPr>
          <w:rFonts w:ascii="Arial" w:cs="Arial" w:eastAsia="Arial" w:hAnsi="Arial"/>
          <w:sz w:val="18"/>
          <w:szCs w:val="18"/>
          <w:color w:val="3E3935"/>
        </w:rPr>
        <w:t>We plan to become carbon neutral in our global products and operations by 2040 and eliminate tailpipe emissions from new light-duty vehicles by 2035.</w:t>
      </w:r>
    </w:p>
    <w:p>
      <w:pPr>
        <w:spacing w:after="0" w:line="37" w:lineRule="exact"/>
        <w:rPr>
          <w:rFonts w:ascii="Arial" w:cs="Arial" w:eastAsia="Arial" w:hAnsi="Arial"/>
          <w:sz w:val="43"/>
          <w:szCs w:val="43"/>
          <w:color w:val="00C1DE"/>
          <w:vertAlign w:val="subscript"/>
        </w:rPr>
      </w:pPr>
    </w:p>
    <w:p>
      <w:pPr>
        <w:jc w:val="both"/>
        <w:ind w:left="400" w:hanging="233"/>
        <w:spacing w:after="0" w:line="226" w:lineRule="auto"/>
        <w:tabs>
          <w:tab w:leader="none" w:pos="400" w:val="left"/>
        </w:tabs>
        <w:numPr>
          <w:ilvl w:val="0"/>
          <w:numId w:val="64"/>
        </w:numPr>
        <w:rPr>
          <w:rFonts w:ascii="Arial" w:cs="Arial" w:eastAsia="Arial" w:hAnsi="Arial"/>
          <w:sz w:val="47"/>
          <w:szCs w:val="47"/>
          <w:color w:val="00C1DE"/>
          <w:vertAlign w:val="subscript"/>
        </w:rPr>
      </w:pPr>
      <w:r>
        <w:rPr>
          <w:rFonts w:ascii="Arial" w:cs="Arial" w:eastAsia="Arial" w:hAnsi="Arial"/>
          <w:sz w:val="18"/>
          <w:szCs w:val="18"/>
          <w:color w:val="3E3935"/>
        </w:rPr>
        <w:t>We will source 100 percent renewable energy to power our U.S. facilities by 2025 (five years ahead of our previous target and 25 years ahead of our initial target) and by 2035 globally.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7" w:right="20" w:hanging="247"/>
        <w:spacing w:after="0" w:line="181" w:lineRule="auto"/>
        <w:tabs>
          <w:tab w:leader="none" w:pos="247" w:val="left"/>
        </w:tabs>
        <w:numPr>
          <w:ilvl w:val="0"/>
          <w:numId w:val="65"/>
        </w:numPr>
        <w:rPr>
          <w:rFonts w:ascii="Arial" w:cs="Arial" w:eastAsia="Arial" w:hAnsi="Arial"/>
          <w:sz w:val="43"/>
          <w:szCs w:val="43"/>
          <w:color w:val="00C1DE"/>
          <w:vertAlign w:val="subscript"/>
        </w:rPr>
      </w:pPr>
      <w:r>
        <w:rPr>
          <w:rFonts w:ascii="Arial" w:cs="Arial" w:eastAsia="Arial" w:hAnsi="Arial"/>
          <w:sz w:val="18"/>
          <w:szCs w:val="18"/>
          <w:color w:val="3E3935"/>
        </w:rPr>
        <w:t>We signed the Business Ambition Pledge of 1.5° Celsius, and set SBTi-validated, science-based targets that align with the most ambitious goals of the Paris Agreement.</w:t>
      </w:r>
    </w:p>
    <w:p>
      <w:pPr>
        <w:spacing w:after="0" w:line="91" w:lineRule="exact"/>
        <w:rPr>
          <w:sz w:val="20"/>
          <w:szCs w:val="20"/>
          <w:color w:val="auto"/>
        </w:rPr>
      </w:pPr>
    </w:p>
    <w:p>
      <w:pPr>
        <w:jc w:val="both"/>
        <w:ind w:left="7"/>
        <w:spacing w:after="0" w:line="228" w:lineRule="auto"/>
        <w:rPr>
          <w:sz w:val="20"/>
          <w:szCs w:val="20"/>
          <w:color w:val="auto"/>
        </w:rPr>
      </w:pPr>
      <w:r>
        <w:rPr>
          <w:rFonts w:ascii="Arial" w:cs="Arial" w:eastAsia="Arial" w:hAnsi="Arial"/>
          <w:sz w:val="20"/>
          <w:szCs w:val="20"/>
          <w:color w:val="3E3935"/>
        </w:rPr>
        <w:t>Advancing toward our all-electric future is the most critical aspect of our path to achieve our vision of a zero-emissions world. The use of our products accounts for the vast majority of the emissions that we may be able to impact. To that end, earlier this year we announced that by the end of 2025, we will launch more than 30 new EVs globally and expect to have more than 2 million units of EV capacity globally – 1 million in North America and another 1 million in China. To meet these targets, we recently announced a</w:t>
      </w:r>
    </w:p>
    <w:p>
      <w:pPr>
        <w:spacing w:after="0" w:line="200" w:lineRule="exact"/>
        <w:rPr>
          <w:sz w:val="20"/>
          <w:szCs w:val="20"/>
          <w:color w:val="auto"/>
        </w:rPr>
      </w:pPr>
    </w:p>
    <w:p>
      <w:pPr>
        <w:spacing w:after="0" w:line="227" w:lineRule="exact"/>
        <w:rPr>
          <w:sz w:val="20"/>
          <w:szCs w:val="20"/>
          <w:color w:val="auto"/>
        </w:rPr>
      </w:pPr>
    </w:p>
    <w:p>
      <w:pPr>
        <w:ind w:left="4867"/>
        <w:spacing w:after="0"/>
        <w:rPr>
          <w:sz w:val="20"/>
          <w:szCs w:val="20"/>
          <w:color w:val="auto"/>
        </w:rPr>
      </w:pPr>
      <w:r>
        <w:rPr>
          <w:rFonts w:ascii="Arial" w:cs="Arial" w:eastAsia="Arial" w:hAnsi="Arial"/>
          <w:sz w:val="14"/>
          <w:szCs w:val="14"/>
          <w:color w:val="0071C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-95885</wp:posOffset>
            </wp:positionV>
            <wp:extent cx="5927725" cy="101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2">
            <w:col w:w="5400" w:space="333"/>
            <w:col w:w="5347"/>
          </w:cols>
          <w:pgMar w:left="320" w:top="454"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3"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commitment of nearly $ 7 billion for a significant expansion of battery cell and EV assembly capacity in the United States, which is just part of our larger commitment to invest more than $35 billion in EVs and AVs from 2020 to 2025.</w:t>
      </w:r>
    </w:p>
    <w:p>
      <w:pPr>
        <w:spacing w:after="0" w:line="106"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As we transform our business to support production of EVs, we are also rethinking how our vehicles are made and designing them with a mindset focused on reducing environmental impacts throughout our operations and the vehicle life cycle. In addition to using sustainable inputs in our operations and our vehicles, there are other ways we work to reduce the volume of waste we generate.</w:t>
      </w:r>
    </w:p>
    <w:p>
      <w:pPr>
        <w:spacing w:after="0" w:line="109" w:lineRule="exact"/>
        <w:rPr>
          <w:sz w:val="20"/>
          <w:szCs w:val="20"/>
          <w:color w:val="auto"/>
        </w:rPr>
      </w:pPr>
    </w:p>
    <w:p>
      <w:pPr>
        <w:jc w:val="both"/>
        <w:ind w:left="160"/>
        <w:spacing w:after="0" w:line="245" w:lineRule="auto"/>
        <w:rPr>
          <w:sz w:val="20"/>
          <w:szCs w:val="20"/>
          <w:color w:val="auto"/>
        </w:rPr>
      </w:pPr>
      <w:r>
        <w:rPr>
          <w:rFonts w:ascii="Arial" w:cs="Arial" w:eastAsia="Arial" w:hAnsi="Arial"/>
          <w:sz w:val="20"/>
          <w:szCs w:val="20"/>
          <w:color w:val="3E3935"/>
        </w:rPr>
        <w:t>Here is just some of the progress we made toward our environmental goals in 2021:</w:t>
      </w:r>
    </w:p>
    <w:p>
      <w:pPr>
        <w:spacing w:after="0" w:line="79" w:lineRule="exact"/>
        <w:rPr>
          <w:sz w:val="20"/>
          <w:szCs w:val="20"/>
          <w:color w:val="auto"/>
        </w:rPr>
      </w:pPr>
    </w:p>
    <w:p>
      <w:pPr>
        <w:jc w:val="both"/>
        <w:ind w:left="400" w:hanging="233"/>
        <w:spacing w:after="0" w:line="181" w:lineRule="auto"/>
        <w:tabs>
          <w:tab w:leader="none" w:pos="400" w:val="left"/>
        </w:tabs>
        <w:numPr>
          <w:ilvl w:val="0"/>
          <w:numId w:val="66"/>
        </w:numPr>
        <w:rPr>
          <w:rFonts w:ascii="Arial" w:cs="Arial" w:eastAsia="Arial" w:hAnsi="Arial"/>
          <w:sz w:val="43"/>
          <w:szCs w:val="43"/>
          <w:color w:val="00C1DE"/>
          <w:vertAlign w:val="subscript"/>
        </w:rPr>
      </w:pPr>
      <w:r>
        <w:rPr>
          <w:rFonts w:ascii="Arial" w:cs="Arial" w:eastAsia="Arial" w:hAnsi="Arial"/>
          <w:sz w:val="18"/>
          <w:szCs w:val="18"/>
          <w:color w:val="3E3935"/>
        </w:rPr>
        <w:t>Achieved 86.4 percent waste diversion from landfills and incineration globally compared to a three-year average (2017-2019) baseline;</w:t>
      </w:r>
    </w:p>
    <w:p>
      <w:pPr>
        <w:spacing w:after="0" w:line="250" w:lineRule="exact"/>
        <w:rPr>
          <w:sz w:val="20"/>
          <w:szCs w:val="20"/>
          <w:color w:val="auto"/>
        </w:rPr>
      </w:pPr>
    </w:p>
    <w:p>
      <w:pPr>
        <w:jc w:val="center"/>
        <w:ind w:right="4920"/>
        <w:spacing w:after="0"/>
        <w:rPr>
          <w:sz w:val="20"/>
          <w:szCs w:val="20"/>
          <w:color w:val="auto"/>
        </w:rPr>
      </w:pPr>
      <w:r>
        <w:rPr>
          <w:rFonts w:ascii="Arial" w:cs="Arial" w:eastAsia="Arial" w:hAnsi="Arial"/>
          <w:sz w:val="14"/>
          <w:szCs w:val="14"/>
          <w:color w:val="0071C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ind w:left="247" w:right="20" w:hanging="247"/>
        <w:spacing w:after="0" w:line="185" w:lineRule="auto"/>
        <w:tabs>
          <w:tab w:leader="none" w:pos="247" w:val="left"/>
        </w:tabs>
        <w:numPr>
          <w:ilvl w:val="0"/>
          <w:numId w:val="67"/>
        </w:numPr>
        <w:rPr>
          <w:rFonts w:ascii="Arial" w:cs="Arial" w:eastAsia="Arial" w:hAnsi="Arial"/>
          <w:sz w:val="47"/>
          <w:szCs w:val="47"/>
          <w:color w:val="00C1DE"/>
          <w:vertAlign w:val="subscript"/>
        </w:rPr>
      </w:pPr>
      <w:r>
        <w:rPr>
          <w:rFonts w:ascii="Arial" w:cs="Arial" w:eastAsia="Arial" w:hAnsi="Arial"/>
          <w:sz w:val="18"/>
          <w:szCs w:val="18"/>
          <w:color w:val="3E3935"/>
        </w:rPr>
        <w:t>Implemented the U.S. Department of Energy 50001 Ready Program at 27 U.S. manufacturing facilities (93 percent of our U.S. manufacturing footprint), more than any other participating company;</w:t>
      </w:r>
    </w:p>
    <w:p>
      <w:pPr>
        <w:spacing w:after="0" w:line="40" w:lineRule="exact"/>
        <w:rPr>
          <w:rFonts w:ascii="Arial" w:cs="Arial" w:eastAsia="Arial" w:hAnsi="Arial"/>
          <w:sz w:val="47"/>
          <w:szCs w:val="47"/>
          <w:color w:val="00C1DE"/>
          <w:vertAlign w:val="subscript"/>
        </w:rPr>
      </w:pPr>
    </w:p>
    <w:p>
      <w:pPr>
        <w:ind w:left="247" w:right="20" w:hanging="247"/>
        <w:spacing w:after="0" w:line="182" w:lineRule="auto"/>
        <w:tabs>
          <w:tab w:leader="none" w:pos="247" w:val="left"/>
        </w:tabs>
        <w:numPr>
          <w:ilvl w:val="0"/>
          <w:numId w:val="67"/>
        </w:numPr>
        <w:rPr>
          <w:rFonts w:ascii="Arial" w:cs="Arial" w:eastAsia="Arial" w:hAnsi="Arial"/>
          <w:sz w:val="38"/>
          <w:szCs w:val="38"/>
          <w:color w:val="00C1DE"/>
          <w:vertAlign w:val="subscript"/>
        </w:rPr>
      </w:pPr>
      <w:r>
        <w:rPr>
          <w:rFonts w:ascii="Arial" w:cs="Arial" w:eastAsia="Arial" w:hAnsi="Arial"/>
          <w:sz w:val="16"/>
          <w:szCs w:val="16"/>
          <w:color w:val="3E3935"/>
        </w:rPr>
        <w:t>Sourced 25 percent of our global electricity use from renewable sources;</w:t>
      </w:r>
    </w:p>
    <w:p>
      <w:pPr>
        <w:spacing w:after="0" w:line="37" w:lineRule="exact"/>
        <w:rPr>
          <w:rFonts w:ascii="Arial" w:cs="Arial" w:eastAsia="Arial" w:hAnsi="Arial"/>
          <w:sz w:val="38"/>
          <w:szCs w:val="38"/>
          <w:color w:val="00C1DE"/>
          <w:vertAlign w:val="subscript"/>
        </w:rPr>
      </w:pPr>
    </w:p>
    <w:p>
      <w:pPr>
        <w:ind w:left="247" w:right="20" w:hanging="247"/>
        <w:spacing w:after="0" w:line="182" w:lineRule="auto"/>
        <w:tabs>
          <w:tab w:leader="none" w:pos="247" w:val="left"/>
        </w:tabs>
        <w:numPr>
          <w:ilvl w:val="0"/>
          <w:numId w:val="67"/>
        </w:numPr>
        <w:rPr>
          <w:rFonts w:ascii="Arial" w:cs="Arial" w:eastAsia="Arial" w:hAnsi="Arial"/>
          <w:sz w:val="38"/>
          <w:szCs w:val="38"/>
          <w:color w:val="00C1DE"/>
          <w:vertAlign w:val="subscript"/>
        </w:rPr>
      </w:pPr>
      <w:r>
        <w:rPr>
          <w:rFonts w:ascii="Arial" w:cs="Arial" w:eastAsia="Arial" w:hAnsi="Arial"/>
          <w:sz w:val="16"/>
          <w:szCs w:val="16"/>
          <w:color w:val="3E3935"/>
        </w:rPr>
        <w:t>Used more than 17 million pounds of recycled plastic in GM vehicles; and</w:t>
      </w:r>
    </w:p>
    <w:p>
      <w:pPr>
        <w:spacing w:after="0" w:line="37" w:lineRule="exact"/>
        <w:rPr>
          <w:rFonts w:ascii="Arial" w:cs="Arial" w:eastAsia="Arial" w:hAnsi="Arial"/>
          <w:sz w:val="38"/>
          <w:szCs w:val="38"/>
          <w:color w:val="00C1DE"/>
          <w:vertAlign w:val="subscript"/>
        </w:rPr>
      </w:pPr>
    </w:p>
    <w:p>
      <w:pPr>
        <w:ind w:left="247" w:right="20" w:hanging="247"/>
        <w:spacing w:after="0" w:line="182" w:lineRule="auto"/>
        <w:tabs>
          <w:tab w:leader="none" w:pos="247" w:val="left"/>
        </w:tabs>
        <w:numPr>
          <w:ilvl w:val="0"/>
          <w:numId w:val="67"/>
        </w:numPr>
        <w:rPr>
          <w:rFonts w:ascii="Arial" w:cs="Arial" w:eastAsia="Arial" w:hAnsi="Arial"/>
          <w:sz w:val="38"/>
          <w:szCs w:val="38"/>
          <w:color w:val="00C1DE"/>
          <w:vertAlign w:val="subscript"/>
        </w:rPr>
      </w:pPr>
      <w:r>
        <w:rPr>
          <w:rFonts w:ascii="Arial" w:cs="Arial" w:eastAsia="Arial" w:hAnsi="Arial"/>
          <w:sz w:val="16"/>
          <w:szCs w:val="16"/>
          <w:color w:val="3E3935"/>
        </w:rPr>
        <w:t>Packaged approximately 8,000 parts for GM Customer Care &amp; Aftersales in consumer-facing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-2093595</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84" w:lineRule="exact"/>
        <w:rPr>
          <w:sz w:val="20"/>
          <w:szCs w:val="20"/>
          <w:color w:val="auto"/>
        </w:rPr>
      </w:pPr>
    </w:p>
    <w:p>
      <w:pPr>
        <w:jc w:val="both"/>
        <w:ind w:left="7"/>
        <w:spacing w:after="0" w:line="238" w:lineRule="auto"/>
        <w:rPr>
          <w:sz w:val="20"/>
          <w:szCs w:val="20"/>
          <w:color w:val="auto"/>
        </w:rPr>
      </w:pPr>
      <w:r>
        <w:rPr>
          <w:rFonts w:ascii="Arial" w:cs="Arial" w:eastAsia="Arial" w:hAnsi="Arial"/>
          <w:sz w:val="20"/>
          <w:szCs w:val="20"/>
          <w:color w:val="3E3935"/>
        </w:rPr>
        <w:t xml:space="preserve">You can learn more about our sustainability goals and accomplishments in our Sustainability Report, available at </w:t>
      </w:r>
      <w:r>
        <w:rPr>
          <w:rFonts w:ascii="Arial" w:cs="Arial" w:eastAsia="Arial" w:hAnsi="Arial"/>
          <w:sz w:val="20"/>
          <w:szCs w:val="20"/>
          <w:i w:val="1"/>
          <w:iCs w:val="1"/>
          <w:color w:val="00C1DE"/>
        </w:rPr>
        <w:t>gmsustainability.com.</w:t>
      </w:r>
    </w:p>
    <w:p>
      <w:pPr>
        <w:sectPr>
          <w:pgSz w:w="11900" w:h="16838" w:orient="portrait"/>
          <w:cols w:equalWidth="0" w:num="2">
            <w:col w:w="5400" w:space="333"/>
            <w:col w:w="5347"/>
          </w:cols>
          <w:pgMar w:left="320" w:top="454"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SECURITY OWNERSHIP INFORMATION</w:t>
      </w:r>
    </w:p>
    <w:p>
      <w:pPr>
        <w:spacing w:after="0" w:line="150" w:lineRule="exact"/>
        <w:rPr>
          <w:sz w:val="20"/>
          <w:szCs w:val="20"/>
          <w:color w:val="auto"/>
        </w:rPr>
      </w:pPr>
    </w:p>
    <w:p>
      <w:pPr>
        <w:ind w:left="160" w:right="1020"/>
        <w:spacing w:after="0" w:line="272" w:lineRule="auto"/>
        <w:rPr>
          <w:sz w:val="20"/>
          <w:szCs w:val="20"/>
          <w:color w:val="auto"/>
        </w:rPr>
      </w:pPr>
      <w:r>
        <w:rPr>
          <w:rFonts w:ascii="Arial" w:cs="Arial" w:eastAsia="Arial" w:hAnsi="Arial"/>
          <w:sz w:val="29"/>
          <w:szCs w:val="29"/>
          <w:color w:val="3E3935"/>
        </w:rPr>
        <w:t>Security Ownership of Directors, Named Executive Officers, and Certain Other Beneficial Owners</w:t>
      </w:r>
    </w:p>
    <w:p>
      <w:pPr>
        <w:spacing w:after="0" w:line="7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following table and accompanying footnotes show information regarding the beneficial ownership of GM’s issued and outstanding common stock by (i) each of our directors and NEOs, and all directors and executive officers as a group, each as of April 1, 2022, and (ii) each person known by us to beneficially own more than 5 percent of our issued and outstanding common stock as of the dates indicated in the footnotes. All directors and executive officers have sole voting and dispositive power over their shares. The Percentage of Outstanding Shares is based on 1,458,240,927 shares issued and outstanding as of April 1, 2022.</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5660" w:type="dxa"/>
            <w:vAlign w:val="bottom"/>
            <w:tcBorders>
              <w:top w:val="single" w:sz="8" w:color="00C1DE"/>
            </w:tcBorders>
          </w:tcPr>
          <w:p>
            <w:pPr>
              <w:spacing w:after="0"/>
              <w:rPr>
                <w:sz w:val="18"/>
                <w:szCs w:val="18"/>
                <w:color w:val="auto"/>
              </w:rPr>
            </w:pPr>
          </w:p>
        </w:tc>
        <w:tc>
          <w:tcPr>
            <w:tcW w:w="3540" w:type="dxa"/>
            <w:vAlign w:val="bottom"/>
            <w:tcBorders>
              <w:top w:val="single" w:sz="8" w:color="00C1DE"/>
            </w:tcBorders>
          </w:tcPr>
          <w:p>
            <w:pPr>
              <w:jc w:val="right"/>
              <w:ind w:right="891"/>
              <w:spacing w:after="0"/>
              <w:rPr>
                <w:sz w:val="20"/>
                <w:szCs w:val="20"/>
                <w:color w:val="auto"/>
              </w:rPr>
            </w:pPr>
            <w:r>
              <w:rPr>
                <w:rFonts w:ascii="Arial" w:cs="Arial" w:eastAsia="Arial" w:hAnsi="Arial"/>
                <w:sz w:val="18"/>
                <w:szCs w:val="18"/>
                <w:b w:val="1"/>
                <w:bCs w:val="1"/>
                <w:color w:val="00C1DE"/>
              </w:rPr>
              <w:t>Shares of Common</w:t>
            </w:r>
          </w:p>
        </w:tc>
        <w:tc>
          <w:tcPr>
            <w:tcW w:w="1720" w:type="dxa"/>
            <w:vAlign w:val="bottom"/>
            <w:tcBorders>
              <w:top w:val="single" w:sz="8" w:color="00C1DE"/>
            </w:tcBorders>
          </w:tcPr>
          <w:p>
            <w:pPr>
              <w:jc w:val="right"/>
              <w:spacing w:after="0"/>
              <w:rPr>
                <w:sz w:val="20"/>
                <w:szCs w:val="20"/>
                <w:color w:val="auto"/>
              </w:rPr>
            </w:pPr>
            <w:r>
              <w:rPr>
                <w:rFonts w:ascii="Arial" w:cs="Arial" w:eastAsia="Arial" w:hAnsi="Arial"/>
                <w:sz w:val="18"/>
                <w:szCs w:val="18"/>
                <w:b w:val="1"/>
                <w:bCs w:val="1"/>
                <w:color w:val="00C1DE"/>
              </w:rPr>
              <w:t>Percentage of</w:t>
            </w:r>
          </w:p>
        </w:tc>
      </w:tr>
      <w:tr>
        <w:trPr>
          <w:trHeight w:val="201"/>
        </w:trPr>
        <w:tc>
          <w:tcPr>
            <w:tcW w:w="5660" w:type="dxa"/>
            <w:vAlign w:val="bottom"/>
          </w:tcPr>
          <w:p>
            <w:pPr>
              <w:spacing w:after="0"/>
              <w:rPr>
                <w:sz w:val="17"/>
                <w:szCs w:val="17"/>
                <w:color w:val="auto"/>
              </w:rPr>
            </w:pPr>
          </w:p>
        </w:tc>
        <w:tc>
          <w:tcPr>
            <w:tcW w:w="3540" w:type="dxa"/>
            <w:vAlign w:val="bottom"/>
          </w:tcPr>
          <w:p>
            <w:pPr>
              <w:jc w:val="right"/>
              <w:ind w:right="891"/>
              <w:spacing w:after="0" w:line="201" w:lineRule="exact"/>
              <w:rPr>
                <w:sz w:val="20"/>
                <w:szCs w:val="20"/>
                <w:color w:val="auto"/>
              </w:rPr>
            </w:pPr>
            <w:r>
              <w:rPr>
                <w:rFonts w:ascii="Arial" w:cs="Arial" w:eastAsia="Arial" w:hAnsi="Arial"/>
                <w:sz w:val="18"/>
                <w:szCs w:val="18"/>
                <w:b w:val="1"/>
                <w:bCs w:val="1"/>
                <w:color w:val="00C1DE"/>
              </w:rPr>
              <w:t>Stock Beneficially</w:t>
            </w:r>
          </w:p>
        </w:tc>
        <w:tc>
          <w:tcPr>
            <w:tcW w:w="1720" w:type="dxa"/>
            <w:vAlign w:val="bottom"/>
          </w:tcPr>
          <w:p>
            <w:pPr>
              <w:jc w:val="center"/>
              <w:ind w:left="471"/>
              <w:spacing w:after="0" w:line="201" w:lineRule="exact"/>
              <w:rPr>
                <w:sz w:val="20"/>
                <w:szCs w:val="20"/>
                <w:color w:val="auto"/>
              </w:rPr>
            </w:pPr>
            <w:r>
              <w:rPr>
                <w:rFonts w:ascii="Arial" w:cs="Arial" w:eastAsia="Arial" w:hAnsi="Arial"/>
                <w:sz w:val="18"/>
                <w:szCs w:val="18"/>
                <w:b w:val="1"/>
                <w:bCs w:val="1"/>
                <w:color w:val="00C1DE"/>
                <w:w w:val="98"/>
              </w:rPr>
              <w:t>Outstanding</w:t>
            </w:r>
          </w:p>
        </w:tc>
      </w:tr>
      <w:tr>
        <w:trPr>
          <w:trHeight w:val="259"/>
        </w:trPr>
        <w:tc>
          <w:tcPr>
            <w:tcW w:w="5660" w:type="dxa"/>
            <w:vAlign w:val="bottom"/>
          </w:tcPr>
          <w:p>
            <w:pPr>
              <w:spacing w:after="0"/>
              <w:rPr>
                <w:sz w:val="20"/>
                <w:szCs w:val="20"/>
                <w:color w:val="auto"/>
              </w:rPr>
            </w:pPr>
            <w:r>
              <w:rPr>
                <w:rFonts w:ascii="Arial" w:cs="Arial" w:eastAsia="Arial" w:hAnsi="Arial"/>
                <w:sz w:val="18"/>
                <w:szCs w:val="18"/>
                <w:b w:val="1"/>
                <w:bCs w:val="1"/>
                <w:color w:val="00C1DE"/>
              </w:rPr>
              <w:t>Name</w:t>
            </w:r>
          </w:p>
        </w:tc>
        <w:tc>
          <w:tcPr>
            <w:tcW w:w="3540" w:type="dxa"/>
            <w:vAlign w:val="bottom"/>
          </w:tcPr>
          <w:p>
            <w:pPr>
              <w:jc w:val="right"/>
              <w:ind w:right="891"/>
              <w:spacing w:after="0"/>
              <w:rPr>
                <w:sz w:val="20"/>
                <w:szCs w:val="20"/>
                <w:color w:val="auto"/>
              </w:rPr>
            </w:pPr>
            <w:r>
              <w:rPr>
                <w:rFonts w:ascii="Arial" w:cs="Arial" w:eastAsia="Arial" w:hAnsi="Arial"/>
                <w:sz w:val="18"/>
                <w:szCs w:val="18"/>
                <w:b w:val="1"/>
                <w:bCs w:val="1"/>
                <w:color w:val="00C1DE"/>
              </w:rPr>
              <w:t>Owned</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00C1DE"/>
              </w:rPr>
              <w:t>Shares</w:t>
            </w:r>
          </w:p>
        </w:tc>
      </w:tr>
      <w:tr>
        <w:trPr>
          <w:trHeight w:val="54"/>
        </w:trPr>
        <w:tc>
          <w:tcPr>
            <w:tcW w:w="5660" w:type="dxa"/>
            <w:vAlign w:val="bottom"/>
            <w:tcBorders>
              <w:bottom w:val="single" w:sz="8" w:color="00C1DE"/>
            </w:tcBorders>
          </w:tcPr>
          <w:p>
            <w:pPr>
              <w:spacing w:after="0"/>
              <w:rPr>
                <w:sz w:val="4"/>
                <w:szCs w:val="4"/>
                <w:color w:val="auto"/>
              </w:rPr>
            </w:pPr>
          </w:p>
        </w:tc>
        <w:tc>
          <w:tcPr>
            <w:tcW w:w="3540" w:type="dxa"/>
            <w:vAlign w:val="bottom"/>
            <w:tcBorders>
              <w:bottom w:val="single" w:sz="8" w:color="00C1DE"/>
            </w:tcBorders>
          </w:tcPr>
          <w:p>
            <w:pPr>
              <w:spacing w:after="0"/>
              <w:rPr>
                <w:sz w:val="4"/>
                <w:szCs w:val="4"/>
                <w:color w:val="auto"/>
              </w:rPr>
            </w:pPr>
          </w:p>
        </w:tc>
        <w:tc>
          <w:tcPr>
            <w:tcW w:w="1720" w:type="dxa"/>
            <w:vAlign w:val="bottom"/>
            <w:tcBorders>
              <w:bottom w:val="single" w:sz="8" w:color="00C1DE"/>
            </w:tcBorders>
          </w:tcPr>
          <w:p>
            <w:pPr>
              <w:spacing w:after="0"/>
              <w:rPr>
                <w:sz w:val="4"/>
                <w:szCs w:val="4"/>
                <w:color w:val="auto"/>
              </w:rPr>
            </w:pPr>
          </w:p>
        </w:tc>
      </w:tr>
      <w:tr>
        <w:trPr>
          <w:trHeight w:val="346"/>
        </w:trPr>
        <w:tc>
          <w:tcPr>
            <w:tcW w:w="5660" w:type="dxa"/>
            <w:vAlign w:val="bottom"/>
            <w:tcBorders>
              <w:bottom w:val="single" w:sz="8" w:color="EAFAFC"/>
            </w:tcBorders>
            <w:shd w:val="clear" w:color="auto" w:fill="EAFAFC"/>
          </w:tcPr>
          <w:p>
            <w:pPr>
              <w:ind w:left="100"/>
              <w:spacing w:after="0"/>
              <w:rPr>
                <w:sz w:val="20"/>
                <w:szCs w:val="20"/>
                <w:color w:val="auto"/>
              </w:rPr>
            </w:pPr>
            <w:r>
              <w:rPr>
                <w:rFonts w:ascii="Arial" w:cs="Arial" w:eastAsia="Arial" w:hAnsi="Arial"/>
                <w:sz w:val="18"/>
                <w:szCs w:val="18"/>
                <w:b w:val="1"/>
                <w:bCs w:val="1"/>
                <w:color w:val="3E3935"/>
              </w:rPr>
              <w:t>Non-Employee Directors</w:t>
            </w:r>
            <w:r>
              <w:rPr>
                <w:rFonts w:ascii="Arial" w:cs="Arial" w:eastAsia="Arial" w:hAnsi="Arial"/>
                <w:sz w:val="15"/>
                <w:szCs w:val="15"/>
                <w:b w:val="1"/>
                <w:bCs w:val="1"/>
                <w:color w:val="3E3935"/>
              </w:rPr>
              <w:t>(1)</w:t>
            </w:r>
          </w:p>
        </w:tc>
        <w:tc>
          <w:tcPr>
            <w:tcW w:w="3540" w:type="dxa"/>
            <w:vAlign w:val="bottom"/>
            <w:tcBorders>
              <w:bottom w:val="single" w:sz="8" w:color="EAFAFC"/>
            </w:tcBorders>
            <w:shd w:val="clear" w:color="auto" w:fill="EAFAFC"/>
          </w:tcPr>
          <w:p>
            <w:pPr>
              <w:spacing w:after="0"/>
              <w:rPr>
                <w:sz w:val="24"/>
                <w:szCs w:val="24"/>
                <w:color w:val="auto"/>
              </w:rPr>
            </w:pPr>
          </w:p>
        </w:tc>
        <w:tc>
          <w:tcPr>
            <w:tcW w:w="1720" w:type="dxa"/>
            <w:vAlign w:val="bottom"/>
            <w:tcBorders>
              <w:bottom w:val="single" w:sz="8" w:color="EAFAFC"/>
            </w:tcBorders>
            <w:shd w:val="clear" w:color="auto" w:fill="EAFAFC"/>
          </w:tcPr>
          <w:p>
            <w:pPr>
              <w:spacing w:after="0"/>
              <w:rPr>
                <w:sz w:val="24"/>
                <w:szCs w:val="24"/>
                <w:color w:val="auto"/>
              </w:rPr>
            </w:pPr>
          </w:p>
        </w:tc>
      </w:tr>
      <w:tr>
        <w:trPr>
          <w:trHeight w:val="277"/>
        </w:trPr>
        <w:tc>
          <w:tcPr>
            <w:tcW w:w="5660" w:type="dxa"/>
            <w:vAlign w:val="bottom"/>
            <w:tcBorders>
              <w:top w:val="single" w:sz="8" w:color="3E3935"/>
            </w:tcBorders>
          </w:tcPr>
          <w:p>
            <w:pPr>
              <w:ind w:left="100"/>
              <w:spacing w:after="0"/>
              <w:rPr>
                <w:sz w:val="20"/>
                <w:szCs w:val="20"/>
                <w:color w:val="auto"/>
              </w:rPr>
            </w:pPr>
            <w:r>
              <w:rPr>
                <w:rFonts w:ascii="Arial" w:cs="Arial" w:eastAsia="Arial" w:hAnsi="Arial"/>
                <w:sz w:val="18"/>
                <w:szCs w:val="18"/>
                <w:color w:val="3E3935"/>
              </w:rPr>
              <w:t>Aneel Bhusri</w:t>
            </w:r>
          </w:p>
        </w:tc>
        <w:tc>
          <w:tcPr>
            <w:tcW w:w="3540" w:type="dxa"/>
            <w:vAlign w:val="bottom"/>
            <w:tcBorders>
              <w:top w:val="single" w:sz="8" w:color="3E3935"/>
            </w:tcBorders>
          </w:tcPr>
          <w:p>
            <w:pPr>
              <w:jc w:val="right"/>
              <w:ind w:right="711"/>
              <w:spacing w:after="0"/>
              <w:rPr>
                <w:sz w:val="20"/>
                <w:szCs w:val="20"/>
                <w:color w:val="auto"/>
              </w:rPr>
            </w:pPr>
            <w:r>
              <w:rPr>
                <w:rFonts w:ascii="Arial" w:cs="Arial" w:eastAsia="Arial" w:hAnsi="Arial"/>
                <w:sz w:val="18"/>
                <w:szCs w:val="18"/>
                <w:color w:val="3E3935"/>
              </w:rPr>
              <w:t>47,646</w:t>
            </w:r>
            <w:r>
              <w:rPr>
                <w:rFonts w:ascii="Arial" w:cs="Arial" w:eastAsia="Arial" w:hAnsi="Arial"/>
                <w:sz w:val="15"/>
                <w:szCs w:val="15"/>
                <w:color w:val="3E3935"/>
              </w:rPr>
              <w:t>(2)</w:t>
            </w:r>
          </w:p>
        </w:tc>
        <w:tc>
          <w:tcPr>
            <w:tcW w:w="1720" w:type="dxa"/>
            <w:vAlign w:val="bottom"/>
            <w:tcBorders>
              <w:top w:val="single" w:sz="8" w:color="3E3935"/>
            </w:tcBorders>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Wesley G. Bush</w:t>
            </w:r>
          </w:p>
        </w:tc>
        <w:tc>
          <w:tcPr>
            <w:tcW w:w="3540" w:type="dxa"/>
            <w:vAlign w:val="bottom"/>
          </w:tcPr>
          <w:p>
            <w:pPr>
              <w:ind w:left="2020"/>
              <w:spacing w:after="0"/>
              <w:rPr>
                <w:sz w:val="20"/>
                <w:szCs w:val="20"/>
                <w:color w:val="auto"/>
              </w:rPr>
            </w:pPr>
            <w:r>
              <w:rPr>
                <w:rFonts w:ascii="Arial" w:cs="Arial" w:eastAsia="Arial" w:hAnsi="Arial"/>
                <w:sz w:val="18"/>
                <w:szCs w:val="18"/>
                <w:color w:val="3E3935"/>
              </w:rPr>
              <w:t>10,000</w:t>
            </w:r>
            <w:r>
              <w:rPr>
                <w:rFonts w:ascii="Arial" w:cs="Arial" w:eastAsia="Arial" w:hAnsi="Arial"/>
                <w:sz w:val="15"/>
                <w:szCs w:val="15"/>
                <w:color w:val="3E3935"/>
              </w:rPr>
              <w:t>(2),(10)</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Linda R. Gooden</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1,000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Joseph Jimenez</w:t>
            </w:r>
          </w:p>
        </w:tc>
        <w:tc>
          <w:tcPr>
            <w:tcW w:w="3540" w:type="dxa"/>
            <w:vAlign w:val="bottom"/>
          </w:tcPr>
          <w:p>
            <w:pPr>
              <w:ind w:left="2020"/>
              <w:spacing w:after="0"/>
              <w:rPr>
                <w:sz w:val="20"/>
                <w:szCs w:val="20"/>
                <w:color w:val="auto"/>
              </w:rPr>
            </w:pPr>
            <w:r>
              <w:rPr>
                <w:rFonts w:ascii="Arial" w:cs="Arial" w:eastAsia="Arial" w:hAnsi="Arial"/>
                <w:sz w:val="18"/>
                <w:szCs w:val="18"/>
                <w:color w:val="3E3935"/>
              </w:rPr>
              <w:t>32,330</w:t>
            </w:r>
            <w:r>
              <w:rPr>
                <w:rFonts w:ascii="Arial" w:cs="Arial" w:eastAsia="Arial" w:hAnsi="Arial"/>
                <w:sz w:val="15"/>
                <w:szCs w:val="15"/>
                <w:color w:val="3E3935"/>
              </w:rPr>
              <w:t>(2),(11)</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Jane L. Mendillo</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4,560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Judith A. Miscik</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Patricia F. Russo</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31,000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Thomas M. Schoewe</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22,005</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Carol M. Stephenson</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800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Mark A. Tatum</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Devin N. Wenig</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Margaret C. Whitman</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0</w:t>
            </w:r>
            <w:r>
              <w:rPr>
                <w:rFonts w:ascii="Arial" w:cs="Arial" w:eastAsia="Arial" w:hAnsi="Arial"/>
                <w:sz w:val="15"/>
                <w:szCs w:val="15"/>
                <w:color w:val="3E3935"/>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346"/>
        </w:trPr>
        <w:tc>
          <w:tcPr>
            <w:tcW w:w="5660" w:type="dxa"/>
            <w:vAlign w:val="bottom"/>
            <w:tcBorders>
              <w:bottom w:val="single" w:sz="8" w:color="EAFAFC"/>
            </w:tcBorders>
            <w:shd w:val="clear" w:color="auto" w:fill="EAFAFC"/>
          </w:tcPr>
          <w:p>
            <w:pPr>
              <w:ind w:left="100"/>
              <w:spacing w:after="0"/>
              <w:rPr>
                <w:sz w:val="20"/>
                <w:szCs w:val="20"/>
                <w:color w:val="auto"/>
              </w:rPr>
            </w:pPr>
            <w:r>
              <w:rPr>
                <w:rFonts w:ascii="Arial" w:cs="Arial" w:eastAsia="Arial" w:hAnsi="Arial"/>
                <w:sz w:val="18"/>
                <w:szCs w:val="18"/>
                <w:b w:val="1"/>
                <w:bCs w:val="1"/>
                <w:color w:val="3E3935"/>
              </w:rPr>
              <w:t>Named Executive Officers</w:t>
            </w:r>
            <w:r>
              <w:rPr>
                <w:rFonts w:ascii="Arial" w:cs="Arial" w:eastAsia="Arial" w:hAnsi="Arial"/>
                <w:sz w:val="15"/>
                <w:szCs w:val="15"/>
                <w:b w:val="1"/>
                <w:bCs w:val="1"/>
                <w:color w:val="3E3935"/>
              </w:rPr>
              <w:t>(1)</w:t>
            </w:r>
          </w:p>
        </w:tc>
        <w:tc>
          <w:tcPr>
            <w:tcW w:w="3540" w:type="dxa"/>
            <w:vAlign w:val="bottom"/>
            <w:tcBorders>
              <w:bottom w:val="single" w:sz="8" w:color="EAFAFC"/>
            </w:tcBorders>
            <w:shd w:val="clear" w:color="auto" w:fill="EAFAFC"/>
          </w:tcPr>
          <w:p>
            <w:pPr>
              <w:spacing w:after="0"/>
              <w:rPr>
                <w:sz w:val="24"/>
                <w:szCs w:val="24"/>
                <w:color w:val="auto"/>
              </w:rPr>
            </w:pPr>
          </w:p>
        </w:tc>
        <w:tc>
          <w:tcPr>
            <w:tcW w:w="1720" w:type="dxa"/>
            <w:vAlign w:val="bottom"/>
            <w:tcBorders>
              <w:bottom w:val="single" w:sz="8" w:color="EAFAFC"/>
            </w:tcBorders>
            <w:shd w:val="clear" w:color="auto" w:fill="EAFAFC"/>
          </w:tcPr>
          <w:p>
            <w:pPr>
              <w:spacing w:after="0"/>
              <w:rPr>
                <w:sz w:val="24"/>
                <w:szCs w:val="24"/>
                <w:color w:val="auto"/>
              </w:rPr>
            </w:pPr>
          </w:p>
        </w:tc>
      </w:tr>
      <w:tr>
        <w:trPr>
          <w:trHeight w:val="277"/>
        </w:trPr>
        <w:tc>
          <w:tcPr>
            <w:tcW w:w="5660" w:type="dxa"/>
            <w:vAlign w:val="bottom"/>
            <w:tcBorders>
              <w:top w:val="single" w:sz="8" w:color="3E3935"/>
            </w:tcBorders>
          </w:tcPr>
          <w:p>
            <w:pPr>
              <w:ind w:left="100"/>
              <w:spacing w:after="0"/>
              <w:rPr>
                <w:sz w:val="20"/>
                <w:szCs w:val="20"/>
                <w:color w:val="auto"/>
              </w:rPr>
            </w:pPr>
            <w:r>
              <w:rPr>
                <w:rFonts w:ascii="Arial" w:cs="Arial" w:eastAsia="Arial" w:hAnsi="Arial"/>
                <w:sz w:val="18"/>
                <w:szCs w:val="18"/>
                <w:color w:val="3E3935"/>
              </w:rPr>
              <w:t>Mary T. Barra</w:t>
            </w:r>
          </w:p>
        </w:tc>
        <w:tc>
          <w:tcPr>
            <w:tcW w:w="3540" w:type="dxa"/>
            <w:vAlign w:val="bottom"/>
            <w:tcBorders>
              <w:top w:val="single" w:sz="8" w:color="3E3935"/>
            </w:tcBorders>
          </w:tcPr>
          <w:p>
            <w:pPr>
              <w:jc w:val="right"/>
              <w:ind w:right="711"/>
              <w:spacing w:after="0"/>
              <w:rPr>
                <w:sz w:val="20"/>
                <w:szCs w:val="20"/>
                <w:color w:val="auto"/>
              </w:rPr>
            </w:pPr>
            <w:r>
              <w:rPr>
                <w:rFonts w:ascii="Arial" w:cs="Arial" w:eastAsia="Arial" w:hAnsi="Arial"/>
                <w:sz w:val="18"/>
                <w:szCs w:val="18"/>
                <w:color w:val="3E3935"/>
              </w:rPr>
              <w:t>3,510,333</w:t>
            </w:r>
            <w:r>
              <w:rPr>
                <w:rFonts w:ascii="Arial" w:cs="Arial" w:eastAsia="Arial" w:hAnsi="Arial"/>
                <w:sz w:val="15"/>
                <w:szCs w:val="15"/>
                <w:color w:val="3E3935"/>
              </w:rPr>
              <w:t>(3)</w:t>
            </w:r>
          </w:p>
        </w:tc>
        <w:tc>
          <w:tcPr>
            <w:tcW w:w="1720" w:type="dxa"/>
            <w:vAlign w:val="bottom"/>
            <w:tcBorders>
              <w:top w:val="single" w:sz="8" w:color="3E3935"/>
            </w:tcBorders>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Paul A. Jacobson</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121,934</w:t>
            </w:r>
            <w:r>
              <w:rPr>
                <w:rFonts w:ascii="Arial" w:cs="Arial" w:eastAsia="Arial" w:hAnsi="Arial"/>
                <w:sz w:val="15"/>
                <w:szCs w:val="15"/>
                <w:color w:val="3E3935"/>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Mark L. Reuss</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696,614</w:t>
            </w:r>
            <w:r>
              <w:rPr>
                <w:rFonts w:ascii="Arial" w:cs="Arial" w:eastAsia="Arial" w:hAnsi="Arial"/>
                <w:sz w:val="15"/>
                <w:szCs w:val="15"/>
                <w:color w:val="3E3935"/>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Douglas L. Parks</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194,161</w:t>
            </w:r>
            <w:r>
              <w:rPr>
                <w:rFonts w:ascii="Arial" w:cs="Arial" w:eastAsia="Arial" w:hAnsi="Arial"/>
                <w:sz w:val="15"/>
                <w:szCs w:val="15"/>
                <w:color w:val="3E3935"/>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Stephen K. Carlisle</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167,377</w:t>
            </w:r>
            <w:r>
              <w:rPr>
                <w:rFonts w:ascii="Arial" w:cs="Arial" w:eastAsia="Arial" w:hAnsi="Arial"/>
                <w:sz w:val="15"/>
                <w:szCs w:val="15"/>
                <w:color w:val="3E3935"/>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42"/>
        </w:trPr>
        <w:tc>
          <w:tcPr>
            <w:tcW w:w="5660" w:type="dxa"/>
            <w:vAlign w:val="bottom"/>
          </w:tcPr>
          <w:p>
            <w:pPr>
              <w:ind w:left="100"/>
              <w:spacing w:after="0"/>
              <w:rPr>
                <w:sz w:val="20"/>
                <w:szCs w:val="20"/>
                <w:color w:val="auto"/>
              </w:rPr>
            </w:pPr>
            <w:r>
              <w:rPr>
                <w:rFonts w:ascii="Arial" w:cs="Arial" w:eastAsia="Arial" w:hAnsi="Arial"/>
                <w:sz w:val="18"/>
                <w:szCs w:val="18"/>
                <w:color w:val="3E3935"/>
              </w:rPr>
              <w:t>All Directors and Executive Officers as a Group (21 persons),</w:t>
            </w:r>
          </w:p>
        </w:tc>
        <w:tc>
          <w:tcPr>
            <w:tcW w:w="35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5"/>
        </w:trPr>
        <w:tc>
          <w:tcPr>
            <w:tcW w:w="5660" w:type="dxa"/>
            <w:vAlign w:val="bottom"/>
          </w:tcPr>
          <w:p>
            <w:pPr>
              <w:ind w:left="100"/>
              <w:spacing w:after="0"/>
              <w:rPr>
                <w:sz w:val="20"/>
                <w:szCs w:val="20"/>
                <w:color w:val="auto"/>
              </w:rPr>
            </w:pPr>
            <w:r>
              <w:rPr>
                <w:rFonts w:ascii="Arial" w:cs="Arial" w:eastAsia="Arial" w:hAnsi="Arial"/>
                <w:sz w:val="18"/>
                <w:szCs w:val="18"/>
                <w:color w:val="3E3935"/>
              </w:rPr>
              <w:t>including the foregoing</w:t>
            </w:r>
          </w:p>
        </w:tc>
        <w:tc>
          <w:tcPr>
            <w:tcW w:w="3540" w:type="dxa"/>
            <w:vAlign w:val="bottom"/>
          </w:tcPr>
          <w:p>
            <w:pPr>
              <w:jc w:val="right"/>
              <w:ind w:right="711"/>
              <w:spacing w:after="0"/>
              <w:rPr>
                <w:sz w:val="20"/>
                <w:szCs w:val="20"/>
                <w:color w:val="auto"/>
              </w:rPr>
            </w:pPr>
            <w:r>
              <w:rPr>
                <w:rFonts w:ascii="Arial" w:cs="Arial" w:eastAsia="Arial" w:hAnsi="Arial"/>
                <w:sz w:val="18"/>
                <w:szCs w:val="18"/>
                <w:color w:val="3E3935"/>
              </w:rPr>
              <w:t>5,664,798</w:t>
            </w:r>
            <w:r>
              <w:rPr>
                <w:rFonts w:ascii="Arial" w:cs="Arial" w:eastAsia="Arial" w:hAnsi="Arial"/>
                <w:sz w:val="15"/>
                <w:szCs w:val="15"/>
                <w:color w:val="3E3935"/>
              </w:rPr>
              <w:t>(4)</w:t>
            </w:r>
          </w:p>
        </w:tc>
        <w:tc>
          <w:tcPr>
            <w:tcW w:w="1720" w:type="dxa"/>
            <w:vAlign w:val="bottom"/>
          </w:tcPr>
          <w:p>
            <w:pPr>
              <w:jc w:val="center"/>
              <w:ind w:left="471"/>
              <w:spacing w:after="0"/>
              <w:rPr>
                <w:sz w:val="20"/>
                <w:szCs w:val="20"/>
                <w:color w:val="auto"/>
              </w:rPr>
            </w:pPr>
            <w:r>
              <w:rPr>
                <w:rFonts w:ascii="Arial" w:cs="Arial" w:eastAsia="Arial" w:hAnsi="Arial"/>
                <w:sz w:val="18"/>
                <w:szCs w:val="18"/>
                <w:color w:val="3E3935"/>
              </w:rPr>
              <w:t>*</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346"/>
        </w:trPr>
        <w:tc>
          <w:tcPr>
            <w:tcW w:w="5660" w:type="dxa"/>
            <w:vAlign w:val="bottom"/>
            <w:tcBorders>
              <w:bottom w:val="single" w:sz="8" w:color="EAFAFC"/>
            </w:tcBorders>
            <w:shd w:val="clear" w:color="auto" w:fill="EAFAFC"/>
          </w:tcPr>
          <w:p>
            <w:pPr>
              <w:ind w:left="100"/>
              <w:spacing w:after="0"/>
              <w:rPr>
                <w:sz w:val="20"/>
                <w:szCs w:val="20"/>
                <w:color w:val="auto"/>
              </w:rPr>
            </w:pPr>
            <w:r>
              <w:rPr>
                <w:rFonts w:ascii="Arial" w:cs="Arial" w:eastAsia="Arial" w:hAnsi="Arial"/>
                <w:sz w:val="18"/>
                <w:szCs w:val="18"/>
                <w:b w:val="1"/>
                <w:bCs w:val="1"/>
                <w:color w:val="3E3935"/>
              </w:rPr>
              <w:t>Certain Other Beneficial Owners</w:t>
            </w:r>
            <w:r>
              <w:rPr>
                <w:rFonts w:ascii="Arial" w:cs="Arial" w:eastAsia="Arial" w:hAnsi="Arial"/>
                <w:sz w:val="15"/>
                <w:szCs w:val="15"/>
                <w:b w:val="1"/>
                <w:bCs w:val="1"/>
                <w:color w:val="3E3935"/>
              </w:rPr>
              <w:t>(5)</w:t>
            </w:r>
          </w:p>
        </w:tc>
        <w:tc>
          <w:tcPr>
            <w:tcW w:w="3540" w:type="dxa"/>
            <w:vAlign w:val="bottom"/>
            <w:tcBorders>
              <w:bottom w:val="single" w:sz="8" w:color="EAFAFC"/>
            </w:tcBorders>
            <w:shd w:val="clear" w:color="auto" w:fill="EAFAFC"/>
          </w:tcPr>
          <w:p>
            <w:pPr>
              <w:spacing w:after="0"/>
              <w:rPr>
                <w:sz w:val="24"/>
                <w:szCs w:val="24"/>
                <w:color w:val="auto"/>
              </w:rPr>
            </w:pPr>
          </w:p>
        </w:tc>
        <w:tc>
          <w:tcPr>
            <w:tcW w:w="1720" w:type="dxa"/>
            <w:vAlign w:val="bottom"/>
            <w:tcBorders>
              <w:bottom w:val="single" w:sz="8" w:color="EAFAFC"/>
            </w:tcBorders>
            <w:shd w:val="clear" w:color="auto" w:fill="EAFAFC"/>
          </w:tcPr>
          <w:p>
            <w:pPr>
              <w:spacing w:after="0"/>
              <w:rPr>
                <w:sz w:val="24"/>
                <w:szCs w:val="24"/>
                <w:color w:val="auto"/>
              </w:rPr>
            </w:pPr>
          </w:p>
        </w:tc>
      </w:tr>
      <w:tr>
        <w:trPr>
          <w:trHeight w:val="277"/>
        </w:trPr>
        <w:tc>
          <w:tcPr>
            <w:tcW w:w="5660" w:type="dxa"/>
            <w:vAlign w:val="bottom"/>
            <w:tcBorders>
              <w:top w:val="single" w:sz="8" w:color="3E3935"/>
            </w:tcBorders>
          </w:tcPr>
          <w:p>
            <w:pPr>
              <w:ind w:left="100"/>
              <w:spacing w:after="0"/>
              <w:rPr>
                <w:sz w:val="20"/>
                <w:szCs w:val="20"/>
                <w:color w:val="auto"/>
              </w:rPr>
            </w:pPr>
            <w:r>
              <w:rPr>
                <w:rFonts w:ascii="Arial" w:cs="Arial" w:eastAsia="Arial" w:hAnsi="Arial"/>
                <w:sz w:val="18"/>
                <w:szCs w:val="18"/>
                <w:color w:val="3E3935"/>
              </w:rPr>
              <w:t>BlackRock, Inc.</w:t>
            </w:r>
            <w:r>
              <w:rPr>
                <w:rFonts w:ascii="Arial" w:cs="Arial" w:eastAsia="Arial" w:hAnsi="Arial"/>
                <w:sz w:val="15"/>
                <w:szCs w:val="15"/>
                <w:color w:val="3E3935"/>
              </w:rPr>
              <w:t>(6)</w:t>
            </w:r>
          </w:p>
        </w:tc>
        <w:tc>
          <w:tcPr>
            <w:tcW w:w="3540" w:type="dxa"/>
            <w:vAlign w:val="bottom"/>
            <w:tcBorders>
              <w:top w:val="single" w:sz="8" w:color="3E3935"/>
            </w:tcBorders>
          </w:tcPr>
          <w:p>
            <w:pPr>
              <w:jc w:val="right"/>
              <w:ind w:right="891"/>
              <w:spacing w:after="0"/>
              <w:rPr>
                <w:sz w:val="20"/>
                <w:szCs w:val="20"/>
                <w:color w:val="auto"/>
              </w:rPr>
            </w:pPr>
            <w:r>
              <w:rPr>
                <w:rFonts w:ascii="Arial" w:cs="Arial" w:eastAsia="Arial" w:hAnsi="Arial"/>
                <w:sz w:val="18"/>
                <w:szCs w:val="18"/>
                <w:color w:val="3E3935"/>
              </w:rPr>
              <w:t>117,709,151</w:t>
            </w:r>
          </w:p>
        </w:tc>
        <w:tc>
          <w:tcPr>
            <w:tcW w:w="1720" w:type="dxa"/>
            <w:vAlign w:val="bottom"/>
            <w:tcBorders>
              <w:top w:val="single" w:sz="8" w:color="3E3935"/>
            </w:tcBorders>
          </w:tcPr>
          <w:p>
            <w:pPr>
              <w:jc w:val="right"/>
              <w:spacing w:after="0"/>
              <w:rPr>
                <w:sz w:val="20"/>
                <w:szCs w:val="20"/>
                <w:color w:val="auto"/>
              </w:rPr>
            </w:pPr>
            <w:r>
              <w:rPr>
                <w:rFonts w:ascii="Arial" w:cs="Arial" w:eastAsia="Arial" w:hAnsi="Arial"/>
                <w:sz w:val="18"/>
                <w:szCs w:val="18"/>
                <w:color w:val="3E3935"/>
              </w:rPr>
              <w:t>8.1%</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The Vanguard Group</w:t>
            </w:r>
            <w:r>
              <w:rPr>
                <w:rFonts w:ascii="Arial" w:cs="Arial" w:eastAsia="Arial" w:hAnsi="Arial"/>
                <w:sz w:val="15"/>
                <w:szCs w:val="15"/>
                <w:color w:val="3E3935"/>
              </w:rPr>
              <w:t>(7)</w:t>
            </w:r>
          </w:p>
        </w:tc>
        <w:tc>
          <w:tcPr>
            <w:tcW w:w="3540" w:type="dxa"/>
            <w:vAlign w:val="bottom"/>
          </w:tcPr>
          <w:p>
            <w:pPr>
              <w:jc w:val="right"/>
              <w:ind w:right="891"/>
              <w:spacing w:after="0"/>
              <w:rPr>
                <w:sz w:val="20"/>
                <w:szCs w:val="20"/>
                <w:color w:val="auto"/>
              </w:rPr>
            </w:pPr>
            <w:r>
              <w:rPr>
                <w:rFonts w:ascii="Arial" w:cs="Arial" w:eastAsia="Arial" w:hAnsi="Arial"/>
                <w:sz w:val="18"/>
                <w:szCs w:val="18"/>
                <w:color w:val="3E3935"/>
              </w:rPr>
              <w:t>102,724,091</w:t>
            </w:r>
          </w:p>
        </w:tc>
        <w:tc>
          <w:tcPr>
            <w:tcW w:w="1720" w:type="dxa"/>
            <w:vAlign w:val="bottom"/>
          </w:tcPr>
          <w:p>
            <w:pPr>
              <w:jc w:val="right"/>
              <w:spacing w:after="0"/>
              <w:rPr>
                <w:sz w:val="20"/>
                <w:szCs w:val="20"/>
                <w:color w:val="auto"/>
              </w:rPr>
            </w:pPr>
            <w:r>
              <w:rPr>
                <w:rFonts w:ascii="Arial" w:cs="Arial" w:eastAsia="Arial" w:hAnsi="Arial"/>
                <w:sz w:val="18"/>
                <w:szCs w:val="18"/>
                <w:color w:val="3E3935"/>
              </w:rPr>
              <w:t>7.0%</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Capital Research Global Investors</w:t>
            </w:r>
            <w:r>
              <w:rPr>
                <w:rFonts w:ascii="Arial" w:cs="Arial" w:eastAsia="Arial" w:hAnsi="Arial"/>
                <w:sz w:val="15"/>
                <w:szCs w:val="15"/>
                <w:color w:val="3E3935"/>
              </w:rPr>
              <w:t>(8)</w:t>
            </w:r>
          </w:p>
        </w:tc>
        <w:tc>
          <w:tcPr>
            <w:tcW w:w="3540" w:type="dxa"/>
            <w:vAlign w:val="bottom"/>
          </w:tcPr>
          <w:p>
            <w:pPr>
              <w:jc w:val="right"/>
              <w:ind w:right="891"/>
              <w:spacing w:after="0"/>
              <w:rPr>
                <w:sz w:val="20"/>
                <w:szCs w:val="20"/>
                <w:color w:val="auto"/>
              </w:rPr>
            </w:pPr>
            <w:r>
              <w:rPr>
                <w:rFonts w:ascii="Arial" w:cs="Arial" w:eastAsia="Arial" w:hAnsi="Arial"/>
                <w:sz w:val="18"/>
                <w:szCs w:val="18"/>
                <w:color w:val="3E3935"/>
              </w:rPr>
              <w:t>95,124,907</w:t>
            </w:r>
          </w:p>
        </w:tc>
        <w:tc>
          <w:tcPr>
            <w:tcW w:w="1720" w:type="dxa"/>
            <w:vAlign w:val="bottom"/>
          </w:tcPr>
          <w:p>
            <w:pPr>
              <w:jc w:val="right"/>
              <w:spacing w:after="0"/>
              <w:rPr>
                <w:sz w:val="20"/>
                <w:szCs w:val="20"/>
                <w:color w:val="auto"/>
              </w:rPr>
            </w:pPr>
            <w:r>
              <w:rPr>
                <w:rFonts w:ascii="Arial" w:cs="Arial" w:eastAsia="Arial" w:hAnsi="Arial"/>
                <w:sz w:val="18"/>
                <w:szCs w:val="18"/>
                <w:color w:val="3E3935"/>
              </w:rPr>
              <w:t>6.5%</w:t>
            </w:r>
          </w:p>
        </w:tc>
      </w:tr>
      <w:tr>
        <w:trPr>
          <w:trHeight w:val="64"/>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77"/>
        </w:trPr>
        <w:tc>
          <w:tcPr>
            <w:tcW w:w="5660" w:type="dxa"/>
            <w:vAlign w:val="bottom"/>
          </w:tcPr>
          <w:p>
            <w:pPr>
              <w:ind w:left="100"/>
              <w:spacing w:after="0"/>
              <w:rPr>
                <w:sz w:val="20"/>
                <w:szCs w:val="20"/>
                <w:color w:val="auto"/>
              </w:rPr>
            </w:pPr>
            <w:r>
              <w:rPr>
                <w:rFonts w:ascii="Arial" w:cs="Arial" w:eastAsia="Arial" w:hAnsi="Arial"/>
                <w:sz w:val="18"/>
                <w:szCs w:val="18"/>
                <w:color w:val="3E3935"/>
              </w:rPr>
              <w:t>Capital World Investors</w:t>
            </w:r>
            <w:r>
              <w:rPr>
                <w:rFonts w:ascii="Arial" w:cs="Arial" w:eastAsia="Arial" w:hAnsi="Arial"/>
                <w:sz w:val="15"/>
                <w:szCs w:val="15"/>
                <w:color w:val="3E3935"/>
              </w:rPr>
              <w:t>(9)</w:t>
            </w:r>
          </w:p>
        </w:tc>
        <w:tc>
          <w:tcPr>
            <w:tcW w:w="3540" w:type="dxa"/>
            <w:vAlign w:val="bottom"/>
          </w:tcPr>
          <w:p>
            <w:pPr>
              <w:jc w:val="right"/>
              <w:ind w:right="891"/>
              <w:spacing w:after="0"/>
              <w:rPr>
                <w:sz w:val="20"/>
                <w:szCs w:val="20"/>
                <w:color w:val="auto"/>
              </w:rPr>
            </w:pPr>
            <w:r>
              <w:rPr>
                <w:rFonts w:ascii="Arial" w:cs="Arial" w:eastAsia="Arial" w:hAnsi="Arial"/>
                <w:sz w:val="18"/>
                <w:szCs w:val="18"/>
                <w:color w:val="3E3935"/>
              </w:rPr>
              <w:t>79,839,592</w:t>
            </w:r>
          </w:p>
        </w:tc>
        <w:tc>
          <w:tcPr>
            <w:tcW w:w="1720" w:type="dxa"/>
            <w:vAlign w:val="bottom"/>
          </w:tcPr>
          <w:p>
            <w:pPr>
              <w:jc w:val="right"/>
              <w:spacing w:after="0"/>
              <w:rPr>
                <w:sz w:val="20"/>
                <w:szCs w:val="20"/>
                <w:color w:val="auto"/>
              </w:rPr>
            </w:pPr>
            <w:r>
              <w:rPr>
                <w:rFonts w:ascii="Arial" w:cs="Arial" w:eastAsia="Arial" w:hAnsi="Arial"/>
                <w:sz w:val="18"/>
                <w:szCs w:val="18"/>
                <w:color w:val="3E3935"/>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40640</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1" w:lineRule="exact"/>
        <w:rPr>
          <w:sz w:val="20"/>
          <w:szCs w:val="20"/>
          <w:color w:val="auto"/>
        </w:rPr>
      </w:pPr>
    </w:p>
    <w:p>
      <w:pPr>
        <w:ind w:left="600" w:hanging="433"/>
        <w:spacing w:after="0"/>
        <w:tabs>
          <w:tab w:leader="none" w:pos="600" w:val="left"/>
        </w:tabs>
        <w:numPr>
          <w:ilvl w:val="0"/>
          <w:numId w:val="68"/>
        </w:numPr>
        <w:rPr>
          <w:rFonts w:ascii="Arial" w:cs="Arial" w:eastAsia="Arial" w:hAnsi="Arial"/>
          <w:sz w:val="18"/>
          <w:szCs w:val="18"/>
          <w:i w:val="1"/>
          <w:iCs w:val="1"/>
          <w:color w:val="3E3935"/>
        </w:rPr>
      </w:pPr>
      <w:r>
        <w:rPr>
          <w:rFonts w:ascii="Arial" w:cs="Arial" w:eastAsia="Arial" w:hAnsi="Arial"/>
          <w:sz w:val="18"/>
          <w:szCs w:val="18"/>
          <w:i w:val="1"/>
          <w:iCs w:val="1"/>
          <w:color w:val="3E3935"/>
        </w:rPr>
        <w:t>Less than 1 percent.</w:t>
      </w:r>
    </w:p>
    <w:p>
      <w:pPr>
        <w:spacing w:after="0" w:line="74" w:lineRule="exact"/>
        <w:rPr>
          <w:sz w:val="20"/>
          <w:szCs w:val="20"/>
          <w:color w:val="auto"/>
        </w:rPr>
      </w:pPr>
    </w:p>
    <w:p>
      <w:pPr>
        <w:ind w:left="600" w:hanging="433"/>
        <w:spacing w:after="0"/>
        <w:tabs>
          <w:tab w:leader="none" w:pos="600" w:val="left"/>
        </w:tabs>
        <w:numPr>
          <w:ilvl w:val="0"/>
          <w:numId w:val="69"/>
        </w:numPr>
        <w:rPr>
          <w:rFonts w:ascii="Arial" w:cs="Arial" w:eastAsia="Arial" w:hAnsi="Arial"/>
          <w:sz w:val="18"/>
          <w:szCs w:val="18"/>
          <w:i w:val="1"/>
          <w:iCs w:val="1"/>
          <w:color w:val="3E3935"/>
        </w:rPr>
      </w:pPr>
      <w:r>
        <w:rPr>
          <w:rFonts w:ascii="Arial" w:cs="Arial" w:eastAsia="Arial" w:hAnsi="Arial"/>
          <w:sz w:val="18"/>
          <w:szCs w:val="18"/>
          <w:i w:val="1"/>
          <w:iCs w:val="1"/>
          <w:color w:val="3E3935"/>
        </w:rPr>
        <w:t>c/o General Motors Company, 300 Renaissance Center, Detroit, Michigan 48265.</w:t>
      </w:r>
    </w:p>
    <w:p>
      <w:pPr>
        <w:spacing w:after="0" w:line="147" w:lineRule="exact"/>
        <w:rPr>
          <w:rFonts w:ascii="Arial" w:cs="Arial" w:eastAsia="Arial" w:hAnsi="Arial"/>
          <w:sz w:val="18"/>
          <w:szCs w:val="18"/>
          <w:i w:val="1"/>
          <w:iCs w:val="1"/>
          <w:color w:val="3E3935"/>
        </w:rPr>
      </w:pPr>
    </w:p>
    <w:p>
      <w:pPr>
        <w:ind w:left="1140"/>
        <w:spacing w:after="0"/>
        <w:rPr>
          <w:rFonts w:ascii="Arial" w:cs="Arial" w:eastAsia="Arial" w:hAnsi="Arial"/>
          <w:sz w:val="18"/>
          <w:szCs w:val="18"/>
          <w:i w:val="1"/>
          <w:iCs w:val="1"/>
          <w:color w:val="3E3935"/>
        </w:rPr>
      </w:pPr>
      <w:r>
        <w:rPr>
          <w:rFonts w:ascii="Arial" w:cs="Arial" w:eastAsia="Arial" w:hAnsi="Arial"/>
          <w:sz w:val="1"/>
          <w:szCs w:val="1"/>
          <w:i w:val="1"/>
          <w:iCs w:val="1"/>
          <w:color w:val="3E3935"/>
        </w:rPr>
        <w:drawing>
          <wp:inline distT="0" distB="0" distL="0" distR="0">
            <wp:extent cx="5927725" cy="1016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27725" cy="101600"/>
                    </a:xfrm>
                    <a:prstGeom prst="rect">
                      <a:avLst/>
                    </a:prstGeom>
                    <a:noFill/>
                    <a:ln>
                      <a:noFill/>
                    </a:ln>
                  </pic:spPr>
                </pic:pic>
              </a:graphicData>
            </a:graphic>
          </wp:inline>
        </w:drawing>
      </w:r>
      <w:r>
        <w:rPr>
          <w:rFonts w:ascii="Arial" w:cs="Arial" w:eastAsia="Arial" w:hAnsi="Arial"/>
          <w:sz w:val="14"/>
          <w:szCs w:val="14"/>
          <w:color w:val="0071CE"/>
        </w:rPr>
        <w:t xml:space="preserve">  41</w:t>
      </w:r>
    </w:p>
    <w:p>
      <w:pPr>
        <w:sectPr>
          <w:pgSz w:w="11900" w:h="16838" w:orient="portrait"/>
          <w:cols w:equalWidth="0" w:num="1">
            <w:col w:w="11080"/>
          </w:cols>
          <w:pgMar w:left="320" w:top="454"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4" w:lineRule="exact"/>
        <w:rPr>
          <w:sz w:val="20"/>
          <w:szCs w:val="20"/>
          <w:color w:val="auto"/>
        </w:rPr>
      </w:pPr>
    </w:p>
    <w:p>
      <w:pPr>
        <w:jc w:val="both"/>
        <w:ind w:left="600" w:hanging="433"/>
        <w:spacing w:after="0"/>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represent common stock only and do not include DSUs, which are unit equivalents of our common stock. For more information about how DSUs work, see page 16 of this Proxy Statement. Directors hold the following number of DSUs: 1,228 DSUs for Mr. Bhusri; 21,717 DSUs for Mr. Bush; 29,056 DSUs for Ms. Gooden; 55,679 DSUs for Mr. Jimenez; 44,821 DSUs for Ms. Mendillo; 12,424 DSUs for Ms. Miscik; 57,961 DSUs for Ms. Russo; 42,976 DSUs for Mr. Schoewe; 80,869 DSUs for Ms. Stephenson; 2,077 DSUs for Mr. Tatum; 30,456 DSUs for Mr. Wenig; and 4,085 DSUs for Ms. Whitman.</w:t>
      </w:r>
    </w:p>
    <w:p>
      <w:pPr>
        <w:spacing w:after="0" w:line="48" w:lineRule="exact"/>
        <w:rPr>
          <w:rFonts w:ascii="Arial" w:cs="Arial" w:eastAsia="Arial" w:hAnsi="Arial"/>
          <w:sz w:val="18"/>
          <w:szCs w:val="18"/>
          <w:i w:val="1"/>
          <w:iCs w:val="1"/>
          <w:color w:val="3E3935"/>
        </w:rPr>
      </w:pPr>
    </w:p>
    <w:p>
      <w:pPr>
        <w:jc w:val="both"/>
        <w:ind w:left="600" w:hanging="433"/>
        <w:spacing w:after="0" w:line="247" w:lineRule="auto"/>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include shares that may be acquired upon exercise of stock options that are currently exercisable or will become exercisable within 60 days of April 1, 2022, as follows: 2,097,180 shares for Ms. Barra; 46,934 shares for Mr. Jacobson; 506,540 shares for Mr. Reuss; 158,468 shares for Mr. Parks; and 77,562 shares for Mr. Carlisle.</w:t>
      </w:r>
    </w:p>
    <w:p>
      <w:pPr>
        <w:spacing w:after="0" w:line="43"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include shares that individuals in the group may acquire upon exercise of stock options that are currently exercisable or will become exercisable within 60 days of April 1, 2022.</w:t>
      </w:r>
    </w:p>
    <w:p>
      <w:pPr>
        <w:spacing w:after="0" w:line="27" w:lineRule="exact"/>
        <w:rPr>
          <w:rFonts w:ascii="Arial" w:cs="Arial" w:eastAsia="Arial" w:hAnsi="Arial"/>
          <w:sz w:val="18"/>
          <w:szCs w:val="18"/>
          <w:i w:val="1"/>
          <w:iCs w:val="1"/>
          <w:color w:val="3E3935"/>
        </w:rPr>
      </w:pPr>
    </w:p>
    <w:p>
      <w:pPr>
        <w:jc w:val="both"/>
        <w:ind w:left="600" w:hanging="433"/>
        <w:spacing w:after="0" w:line="292" w:lineRule="auto"/>
        <w:tabs>
          <w:tab w:leader="none" w:pos="600" w:val="left"/>
        </w:tabs>
        <w:numPr>
          <w:ilvl w:val="0"/>
          <w:numId w:val="70"/>
        </w:numPr>
        <w:rPr>
          <w:rFonts w:ascii="Arial" w:cs="Arial" w:eastAsia="Arial" w:hAnsi="Arial"/>
          <w:sz w:val="17"/>
          <w:szCs w:val="17"/>
          <w:i w:val="1"/>
          <w:iCs w:val="1"/>
          <w:color w:val="3E3935"/>
        </w:rPr>
      </w:pPr>
      <w:r>
        <w:rPr>
          <w:rFonts w:ascii="Arial" w:cs="Arial" w:eastAsia="Arial" w:hAnsi="Arial"/>
          <w:sz w:val="17"/>
          <w:szCs w:val="17"/>
          <w:i w:val="1"/>
          <w:iCs w:val="1"/>
          <w:color w:val="3E3935"/>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5" w:lineRule="exact"/>
        <w:rPr>
          <w:rFonts w:ascii="Arial" w:cs="Arial" w:eastAsia="Arial" w:hAnsi="Arial"/>
          <w:sz w:val="17"/>
          <w:szCs w:val="17"/>
          <w:i w:val="1"/>
          <w:iCs w:val="1"/>
          <w:color w:val="3E3935"/>
        </w:rPr>
      </w:pPr>
    </w:p>
    <w:p>
      <w:pPr>
        <w:jc w:val="both"/>
        <w:ind w:left="600" w:hanging="433"/>
        <w:spacing w:after="0"/>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8, 2022, BlackRock, Inc., reported that it and its subsidiaries listed on Exhibit A to Schedule 13G/A were the beneficial owners of 117,709,151 shares of GM’s outstanding common stock as of December 31, 2021. BlackRock reported having sole voting power over 106,199,079 shares and sole dispositive power over 117,709,151 shares. No shared voting or dispositive powers were reported. The address for BlackRock, Inc., is 55 East 52nd Street, New York, New York 10055.</w:t>
      </w:r>
    </w:p>
    <w:p>
      <w:pPr>
        <w:spacing w:after="0" w:line="48" w:lineRule="exact"/>
        <w:rPr>
          <w:rFonts w:ascii="Arial" w:cs="Arial" w:eastAsia="Arial" w:hAnsi="Arial"/>
          <w:sz w:val="18"/>
          <w:szCs w:val="18"/>
          <w:i w:val="1"/>
          <w:iCs w:val="1"/>
          <w:color w:val="3E3935"/>
        </w:rPr>
      </w:pPr>
    </w:p>
    <w:p>
      <w:pPr>
        <w:jc w:val="both"/>
        <w:ind w:left="600" w:hanging="433"/>
        <w:spacing w:after="0"/>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10, 2022, The Vanguard Group reported that it was the beneficial owner of 102,724,091 shares of GM’s outstanding common stock as of December 31, 2021. The Vanguard Group reported having shared voting power over 2,144,675 shares, sole dispositive power over 97,213,704 shares, and shared dispositive power over 5,510,387 shares. No sole voting power was reported. The address for The Vanguard Group is 100 Vanguard Boulevard, Malvern, Pennsylvania 19355.</w:t>
      </w:r>
    </w:p>
    <w:p>
      <w:pPr>
        <w:spacing w:after="0" w:line="48" w:lineRule="exact"/>
        <w:rPr>
          <w:rFonts w:ascii="Arial" w:cs="Arial" w:eastAsia="Arial" w:hAnsi="Arial"/>
          <w:sz w:val="18"/>
          <w:szCs w:val="18"/>
          <w:i w:val="1"/>
          <w:iCs w:val="1"/>
          <w:color w:val="3E3935"/>
        </w:rPr>
      </w:pPr>
    </w:p>
    <w:p>
      <w:pPr>
        <w:jc w:val="both"/>
        <w:ind w:left="600" w:hanging="433"/>
        <w:spacing w:after="0"/>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11, 2022, Capital Research Global Investors reported that it is the beneficial owner of 95,124,907 shares of GM’s outstanding common stock as of December 31, 2021. Capital Research Global Investors reported having sole voting power over 95,121,786 shares and sole dispositive power over 95,124,907 shares. No shared voting or dispositive powers were reported. The address for Capital Research Global Investors is 333 South Hope Street, 55</w:t>
      </w:r>
      <w:r>
        <w:rPr>
          <w:rFonts w:ascii="Arial" w:cs="Arial" w:eastAsia="Arial" w:hAnsi="Arial"/>
          <w:sz w:val="15"/>
          <w:szCs w:val="15"/>
          <w:i w:val="1"/>
          <w:iCs w:val="1"/>
          <w:color w:val="3E3935"/>
        </w:rPr>
        <w:t>th</w:t>
      </w:r>
      <w:r>
        <w:rPr>
          <w:rFonts w:ascii="Arial" w:cs="Arial" w:eastAsia="Arial" w:hAnsi="Arial"/>
          <w:sz w:val="18"/>
          <w:szCs w:val="18"/>
          <w:i w:val="1"/>
          <w:iCs w:val="1"/>
          <w:color w:val="3E3935"/>
        </w:rPr>
        <w:t xml:space="preserve"> Floor, Los Angeles, California 90071.</w:t>
      </w:r>
    </w:p>
    <w:p>
      <w:pPr>
        <w:spacing w:after="0" w:line="48" w:lineRule="exact"/>
        <w:rPr>
          <w:rFonts w:ascii="Arial" w:cs="Arial" w:eastAsia="Arial" w:hAnsi="Arial"/>
          <w:sz w:val="18"/>
          <w:szCs w:val="18"/>
          <w:i w:val="1"/>
          <w:iCs w:val="1"/>
          <w:color w:val="3E3935"/>
        </w:rPr>
      </w:pPr>
    </w:p>
    <w:p>
      <w:pPr>
        <w:jc w:val="both"/>
        <w:ind w:left="600" w:hanging="433"/>
        <w:spacing w:after="0"/>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11, 2022, Capital World Investors reported that it is the beneficial owner of 79,839,592 shares of GM’s outstanding common stock as of December 31, 2021. Capital World Investors reported having sole voting power over 79,694,526 shares and sole dispositive power over 79,839,592 shares. No shared voting or dispositive powers were reported. The address for Capital World Investors is 333 South Hope Street, 55</w:t>
      </w:r>
      <w:r>
        <w:rPr>
          <w:rFonts w:ascii="Arial" w:cs="Arial" w:eastAsia="Arial" w:hAnsi="Arial"/>
          <w:sz w:val="15"/>
          <w:szCs w:val="15"/>
          <w:i w:val="1"/>
          <w:iCs w:val="1"/>
          <w:color w:val="3E3935"/>
        </w:rPr>
        <w:t>th</w:t>
      </w:r>
      <w:r>
        <w:rPr>
          <w:rFonts w:ascii="Arial" w:cs="Arial" w:eastAsia="Arial" w:hAnsi="Arial"/>
          <w:sz w:val="18"/>
          <w:szCs w:val="18"/>
          <w:i w:val="1"/>
          <w:iCs w:val="1"/>
          <w:color w:val="3E3935"/>
        </w:rPr>
        <w:t xml:space="preserve"> Floor, Los Angeles, California 90071.</w:t>
      </w:r>
    </w:p>
    <w:p>
      <w:pPr>
        <w:spacing w:after="0" w:line="48" w:lineRule="exact"/>
        <w:rPr>
          <w:rFonts w:ascii="Arial" w:cs="Arial" w:eastAsia="Arial" w:hAnsi="Arial"/>
          <w:sz w:val="18"/>
          <w:szCs w:val="18"/>
          <w:i w:val="1"/>
          <w:iCs w:val="1"/>
          <w:color w:val="3E3935"/>
        </w:rPr>
      </w:pPr>
    </w:p>
    <w:p>
      <w:pPr>
        <w:ind w:left="600" w:hanging="433"/>
        <w:spacing w:after="0"/>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shares are held indirectly in the Wesley G. Bush Revocable Trust.</w:t>
      </w:r>
    </w:p>
    <w:p>
      <w:pPr>
        <w:spacing w:after="0" w:line="73"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amount includes 330 shares of common stock that Mr. Jimenez holds indirectly through a limited liability company owned but not managed by him.</w:t>
      </w:r>
    </w:p>
    <w:p>
      <w:pPr>
        <w:spacing w:after="0" w:line="10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AUDIT COMMITTEE REPORT</w:t>
      </w:r>
    </w:p>
    <w:p>
      <w:pPr>
        <w:spacing w:after="0" w:line="160"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Audit Committee of the Board of Directors of General Motors Company is a standing committee composed of five independent directors: Thomas M. Schoewe (Chair), Wesley G. Bush, Linda R. Gooden, Jane L. Mendillo, and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139700</wp:posOffset>
            </wp:positionV>
            <wp:extent cx="5868035" cy="12141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803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Purpose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Audit Committee’s core purpose is to assist the Board by providing oversight of:</w:t>
      </w:r>
    </w:p>
    <w:p>
      <w:pPr>
        <w:sectPr>
          <w:pgSz w:w="11900" w:h="16838" w:orient="portrait"/>
          <w:cols w:equalWidth="0" w:num="1">
            <w:col w:w="11080"/>
          </w:cols>
          <w:pgMar w:left="320" w:top="454" w:right="499" w:bottom="1440" w:gutter="0" w:footer="0" w:header="0"/>
        </w:sectPr>
      </w:pPr>
    </w:p>
    <w:p>
      <w:pPr>
        <w:spacing w:after="0" w:line="58" w:lineRule="exact"/>
        <w:rPr>
          <w:sz w:val="20"/>
          <w:szCs w:val="20"/>
          <w:color w:val="auto"/>
        </w:rPr>
      </w:pPr>
    </w:p>
    <w:p>
      <w:pPr>
        <w:ind w:left="480"/>
        <w:spacing w:after="0"/>
        <w:rPr>
          <w:sz w:val="20"/>
          <w:szCs w:val="20"/>
          <w:color w:val="auto"/>
        </w:rPr>
      </w:pPr>
      <w:r>
        <w:rPr>
          <w:rFonts w:ascii="Arial" w:cs="Arial" w:eastAsia="Arial" w:hAnsi="Arial"/>
          <w:sz w:val="27"/>
          <w:szCs w:val="27"/>
          <w:color w:val="00C1DE"/>
        </w:rPr>
        <w:t>•</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27"/>
          <w:szCs w:val="27"/>
          <w:color w:val="00C1DE"/>
        </w:rPr>
        <w:t>•</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27"/>
          <w:szCs w:val="27"/>
          <w:color w:val="00C1DE"/>
        </w:rPr>
        <w:t>•</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27"/>
          <w:szCs w:val="27"/>
          <w:color w:val="00C1DE"/>
        </w:rPr>
        <w:t>•</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27"/>
          <w:szCs w:val="27"/>
          <w:color w:val="00C1DE"/>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3E3935"/>
        </w:rPr>
        <w:t>The quality and integrity of GM’s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3E3935"/>
        </w:rPr>
        <w:t>The effectiveness of GM’s financial reporting process and systems of disclosure controls and internal controls;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3E3935"/>
        </w:rPr>
        <w:t>The qualifications, performance, and independence of GM’s external auditors;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3E3935"/>
        </w:rPr>
        <w:t>The scope and performance of GM’s internal audit function; and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3E3935"/>
        </w:rPr>
        <w:t>GM’s policies and procedures regarding ethics and compliance.</w:t>
      </w:r>
    </w:p>
    <w:p>
      <w:pPr>
        <w:spacing w:after="0" w:line="211" w:lineRule="exact"/>
        <w:rPr>
          <w:sz w:val="20"/>
          <w:szCs w:val="20"/>
          <w:color w:val="auto"/>
        </w:rPr>
      </w:pPr>
    </w:p>
    <w:p>
      <w:pPr>
        <w:sectPr>
          <w:pgSz w:w="11900" w:h="16838" w:orient="portrait"/>
          <w:cols w:equalWidth="0" w:num="2">
            <w:col w:w="580" w:space="220"/>
            <w:col w:w="10280"/>
          </w:cols>
          <w:pgMar w:left="320" w:top="454" w:right="499" w:bottom="1440" w:gutter="0" w:footer="0" w:header="0"/>
          <w:type w:val="continuous"/>
        </w:sectPr>
      </w:pPr>
    </w:p>
    <w:p>
      <w:pPr>
        <w:jc w:val="both"/>
        <w:ind w:left="160"/>
        <w:spacing w:after="0" w:line="232" w:lineRule="auto"/>
        <w:rPr>
          <w:sz w:val="20"/>
          <w:szCs w:val="20"/>
          <w:color w:val="auto"/>
        </w:rPr>
      </w:pPr>
      <w:r>
        <w:rPr>
          <w:rFonts w:ascii="Arial" w:cs="Arial" w:eastAsia="Arial" w:hAnsi="Arial"/>
          <w:sz w:val="20"/>
          <w:szCs w:val="20"/>
          <w:color w:val="3E3935"/>
        </w:rPr>
        <w:t xml:space="preserve">The Audit Committee operates under a written charter adopted by the Audit Committee and approved by the Board of Directors. The Audit Committee’s charter is posted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 The Audit Committee’s charter is reviewed at least annually and is updated as necessary to address changes in regulatory requirements, authoritative guidance, evolving oversight practices, and shareholder feedback. In 2021, the Audit Committee charter was amended to formalize the Audit Committee’s responsibilities with respect to ESG matters.</w:t>
      </w:r>
    </w:p>
    <w:p>
      <w:pPr>
        <w:spacing w:after="0" w:line="10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Management is responsible for the Company’s internal controls and the financial reporting process and has delivered its opinion on the effectiveness of the Company’s controls. EY is responsible for performing an independent audit of the Company’s consolidated financial statements and opining on the effectiveness of internal controls over financial reporting in accordance with the standards of the Public Company Accounting Oversight Board (United States) (the “PCAOB”) and issuing its reports thereon. As provided in its charter, the Audit Committee’s responsibilities include monitoring and overseeing these processes.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Required Disclosures</w:t>
      </w:r>
    </w:p>
    <w:p>
      <w:pPr>
        <w:spacing w:after="0" w:line="15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In 2021, the Audit Committee met eight times and fulfilled all of its core charter obligations. Consistent with its charter responsibilities, the Audit Committee met and held discussions with management and EY regarding the Company’s audited financial statements and internal controls for the year ended December 31, 2021.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to be discussed by the requirements of the PCAOB and the SEC. This review included a discussion with management and EY of the quality, not merely the acceptability, of GM’s accounting principles, the reasonableness of significant estimates and judgments, and the clarity of disclosure in GM’s financial statements, including</w:t>
      </w:r>
    </w:p>
    <w:p>
      <w:pPr>
        <w:spacing w:after="0" w:line="119"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disclosures related to critical accounting estimates and critical audit matters. EY also provided to the Audit Committee the written disclosures and letter required by the applicable requirements of the PCAOB concerning independence, and the Audit Committee discussed with EY the auditor’s independence. The Audit Committee also considered and determined that the provision of non-audit services to GM is compatible with maintaining EY’s independence. The Audit Committee concluded that EY was independent from the Company and management.</w:t>
      </w:r>
    </w:p>
    <w:p>
      <w:pPr>
        <w:spacing w:after="0" w:line="10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For additional information about GM’s policies and procedures related to the approval of EY’s audit and non-audit services, see “Policy for Approval of Audit and Permitted Non-Audit Services” on page 45 of this Proxy Statement.</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Recommendation</w:t>
      </w:r>
    </w:p>
    <w:p>
      <w:pPr>
        <w:spacing w:after="0" w:line="15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Based upon the Audit Committee’s discussions with management and EY as described in this report and the Audit Committee’s review of the representation of management and the reports of EY to the Audit Committee, the Audit Committee recommended to the Board of Directors, and the Board of Directors approved, the inclusion of the audited consolidated financial statements in the Company’s Annual Report on Form 10-K for the year ended December 31, 2021, as filed with the SEC on February 2, 2022.</w:t>
      </w:r>
    </w:p>
    <w:p>
      <w:pPr>
        <w:spacing w:after="0" w:line="291"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3E3935"/>
        </w:rPr>
        <w:t>Audit Committee</w:t>
      </w:r>
    </w:p>
    <w:p>
      <w:pPr>
        <w:ind w:left="6620"/>
        <w:spacing w:after="0" w:line="227" w:lineRule="auto"/>
        <w:rPr>
          <w:sz w:val="20"/>
          <w:szCs w:val="20"/>
          <w:color w:val="auto"/>
        </w:rPr>
      </w:pPr>
      <w:r>
        <w:rPr>
          <w:rFonts w:ascii="Arial" w:cs="Arial" w:eastAsia="Arial" w:hAnsi="Arial"/>
          <w:sz w:val="20"/>
          <w:szCs w:val="20"/>
          <w:color w:val="3E3935"/>
        </w:rPr>
        <w:t>Thomas M. Schoewe (Chair)</w:t>
      </w:r>
    </w:p>
    <w:p>
      <w:pPr>
        <w:ind w:left="6620"/>
        <w:spacing w:after="0" w:line="223" w:lineRule="auto"/>
        <w:rPr>
          <w:sz w:val="20"/>
          <w:szCs w:val="20"/>
          <w:color w:val="auto"/>
        </w:rPr>
      </w:pPr>
      <w:r>
        <w:rPr>
          <w:rFonts w:ascii="Arial" w:cs="Arial" w:eastAsia="Arial" w:hAnsi="Arial"/>
          <w:sz w:val="20"/>
          <w:szCs w:val="20"/>
          <w:color w:val="3E3935"/>
        </w:rPr>
        <w:t>Wesley G. Bush</w:t>
      </w:r>
    </w:p>
    <w:p>
      <w:pPr>
        <w:ind w:left="6620"/>
        <w:spacing w:after="0" w:line="224" w:lineRule="auto"/>
        <w:rPr>
          <w:sz w:val="20"/>
          <w:szCs w:val="20"/>
          <w:color w:val="auto"/>
        </w:rPr>
      </w:pPr>
      <w:r>
        <w:rPr>
          <w:rFonts w:ascii="Arial" w:cs="Arial" w:eastAsia="Arial" w:hAnsi="Arial"/>
          <w:sz w:val="20"/>
          <w:szCs w:val="20"/>
          <w:color w:val="3E3935"/>
        </w:rPr>
        <w:t>Linda R. Gooden</w:t>
      </w:r>
    </w:p>
    <w:p>
      <w:pPr>
        <w:ind w:left="6620"/>
        <w:spacing w:after="0" w:line="223" w:lineRule="auto"/>
        <w:rPr>
          <w:sz w:val="20"/>
          <w:szCs w:val="20"/>
          <w:color w:val="auto"/>
        </w:rPr>
      </w:pPr>
      <w:r>
        <w:rPr>
          <w:rFonts w:ascii="Arial" w:cs="Arial" w:eastAsia="Arial" w:hAnsi="Arial"/>
          <w:sz w:val="20"/>
          <w:szCs w:val="20"/>
          <w:color w:val="3E3935"/>
        </w:rPr>
        <w:t>Jane L. Mendillo</w:t>
      </w:r>
    </w:p>
    <w:p>
      <w:pPr>
        <w:ind w:left="6620"/>
        <w:spacing w:after="0"/>
        <w:rPr>
          <w:sz w:val="20"/>
          <w:szCs w:val="20"/>
          <w:color w:val="auto"/>
        </w:rPr>
      </w:pPr>
      <w:r>
        <w:rPr>
          <w:rFonts w:ascii="Arial" w:cs="Arial" w:eastAsia="Arial" w:hAnsi="Arial"/>
          <w:sz w:val="20"/>
          <w:szCs w:val="20"/>
          <w:color w:val="3E3935"/>
        </w:rPr>
        <w:t>Mark A. Tatum</w:t>
      </w:r>
    </w:p>
    <w:p>
      <w:pPr>
        <w:spacing w:after="0" w:line="126"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i w:val="1"/>
          <w:iCs w:val="1"/>
          <w:color w:val="3E3935"/>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117"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Fees Paid to Independent Registered Public Accounting Firm</w:t>
      </w:r>
    </w:p>
    <w:p>
      <w:pPr>
        <w:sectPr>
          <w:pgSz w:w="11900" w:h="16838" w:orient="portrait"/>
          <w:cols w:equalWidth="0" w:num="1">
            <w:col w:w="11080"/>
          </w:cols>
          <w:pgMar w:left="320" w:top="454" w:right="499" w:bottom="1440" w:gutter="0" w:footer="0" w:header="0"/>
        </w:sectPr>
      </w:pPr>
    </w:p>
    <w:p>
      <w:pPr>
        <w:spacing w:after="0" w:line="223"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The following table summarizes the fees for professional services provided by EY for the audit of GM’s annual financial statements and internal controls over financial reporting for the years ended December 31, 2021 and 2020, together with the fees billed for other services rendered by EY during these periods. The numbers in the table below may not sum due to rounding.</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2060" w:type="dxa"/>
            <w:vAlign w:val="bottom"/>
            <w:tcBorders>
              <w:top w:val="single" w:sz="8" w:color="00C1DE"/>
            </w:tcBorders>
          </w:tcPr>
          <w:p>
            <w:pPr>
              <w:spacing w:after="0"/>
              <w:rPr>
                <w:sz w:val="18"/>
                <w:szCs w:val="18"/>
                <w:color w:val="auto"/>
              </w:rPr>
            </w:pPr>
          </w:p>
        </w:tc>
        <w:tc>
          <w:tcPr>
            <w:tcW w:w="1760" w:type="dxa"/>
            <w:vAlign w:val="bottom"/>
            <w:tcBorders>
              <w:top w:val="single" w:sz="8" w:color="00C1DE"/>
            </w:tcBorders>
          </w:tcPr>
          <w:p>
            <w:pPr>
              <w:jc w:val="right"/>
              <w:ind w:right="2"/>
              <w:spacing w:after="0" w:line="217" w:lineRule="exact"/>
              <w:rPr>
                <w:sz w:val="20"/>
                <w:szCs w:val="20"/>
                <w:color w:val="auto"/>
              </w:rPr>
            </w:pPr>
            <w:r>
              <w:rPr>
                <w:rFonts w:ascii="Arial" w:cs="Arial" w:eastAsia="Arial" w:hAnsi="Arial"/>
                <w:sz w:val="20"/>
                <w:szCs w:val="20"/>
                <w:b w:val="1"/>
                <w:bCs w:val="1"/>
                <w:color w:val="00C1DE"/>
              </w:rPr>
              <w:t>2021</w:t>
            </w:r>
          </w:p>
        </w:tc>
        <w:tc>
          <w:tcPr>
            <w:tcW w:w="1420" w:type="dxa"/>
            <w:vAlign w:val="bottom"/>
            <w:tcBorders>
              <w:top w:val="single" w:sz="8" w:color="00C1DE"/>
            </w:tcBorders>
          </w:tcPr>
          <w:p>
            <w:pPr>
              <w:jc w:val="right"/>
              <w:spacing w:after="0" w:line="217" w:lineRule="exact"/>
              <w:rPr>
                <w:sz w:val="20"/>
                <w:szCs w:val="20"/>
                <w:color w:val="auto"/>
              </w:rPr>
            </w:pPr>
            <w:r>
              <w:rPr>
                <w:rFonts w:ascii="Arial" w:cs="Arial" w:eastAsia="Arial" w:hAnsi="Arial"/>
                <w:sz w:val="20"/>
                <w:szCs w:val="20"/>
                <w:b w:val="1"/>
                <w:bCs w:val="1"/>
                <w:color w:val="00C1DE"/>
              </w:rPr>
              <w:t>2020</w:t>
            </w:r>
          </w:p>
        </w:tc>
      </w:tr>
      <w:tr>
        <w:trPr>
          <w:trHeight w:val="283"/>
        </w:trPr>
        <w:tc>
          <w:tcPr>
            <w:tcW w:w="2060" w:type="dxa"/>
            <w:vAlign w:val="bottom"/>
          </w:tcPr>
          <w:p>
            <w:pPr>
              <w:ind w:left="20"/>
              <w:spacing w:after="0"/>
              <w:rPr>
                <w:sz w:val="20"/>
                <w:szCs w:val="20"/>
                <w:color w:val="auto"/>
              </w:rPr>
            </w:pPr>
            <w:r>
              <w:rPr>
                <w:rFonts w:ascii="Arial" w:cs="Arial" w:eastAsia="Arial" w:hAnsi="Arial"/>
                <w:sz w:val="20"/>
                <w:szCs w:val="20"/>
                <w:b w:val="1"/>
                <w:bCs w:val="1"/>
                <w:color w:val="00C1DE"/>
              </w:rPr>
              <w:t>Type of Fees</w:t>
            </w:r>
          </w:p>
        </w:tc>
        <w:tc>
          <w:tcPr>
            <w:tcW w:w="1760" w:type="dxa"/>
            <w:vAlign w:val="bottom"/>
          </w:tcPr>
          <w:p>
            <w:pPr>
              <w:jc w:val="right"/>
              <w:ind w:right="2"/>
              <w:spacing w:after="0"/>
              <w:rPr>
                <w:sz w:val="20"/>
                <w:szCs w:val="20"/>
                <w:color w:val="auto"/>
              </w:rPr>
            </w:pPr>
            <w:r>
              <w:rPr>
                <w:rFonts w:ascii="Arial" w:cs="Arial" w:eastAsia="Arial" w:hAnsi="Arial"/>
                <w:sz w:val="20"/>
                <w:szCs w:val="20"/>
                <w:b w:val="1"/>
                <w:bCs w:val="1"/>
                <w:color w:val="00C1DE"/>
              </w:rPr>
              <w:t>($ in millions)</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C1DE"/>
              </w:rPr>
              <w:t>($ in millions)</w:t>
            </w:r>
          </w:p>
        </w:tc>
      </w:tr>
      <w:tr>
        <w:trPr>
          <w:trHeight w:val="48"/>
        </w:trPr>
        <w:tc>
          <w:tcPr>
            <w:tcW w:w="2060" w:type="dxa"/>
            <w:vAlign w:val="bottom"/>
            <w:tcBorders>
              <w:bottom w:val="single" w:sz="8" w:color="00C1DE"/>
            </w:tcBorders>
          </w:tcPr>
          <w:p>
            <w:pPr>
              <w:spacing w:after="0"/>
              <w:rPr>
                <w:sz w:val="4"/>
                <w:szCs w:val="4"/>
                <w:color w:val="auto"/>
              </w:rPr>
            </w:pPr>
          </w:p>
        </w:tc>
        <w:tc>
          <w:tcPr>
            <w:tcW w:w="1760" w:type="dxa"/>
            <w:vAlign w:val="bottom"/>
            <w:tcBorders>
              <w:bottom w:val="single" w:sz="8" w:color="00C1DE"/>
            </w:tcBorders>
          </w:tcPr>
          <w:p>
            <w:pPr>
              <w:spacing w:after="0"/>
              <w:rPr>
                <w:sz w:val="4"/>
                <w:szCs w:val="4"/>
                <w:color w:val="auto"/>
              </w:rPr>
            </w:pPr>
          </w:p>
        </w:tc>
        <w:tc>
          <w:tcPr>
            <w:tcW w:w="1420" w:type="dxa"/>
            <w:vAlign w:val="bottom"/>
            <w:tcBorders>
              <w:bottom w:val="single" w:sz="8" w:color="00C1DE"/>
            </w:tcBorders>
          </w:tcPr>
          <w:p>
            <w:pPr>
              <w:spacing w:after="0"/>
              <w:rPr>
                <w:sz w:val="4"/>
                <w:szCs w:val="4"/>
                <w:color w:val="auto"/>
              </w:rPr>
            </w:pPr>
          </w:p>
        </w:tc>
      </w:tr>
      <w:tr>
        <w:trPr>
          <w:trHeight w:val="296"/>
        </w:trPr>
        <w:tc>
          <w:tcPr>
            <w:tcW w:w="2060" w:type="dxa"/>
            <w:vAlign w:val="bottom"/>
          </w:tcPr>
          <w:p>
            <w:pPr>
              <w:ind w:left="100"/>
              <w:spacing w:after="0"/>
              <w:rPr>
                <w:sz w:val="20"/>
                <w:szCs w:val="20"/>
                <w:color w:val="auto"/>
              </w:rPr>
            </w:pPr>
            <w:r>
              <w:rPr>
                <w:rFonts w:ascii="Arial" w:cs="Arial" w:eastAsia="Arial" w:hAnsi="Arial"/>
                <w:sz w:val="20"/>
                <w:szCs w:val="20"/>
                <w:color w:val="3E3935"/>
              </w:rPr>
              <w:t>Audit</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21</w:t>
            </w:r>
          </w:p>
        </w:tc>
        <w:tc>
          <w:tcPr>
            <w:tcW w:w="1420" w:type="dxa"/>
            <w:vAlign w:val="bottom"/>
          </w:tcPr>
          <w:p>
            <w:pPr>
              <w:jc w:val="right"/>
              <w:spacing w:after="0"/>
              <w:rPr>
                <w:sz w:val="20"/>
                <w:szCs w:val="20"/>
                <w:color w:val="auto"/>
              </w:rPr>
            </w:pPr>
            <w:r>
              <w:rPr>
                <w:rFonts w:ascii="Arial" w:cs="Arial" w:eastAsia="Arial" w:hAnsi="Arial"/>
                <w:sz w:val="20"/>
                <w:szCs w:val="20"/>
                <w:color w:val="3E3935"/>
              </w:rPr>
              <w:t>21</w:t>
            </w:r>
          </w:p>
        </w:tc>
      </w:tr>
      <w:tr>
        <w:trPr>
          <w:trHeight w:val="58"/>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6"/>
        </w:trPr>
        <w:tc>
          <w:tcPr>
            <w:tcW w:w="2060" w:type="dxa"/>
            <w:vAlign w:val="bottom"/>
          </w:tcPr>
          <w:p>
            <w:pPr>
              <w:ind w:left="100"/>
              <w:spacing w:after="0"/>
              <w:rPr>
                <w:sz w:val="20"/>
                <w:szCs w:val="20"/>
                <w:color w:val="auto"/>
              </w:rPr>
            </w:pPr>
            <w:r>
              <w:rPr>
                <w:rFonts w:ascii="Arial" w:cs="Arial" w:eastAsia="Arial" w:hAnsi="Arial"/>
                <w:sz w:val="20"/>
                <w:szCs w:val="20"/>
                <w:color w:val="3E3935"/>
              </w:rPr>
              <w:t>Audit-Related</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8</w:t>
            </w:r>
          </w:p>
        </w:tc>
        <w:tc>
          <w:tcPr>
            <w:tcW w:w="1420" w:type="dxa"/>
            <w:vAlign w:val="bottom"/>
          </w:tcPr>
          <w:p>
            <w:pPr>
              <w:jc w:val="right"/>
              <w:spacing w:after="0"/>
              <w:rPr>
                <w:sz w:val="20"/>
                <w:szCs w:val="20"/>
                <w:color w:val="auto"/>
              </w:rPr>
            </w:pPr>
            <w:r>
              <w:rPr>
                <w:rFonts w:ascii="Arial" w:cs="Arial" w:eastAsia="Arial" w:hAnsi="Arial"/>
                <w:sz w:val="20"/>
                <w:szCs w:val="20"/>
                <w:color w:val="3E3935"/>
              </w:rPr>
              <w:t>4</w:t>
            </w:r>
          </w:p>
        </w:tc>
      </w:tr>
      <w:tr>
        <w:trPr>
          <w:trHeight w:val="58"/>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6"/>
        </w:trPr>
        <w:tc>
          <w:tcPr>
            <w:tcW w:w="2060" w:type="dxa"/>
            <w:vAlign w:val="bottom"/>
          </w:tcPr>
          <w:p>
            <w:pPr>
              <w:ind w:left="100"/>
              <w:spacing w:after="0"/>
              <w:rPr>
                <w:sz w:val="20"/>
                <w:szCs w:val="20"/>
                <w:color w:val="auto"/>
              </w:rPr>
            </w:pPr>
            <w:r>
              <w:rPr>
                <w:rFonts w:ascii="Arial" w:cs="Arial" w:eastAsia="Arial" w:hAnsi="Arial"/>
                <w:sz w:val="20"/>
                <w:szCs w:val="20"/>
                <w:color w:val="3E3935"/>
              </w:rPr>
              <w:t>Tax</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3</w:t>
            </w:r>
          </w:p>
        </w:tc>
        <w:tc>
          <w:tcPr>
            <w:tcW w:w="1420" w:type="dxa"/>
            <w:vAlign w:val="bottom"/>
          </w:tcPr>
          <w:p>
            <w:pPr>
              <w:jc w:val="right"/>
              <w:spacing w:after="0"/>
              <w:rPr>
                <w:sz w:val="20"/>
                <w:szCs w:val="20"/>
                <w:color w:val="auto"/>
              </w:rPr>
            </w:pPr>
            <w:r>
              <w:rPr>
                <w:rFonts w:ascii="Arial" w:cs="Arial" w:eastAsia="Arial" w:hAnsi="Arial"/>
                <w:sz w:val="20"/>
                <w:szCs w:val="20"/>
                <w:color w:val="3E3935"/>
              </w:rPr>
              <w:t>2</w:t>
            </w:r>
          </w:p>
        </w:tc>
      </w:tr>
      <w:tr>
        <w:trPr>
          <w:trHeight w:val="58"/>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6"/>
        </w:trPr>
        <w:tc>
          <w:tcPr>
            <w:tcW w:w="2060" w:type="dxa"/>
            <w:vAlign w:val="bottom"/>
          </w:tcPr>
          <w:p>
            <w:pPr>
              <w:ind w:left="100"/>
              <w:spacing w:after="0"/>
              <w:rPr>
                <w:sz w:val="20"/>
                <w:szCs w:val="20"/>
                <w:color w:val="auto"/>
              </w:rPr>
            </w:pPr>
            <w:r>
              <w:rPr>
                <w:rFonts w:ascii="Arial" w:cs="Arial" w:eastAsia="Arial" w:hAnsi="Arial"/>
                <w:sz w:val="20"/>
                <w:szCs w:val="20"/>
                <w:color w:val="3E3935"/>
              </w:rPr>
              <w:t>Subtotal</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31</w:t>
            </w:r>
          </w:p>
        </w:tc>
        <w:tc>
          <w:tcPr>
            <w:tcW w:w="1420" w:type="dxa"/>
            <w:vAlign w:val="bottom"/>
          </w:tcPr>
          <w:p>
            <w:pPr>
              <w:jc w:val="right"/>
              <w:spacing w:after="0"/>
              <w:rPr>
                <w:sz w:val="20"/>
                <w:szCs w:val="20"/>
                <w:color w:val="auto"/>
              </w:rPr>
            </w:pPr>
            <w:r>
              <w:rPr>
                <w:rFonts w:ascii="Arial" w:cs="Arial" w:eastAsia="Arial" w:hAnsi="Arial"/>
                <w:sz w:val="20"/>
                <w:szCs w:val="20"/>
                <w:color w:val="3E3935"/>
              </w:rPr>
              <w:t>27</w:t>
            </w:r>
          </w:p>
        </w:tc>
      </w:tr>
      <w:tr>
        <w:trPr>
          <w:trHeight w:val="58"/>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6"/>
        </w:trPr>
        <w:tc>
          <w:tcPr>
            <w:tcW w:w="2060" w:type="dxa"/>
            <w:vAlign w:val="bottom"/>
          </w:tcPr>
          <w:p>
            <w:pPr>
              <w:ind w:left="100"/>
              <w:spacing w:after="0"/>
              <w:rPr>
                <w:sz w:val="20"/>
                <w:szCs w:val="20"/>
                <w:color w:val="auto"/>
              </w:rPr>
            </w:pPr>
            <w:r>
              <w:rPr>
                <w:rFonts w:ascii="Arial" w:cs="Arial" w:eastAsia="Arial" w:hAnsi="Arial"/>
                <w:sz w:val="20"/>
                <w:szCs w:val="20"/>
                <w:color w:val="3E3935"/>
              </w:rPr>
              <w:t>All Other Services</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w:t>
            </w:r>
          </w:p>
        </w:tc>
        <w:tc>
          <w:tcPr>
            <w:tcW w:w="1420" w:type="dxa"/>
            <w:vAlign w:val="bottom"/>
          </w:tcPr>
          <w:p>
            <w:pPr>
              <w:jc w:val="right"/>
              <w:spacing w:after="0"/>
              <w:rPr>
                <w:sz w:val="20"/>
                <w:szCs w:val="20"/>
                <w:color w:val="auto"/>
              </w:rPr>
            </w:pPr>
            <w:r>
              <w:rPr>
                <w:rFonts w:ascii="Arial" w:cs="Arial" w:eastAsia="Arial" w:hAnsi="Arial"/>
                <w:sz w:val="20"/>
                <w:szCs w:val="20"/>
                <w:color w:val="3E3935"/>
              </w:rPr>
              <w:t>—</w:t>
            </w:r>
          </w:p>
        </w:tc>
      </w:tr>
      <w:tr>
        <w:trPr>
          <w:trHeight w:val="58"/>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306"/>
        </w:trPr>
        <w:tc>
          <w:tcPr>
            <w:tcW w:w="2060" w:type="dxa"/>
            <w:vAlign w:val="bottom"/>
          </w:tcPr>
          <w:p>
            <w:pPr>
              <w:ind w:left="100"/>
              <w:spacing w:after="0"/>
              <w:rPr>
                <w:sz w:val="20"/>
                <w:szCs w:val="20"/>
                <w:color w:val="auto"/>
              </w:rPr>
            </w:pPr>
            <w:r>
              <w:rPr>
                <w:rFonts w:ascii="Arial" w:cs="Arial" w:eastAsia="Arial" w:hAnsi="Arial"/>
                <w:sz w:val="20"/>
                <w:szCs w:val="20"/>
                <w:b w:val="1"/>
                <w:bCs w:val="1"/>
                <w:color w:val="0071CE"/>
              </w:rPr>
              <w:t>TOTAL</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32</w:t>
            </w:r>
          </w:p>
        </w:tc>
        <w:tc>
          <w:tcPr>
            <w:tcW w:w="1420" w:type="dxa"/>
            <w:vAlign w:val="bottom"/>
          </w:tcPr>
          <w:p>
            <w:pPr>
              <w:jc w:val="right"/>
              <w:spacing w:after="0"/>
              <w:rPr>
                <w:sz w:val="20"/>
                <w:szCs w:val="20"/>
                <w:color w:val="auto"/>
              </w:rPr>
            </w:pPr>
            <w:r>
              <w:rPr>
                <w:rFonts w:ascii="Arial" w:cs="Arial" w:eastAsia="Arial" w:hAnsi="Arial"/>
                <w:sz w:val="20"/>
                <w:szCs w:val="20"/>
                <w:color w:val="3E3935"/>
              </w:rPr>
              <w:t>27</w:t>
            </w:r>
          </w:p>
        </w:tc>
      </w:tr>
      <w:tr>
        <w:trPr>
          <w:trHeight w:val="48"/>
        </w:trPr>
        <w:tc>
          <w:tcPr>
            <w:tcW w:w="2060" w:type="dxa"/>
            <w:vAlign w:val="bottom"/>
            <w:tcBorders>
              <w:bottom w:val="single" w:sz="8" w:color="0071CE"/>
            </w:tcBorders>
          </w:tcPr>
          <w:p>
            <w:pPr>
              <w:spacing w:after="0"/>
              <w:rPr>
                <w:sz w:val="4"/>
                <w:szCs w:val="4"/>
                <w:color w:val="auto"/>
              </w:rPr>
            </w:pPr>
          </w:p>
        </w:tc>
        <w:tc>
          <w:tcPr>
            <w:tcW w:w="1760" w:type="dxa"/>
            <w:vAlign w:val="bottom"/>
            <w:tcBorders>
              <w:bottom w:val="single" w:sz="8" w:color="0071CE"/>
            </w:tcBorders>
          </w:tcPr>
          <w:p>
            <w:pPr>
              <w:spacing w:after="0"/>
              <w:rPr>
                <w:sz w:val="4"/>
                <w:szCs w:val="4"/>
                <w:color w:val="auto"/>
              </w:rPr>
            </w:pPr>
          </w:p>
        </w:tc>
        <w:tc>
          <w:tcPr>
            <w:tcW w:w="1420" w:type="dxa"/>
            <w:vAlign w:val="bottom"/>
            <w:tcBorders>
              <w:bottom w:val="single" w:sz="8" w:color="0071CE"/>
            </w:tcBorders>
          </w:tcPr>
          <w:p>
            <w:pPr>
              <w:spacing w:after="0"/>
              <w:rPr>
                <w:sz w:val="4"/>
                <w:szCs w:val="4"/>
                <w:color w:val="auto"/>
              </w:rPr>
            </w:pPr>
          </w:p>
        </w:tc>
      </w:tr>
    </w:tbl>
    <w:p>
      <w:pPr>
        <w:spacing w:after="0" w:line="124"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71CE"/>
        </w:rPr>
        <w:t xml:space="preserve">Audit Fees </w:t>
      </w:r>
      <w:r>
        <w:rPr>
          <w:rFonts w:ascii="Arial" w:cs="Arial" w:eastAsia="Arial" w:hAnsi="Arial"/>
          <w:sz w:val="20"/>
          <w:szCs w:val="20"/>
          <w:color w:val="3E3935"/>
        </w:rPr>
        <w:t>– Includes fees for the integrated audit of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Company’s annual consolidated financial statements and attestation of the effectiveness of the Company’s internal controls over financial reporting, including reviews of the interim financial statements contained in the Company’s Quarterly Reports on Form 10-Q and audits of statutory financial statements.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0071CE"/>
        </w:rPr>
        <w:t xml:space="preserve">Audit-Related Fees </w:t>
      </w:r>
      <w:r>
        <w:rPr>
          <w:rFonts w:ascii="Arial" w:cs="Arial" w:eastAsia="Arial" w:hAnsi="Arial"/>
          <w:sz w:val="20"/>
          <w:szCs w:val="20"/>
          <w:color w:val="3E3935"/>
        </w:rPr>
        <w:t>– Includes fees for assurance and</w:t>
      </w:r>
      <w:r>
        <w:rPr>
          <w:rFonts w:ascii="Arial" w:cs="Arial" w:eastAsia="Arial" w:hAnsi="Arial"/>
          <w:sz w:val="20"/>
          <w:szCs w:val="20"/>
          <w:b w:val="1"/>
          <w:bCs w:val="1"/>
          <w:color w:val="0071CE"/>
        </w:rPr>
        <w:t xml:space="preserve"> </w:t>
      </w:r>
      <w:r>
        <w:rPr>
          <w:rFonts w:ascii="Arial" w:cs="Arial" w:eastAsia="Arial" w:hAnsi="Arial"/>
          <w:sz w:val="20"/>
          <w:szCs w:val="20"/>
          <w:color w:val="3E3935"/>
        </w:rPr>
        <w:t>related services that are traditionally performed by the independent registered public accounting firm. More specifically, these services include employee benefit plan audits, comfort letters in connection with funding transactions, financial due diligence, other attestation services, and consultations concerning financial accounting and reporting standards.</w:t>
      </w:r>
    </w:p>
    <w:p>
      <w:pPr>
        <w:spacing w:after="0" w:line="10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0071CE"/>
        </w:rPr>
        <w:t xml:space="preserve">Tax Fees </w:t>
      </w:r>
      <w:r>
        <w:rPr>
          <w:rFonts w:ascii="Arial" w:cs="Arial" w:eastAsia="Arial" w:hAnsi="Arial"/>
          <w:sz w:val="20"/>
          <w:szCs w:val="20"/>
          <w:color w:val="3E3935"/>
        </w:rPr>
        <w:t>– Includes fees for tax compliance, tax planning,</w:t>
      </w:r>
      <w:r>
        <w:rPr>
          <w:rFonts w:ascii="Arial" w:cs="Arial" w:eastAsia="Arial" w:hAnsi="Arial"/>
          <w:sz w:val="20"/>
          <w:szCs w:val="20"/>
          <w:b w:val="1"/>
          <w:bCs w:val="1"/>
          <w:color w:val="0071CE"/>
        </w:rPr>
        <w:t xml:space="preserve"> </w:t>
      </w:r>
      <w:r>
        <w:rPr>
          <w:rFonts w:ascii="Arial" w:cs="Arial" w:eastAsia="Arial" w:hAnsi="Arial"/>
          <w:sz w:val="20"/>
          <w:szCs w:val="20"/>
          <w:color w:val="3E3935"/>
        </w:rPr>
        <w:t>and tax advice. Tax compliance involves preparation of original and amended tax returns and claims for refunds.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0071CE"/>
        </w:rPr>
        <w:t xml:space="preserve">All Other Fees </w:t>
      </w:r>
      <w:r>
        <w:rPr>
          <w:rFonts w:ascii="Arial" w:cs="Arial" w:eastAsia="Arial" w:hAnsi="Arial"/>
          <w:sz w:val="20"/>
          <w:szCs w:val="20"/>
          <w:color w:val="3E3935"/>
        </w:rPr>
        <w:t>– Includes fees for services that are not</w:t>
      </w:r>
      <w:r>
        <w:rPr>
          <w:rFonts w:ascii="Arial" w:cs="Arial" w:eastAsia="Arial" w:hAnsi="Arial"/>
          <w:sz w:val="20"/>
          <w:szCs w:val="20"/>
          <w:b w:val="1"/>
          <w:bCs w:val="1"/>
          <w:color w:val="0071CE"/>
        </w:rPr>
        <w:t xml:space="preserve"> </w:t>
      </w:r>
      <w:r>
        <w:rPr>
          <w:rFonts w:ascii="Arial" w:cs="Arial" w:eastAsia="Arial" w:hAnsi="Arial"/>
          <w:sz w:val="20"/>
          <w:szCs w:val="20"/>
          <w:color w:val="3E3935"/>
        </w:rPr>
        <w:t>contained in the above categories and consists of permissible advisory services.</w:t>
      </w:r>
    </w:p>
    <w:p>
      <w:pPr>
        <w:spacing w:after="0" w:line="2031"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Policy for Approval of Audit and Permitted Non-Audit Services</w:t>
      </w:r>
    </w:p>
    <w:p>
      <w:pPr>
        <w:sectPr>
          <w:pgSz w:w="11900" w:h="16838" w:orient="portrait"/>
          <w:cols w:equalWidth="0" w:num="1">
            <w:col w:w="11080"/>
          </w:cols>
          <w:pgMar w:left="320" w:top="454" w:right="499" w:bottom="1440" w:gutter="0" w:footer="0" w:header="0"/>
          <w:type w:val="continuous"/>
        </w:sectPr>
      </w:pPr>
    </w:p>
    <w:p>
      <w:pPr>
        <w:spacing w:after="0" w:line="223" w:lineRule="exact"/>
        <w:rPr>
          <w:sz w:val="20"/>
          <w:szCs w:val="20"/>
          <w:color w:val="auto"/>
        </w:rPr>
      </w:pPr>
    </w:p>
    <w:p>
      <w:pPr>
        <w:jc w:val="both"/>
        <w:ind w:left="160"/>
        <w:spacing w:after="0" w:line="238" w:lineRule="auto"/>
        <w:rPr>
          <w:sz w:val="20"/>
          <w:szCs w:val="20"/>
          <w:color w:val="auto"/>
        </w:rPr>
      </w:pPr>
      <w:r>
        <w:rPr>
          <w:rFonts w:ascii="Arial" w:cs="Arial" w:eastAsia="Arial" w:hAnsi="Arial"/>
          <w:sz w:val="19"/>
          <w:szCs w:val="19"/>
          <w:color w:val="3E3935"/>
        </w:rPr>
        <w:t>The services performed by EY in 2021 were preapproved in accordance with the preapproval policy and procedures established by the Audit Committee. This policy requires that, prior to the provision of services by the auditor, the Audit Committee will be presented, for consideration, with a description of the types of Audit-Related, Tax, and All Other Services expected to be performed by the auditor during the fiscal year, with amounts budgeted for each category. Any requests for such services for $1 million or more not contemplated and approved by the Audit Committee initially must thereafter be submitted to the Audit Committee Chair for specific preapproval and must be reported to the full Audit Committee at the next regularly scheduled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meeting of the Committee. Requests for services less than $1 million individually can be approved by management based on the amounts approved for each category. Management must report actual spending for each category to the full Audit Committee periodically throughout the year.</w:t>
      </w:r>
    </w:p>
    <w:p>
      <w:pPr>
        <w:spacing w:after="0" w:line="9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These services are actively monitored (both spending and work content) by the Audit Committee to maintain the appropriate objectivity and independence in EY’s core work, which is the audit of the Company’s annual consolidated financial statements and internal controls. The Audit Committee determined that all services provided by EY in 2021 were compatible with maintaining the independence of EY.</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7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285115</wp:posOffset>
            </wp:positionV>
            <wp:extent cx="5732145" cy="2120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3214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4680" w:type="dxa"/>
            <w:vAlign w:val="bottom"/>
            <w:gridSpan w:val="8"/>
          </w:tcPr>
          <w:p>
            <w:pPr>
              <w:spacing w:after="0"/>
              <w:rPr>
                <w:sz w:val="20"/>
                <w:szCs w:val="20"/>
                <w:color w:val="auto"/>
              </w:rPr>
            </w:pPr>
            <w:r>
              <w:rPr>
                <w:rFonts w:ascii="Arial" w:cs="Arial" w:eastAsia="Arial" w:hAnsi="Arial"/>
                <w:sz w:val="20"/>
                <w:szCs w:val="20"/>
                <w:b w:val="1"/>
                <w:bCs w:val="1"/>
                <w:color w:val="0071CE"/>
              </w:rPr>
              <w:t>Compensation Discussion and Analysis</w:t>
            </w:r>
          </w:p>
        </w:tc>
        <w:tc>
          <w:tcPr>
            <w:tcW w:w="880" w:type="dxa"/>
            <w:vAlign w:val="bottom"/>
          </w:tcPr>
          <w:p>
            <w:pPr>
              <w:spacing w:after="0"/>
              <w:rPr>
                <w:sz w:val="21"/>
                <w:szCs w:val="21"/>
                <w:color w:val="auto"/>
              </w:rPr>
            </w:pPr>
          </w:p>
        </w:tc>
        <w:tc>
          <w:tcPr>
            <w:tcW w:w="4520" w:type="dxa"/>
            <w:vAlign w:val="bottom"/>
            <w:gridSpan w:val="9"/>
          </w:tcPr>
          <w:p>
            <w:pPr>
              <w:spacing w:after="0"/>
              <w:rPr>
                <w:sz w:val="20"/>
                <w:szCs w:val="20"/>
                <w:color w:val="auto"/>
              </w:rPr>
            </w:pPr>
            <w:r>
              <w:rPr>
                <w:rFonts w:ascii="Arial" w:cs="Arial" w:eastAsia="Arial" w:hAnsi="Arial"/>
                <w:sz w:val="20"/>
                <w:szCs w:val="20"/>
                <w:b w:val="1"/>
                <w:bCs w:val="1"/>
                <w:color w:val="0071CE"/>
              </w:rPr>
              <w:t>Executive Compensation Tables</w:t>
            </w:r>
          </w:p>
        </w:tc>
        <w:tc>
          <w:tcPr>
            <w:tcW w:w="740" w:type="dxa"/>
            <w:vAlign w:val="bottom"/>
          </w:tcPr>
          <w:p>
            <w:pPr>
              <w:spacing w:after="0"/>
              <w:rPr>
                <w:sz w:val="21"/>
                <w:szCs w:val="21"/>
                <w:color w:val="auto"/>
              </w:rPr>
            </w:pPr>
          </w:p>
        </w:tc>
      </w:tr>
      <w:tr>
        <w:trPr>
          <w:trHeight w:val="209"/>
        </w:trPr>
        <w:tc>
          <w:tcPr>
            <w:tcW w:w="4680" w:type="dxa"/>
            <w:vAlign w:val="bottom"/>
            <w:gridSpan w:val="8"/>
          </w:tcPr>
          <w:p>
            <w:pPr>
              <w:spacing w:after="0" w:line="208" w:lineRule="exact"/>
              <w:rPr>
                <w:sz w:val="20"/>
                <w:szCs w:val="20"/>
                <w:color w:val="auto"/>
              </w:rPr>
            </w:pPr>
            <w:r>
              <w:rPr>
                <w:rFonts w:ascii="Arial" w:cs="Arial" w:eastAsia="Arial" w:hAnsi="Arial"/>
                <w:sz w:val="20"/>
                <w:szCs w:val="20"/>
                <w:color w:val="0000EE"/>
              </w:rPr>
              <w:t>Our Company Performance</w:t>
            </w:r>
          </w:p>
        </w:tc>
        <w:tc>
          <w:tcPr>
            <w:tcW w:w="880" w:type="dxa"/>
            <w:vAlign w:val="bottom"/>
          </w:tcPr>
          <w:p>
            <w:pPr>
              <w:jc w:val="right"/>
              <w:ind w:right="302"/>
              <w:spacing w:after="0" w:line="208" w:lineRule="exact"/>
              <w:rPr>
                <w:sz w:val="20"/>
                <w:szCs w:val="20"/>
                <w:color w:val="auto"/>
              </w:rPr>
            </w:pPr>
            <w:r>
              <w:rPr>
                <w:rFonts w:ascii="Arial" w:cs="Arial" w:eastAsia="Arial" w:hAnsi="Arial"/>
                <w:sz w:val="20"/>
                <w:szCs w:val="20"/>
                <w:color w:val="3E3935"/>
              </w:rPr>
              <w:t>47</w:t>
            </w:r>
          </w:p>
        </w:tc>
        <w:tc>
          <w:tcPr>
            <w:tcW w:w="4520" w:type="dxa"/>
            <w:vAlign w:val="bottom"/>
            <w:gridSpan w:val="9"/>
          </w:tcPr>
          <w:p>
            <w:pPr>
              <w:spacing w:after="0" w:line="208" w:lineRule="exact"/>
              <w:rPr>
                <w:sz w:val="20"/>
                <w:szCs w:val="20"/>
                <w:color w:val="auto"/>
              </w:rPr>
            </w:pPr>
            <w:r>
              <w:rPr>
                <w:rFonts w:ascii="Arial" w:cs="Arial" w:eastAsia="Arial" w:hAnsi="Arial"/>
                <w:sz w:val="20"/>
                <w:szCs w:val="20"/>
                <w:color w:val="0000EE"/>
              </w:rPr>
              <w:t>Summary Compensation Table</w:t>
            </w:r>
          </w:p>
        </w:tc>
        <w:tc>
          <w:tcPr>
            <w:tcW w:w="740" w:type="dxa"/>
            <w:vAlign w:val="bottom"/>
          </w:tcPr>
          <w:p>
            <w:pPr>
              <w:jc w:val="right"/>
              <w:spacing w:after="0" w:line="208" w:lineRule="exact"/>
              <w:rPr>
                <w:sz w:val="20"/>
                <w:szCs w:val="20"/>
                <w:color w:val="auto"/>
              </w:rPr>
            </w:pPr>
            <w:r>
              <w:rPr>
                <w:rFonts w:ascii="Arial" w:cs="Arial" w:eastAsia="Arial" w:hAnsi="Arial"/>
                <w:sz w:val="20"/>
                <w:szCs w:val="20"/>
                <w:color w:val="3E3935"/>
              </w:rPr>
              <w:t>70</w:t>
            </w:r>
          </w:p>
        </w:tc>
      </w:tr>
      <w:tr>
        <w:trPr>
          <w:trHeight w:val="221"/>
        </w:trPr>
        <w:tc>
          <w:tcPr>
            <w:tcW w:w="2380" w:type="dxa"/>
            <w:vAlign w:val="bottom"/>
            <w:tcBorders>
              <w:top w:val="single" w:sz="8" w:color="0000EE"/>
            </w:tcBorders>
            <w:gridSpan w:val="4"/>
          </w:tcPr>
          <w:p>
            <w:pPr>
              <w:spacing w:after="0" w:line="221" w:lineRule="exact"/>
              <w:rPr>
                <w:sz w:val="20"/>
                <w:szCs w:val="20"/>
                <w:color w:val="auto"/>
              </w:rPr>
            </w:pPr>
            <w:r>
              <w:rPr>
                <w:rFonts w:ascii="Arial" w:cs="Arial" w:eastAsia="Arial" w:hAnsi="Arial"/>
                <w:sz w:val="20"/>
                <w:szCs w:val="20"/>
                <w:color w:val="0000EE"/>
              </w:rPr>
              <w:t>Compensation Overview</w:t>
            </w:r>
          </w:p>
        </w:tc>
        <w:tc>
          <w:tcPr>
            <w:tcW w:w="2300" w:type="dxa"/>
            <w:vAlign w:val="bottom"/>
            <w:gridSpan w:val="4"/>
          </w:tcPr>
          <w:p>
            <w:pPr>
              <w:spacing w:after="0"/>
              <w:rPr>
                <w:sz w:val="19"/>
                <w:szCs w:val="19"/>
                <w:color w:val="auto"/>
              </w:rPr>
            </w:pP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49</w:t>
            </w:r>
          </w:p>
        </w:tc>
        <w:tc>
          <w:tcPr>
            <w:tcW w:w="2680" w:type="dxa"/>
            <w:vAlign w:val="bottom"/>
            <w:tcBorders>
              <w:top w:val="single" w:sz="8" w:color="0000EE"/>
            </w:tcBorders>
            <w:gridSpan w:val="4"/>
          </w:tcPr>
          <w:p>
            <w:pPr>
              <w:spacing w:after="0" w:line="221" w:lineRule="exact"/>
              <w:rPr>
                <w:sz w:val="20"/>
                <w:szCs w:val="20"/>
                <w:color w:val="auto"/>
              </w:rPr>
            </w:pPr>
            <w:r>
              <w:rPr>
                <w:rFonts w:ascii="Arial" w:cs="Arial" w:eastAsia="Arial" w:hAnsi="Arial"/>
                <w:sz w:val="20"/>
                <w:szCs w:val="20"/>
                <w:color w:val="0000EE"/>
              </w:rPr>
              <w:t>Grants of Plan-Based Awards</w:t>
            </w:r>
          </w:p>
        </w:tc>
        <w:tc>
          <w:tcPr>
            <w:tcW w:w="1840" w:type="dxa"/>
            <w:vAlign w:val="bottom"/>
            <w:gridSpan w:val="5"/>
          </w:tcPr>
          <w:p>
            <w:pPr>
              <w:spacing w:after="0"/>
              <w:rPr>
                <w:sz w:val="19"/>
                <w:szCs w:val="19"/>
                <w:color w:val="auto"/>
              </w:rPr>
            </w:pP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73</w:t>
            </w:r>
          </w:p>
        </w:tc>
      </w:tr>
      <w:tr>
        <w:trPr>
          <w:trHeight w:val="20"/>
        </w:trPr>
        <w:tc>
          <w:tcPr>
            <w:tcW w:w="2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1"/>
        </w:trPr>
        <w:tc>
          <w:tcPr>
            <w:tcW w:w="2160" w:type="dxa"/>
            <w:vAlign w:val="bottom"/>
            <w:gridSpan w:val="3"/>
          </w:tcPr>
          <w:p>
            <w:pPr>
              <w:spacing w:after="0" w:line="221" w:lineRule="exact"/>
              <w:rPr>
                <w:sz w:val="20"/>
                <w:szCs w:val="20"/>
                <w:color w:val="auto"/>
              </w:rPr>
            </w:pPr>
            <w:r>
              <w:rPr>
                <w:rFonts w:ascii="Arial" w:cs="Arial" w:eastAsia="Arial" w:hAnsi="Arial"/>
                <w:sz w:val="20"/>
                <w:szCs w:val="20"/>
                <w:color w:val="0000EE"/>
                <w:w w:val="96"/>
              </w:rPr>
              <w:t>Compensation Principles</w:t>
            </w:r>
          </w:p>
        </w:tc>
        <w:tc>
          <w:tcPr>
            <w:tcW w:w="2520" w:type="dxa"/>
            <w:vAlign w:val="bottom"/>
            <w:gridSpan w:val="5"/>
          </w:tcPr>
          <w:p>
            <w:pPr>
              <w:spacing w:after="0"/>
              <w:rPr>
                <w:sz w:val="19"/>
                <w:szCs w:val="19"/>
                <w:color w:val="auto"/>
              </w:rPr>
            </w:pP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55</w:t>
            </w:r>
          </w:p>
        </w:tc>
        <w:tc>
          <w:tcPr>
            <w:tcW w:w="4520" w:type="dxa"/>
            <w:vAlign w:val="bottom"/>
            <w:gridSpan w:val="9"/>
          </w:tcPr>
          <w:p>
            <w:pPr>
              <w:spacing w:after="0" w:line="221" w:lineRule="exact"/>
              <w:rPr>
                <w:sz w:val="20"/>
                <w:szCs w:val="20"/>
                <w:color w:val="auto"/>
              </w:rPr>
            </w:pPr>
            <w:r>
              <w:rPr>
                <w:rFonts w:ascii="Arial" w:cs="Arial" w:eastAsia="Arial" w:hAnsi="Arial"/>
                <w:sz w:val="20"/>
                <w:szCs w:val="20"/>
                <w:color w:val="0000EE"/>
              </w:rPr>
              <w:t>Outstanding Equity Awards at Fiscal Year-End</w:t>
            </w: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74</w:t>
            </w:r>
          </w:p>
        </w:tc>
      </w:tr>
      <w:tr>
        <w:trPr>
          <w:trHeight w:val="221"/>
        </w:trPr>
        <w:tc>
          <w:tcPr>
            <w:tcW w:w="2160" w:type="dxa"/>
            <w:vAlign w:val="bottom"/>
            <w:tcBorders>
              <w:top w:val="single" w:sz="8" w:color="0000EE"/>
            </w:tcBorders>
            <w:gridSpan w:val="3"/>
          </w:tcPr>
          <w:p>
            <w:pPr>
              <w:spacing w:after="0" w:line="221" w:lineRule="exact"/>
              <w:rPr>
                <w:sz w:val="20"/>
                <w:szCs w:val="20"/>
                <w:color w:val="auto"/>
              </w:rPr>
            </w:pPr>
            <w:r>
              <w:rPr>
                <w:rFonts w:ascii="Arial" w:cs="Arial" w:eastAsia="Arial" w:hAnsi="Arial"/>
                <w:sz w:val="20"/>
                <w:szCs w:val="20"/>
                <w:color w:val="0000EE"/>
                <w:w w:val="98"/>
              </w:rPr>
              <w:t>Compensation Elements</w:t>
            </w:r>
          </w:p>
        </w:tc>
        <w:tc>
          <w:tcPr>
            <w:tcW w:w="2520" w:type="dxa"/>
            <w:vAlign w:val="bottom"/>
            <w:gridSpan w:val="5"/>
          </w:tcPr>
          <w:p>
            <w:pPr>
              <w:spacing w:after="0"/>
              <w:rPr>
                <w:sz w:val="19"/>
                <w:szCs w:val="19"/>
                <w:color w:val="auto"/>
              </w:rPr>
            </w:pP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55</w:t>
            </w:r>
          </w:p>
        </w:tc>
        <w:tc>
          <w:tcPr>
            <w:tcW w:w="4000" w:type="dxa"/>
            <w:vAlign w:val="bottom"/>
            <w:tcBorders>
              <w:top w:val="single" w:sz="8" w:color="0000EE"/>
            </w:tcBorders>
            <w:gridSpan w:val="8"/>
          </w:tcPr>
          <w:p>
            <w:pPr>
              <w:spacing w:after="0" w:line="221" w:lineRule="exact"/>
              <w:rPr>
                <w:sz w:val="20"/>
                <w:szCs w:val="20"/>
                <w:color w:val="auto"/>
              </w:rPr>
            </w:pPr>
            <w:r>
              <w:rPr>
                <w:rFonts w:ascii="Arial" w:cs="Arial" w:eastAsia="Arial" w:hAnsi="Arial"/>
                <w:sz w:val="20"/>
                <w:szCs w:val="20"/>
                <w:color w:val="0000EE"/>
              </w:rPr>
              <w:t>Option Exercises and Stock Vested</w:t>
            </w:r>
          </w:p>
        </w:tc>
        <w:tc>
          <w:tcPr>
            <w:tcW w:w="520" w:type="dxa"/>
            <w:vAlign w:val="bottom"/>
          </w:tcPr>
          <w:p>
            <w:pPr>
              <w:spacing w:after="0"/>
              <w:rPr>
                <w:sz w:val="19"/>
                <w:szCs w:val="19"/>
                <w:color w:val="auto"/>
              </w:rPr>
            </w:pP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75</w:t>
            </w:r>
          </w:p>
        </w:tc>
      </w:tr>
      <w:tr>
        <w:trPr>
          <w:trHeight w:val="221"/>
        </w:trPr>
        <w:tc>
          <w:tcPr>
            <w:tcW w:w="2120" w:type="dxa"/>
            <w:vAlign w:val="bottom"/>
            <w:tcBorders>
              <w:top w:val="single" w:sz="8" w:color="0000EE"/>
            </w:tcBorders>
            <w:gridSpan w:val="2"/>
          </w:tcPr>
          <w:p>
            <w:pPr>
              <w:spacing w:after="0" w:line="221" w:lineRule="exact"/>
              <w:rPr>
                <w:sz w:val="20"/>
                <w:szCs w:val="20"/>
                <w:color w:val="auto"/>
              </w:rPr>
            </w:pPr>
            <w:r>
              <w:rPr>
                <w:rFonts w:ascii="Arial" w:cs="Arial" w:eastAsia="Arial" w:hAnsi="Arial"/>
                <w:sz w:val="20"/>
                <w:szCs w:val="20"/>
                <w:color w:val="0000EE"/>
              </w:rPr>
              <w:t>Performance Measures</w:t>
            </w:r>
          </w:p>
        </w:tc>
        <w:tc>
          <w:tcPr>
            <w:tcW w:w="2560" w:type="dxa"/>
            <w:vAlign w:val="bottom"/>
            <w:gridSpan w:val="6"/>
          </w:tcPr>
          <w:p>
            <w:pPr>
              <w:spacing w:after="0"/>
              <w:rPr>
                <w:sz w:val="19"/>
                <w:szCs w:val="19"/>
                <w:color w:val="auto"/>
              </w:rPr>
            </w:pP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57</w:t>
            </w:r>
          </w:p>
        </w:tc>
        <w:tc>
          <w:tcPr>
            <w:tcW w:w="3060" w:type="dxa"/>
            <w:vAlign w:val="bottom"/>
            <w:tcBorders>
              <w:top w:val="single" w:sz="8" w:color="0000EE"/>
            </w:tcBorders>
            <w:gridSpan w:val="5"/>
          </w:tcPr>
          <w:p>
            <w:pPr>
              <w:spacing w:after="0" w:line="221" w:lineRule="exact"/>
              <w:rPr>
                <w:sz w:val="20"/>
                <w:szCs w:val="20"/>
                <w:color w:val="auto"/>
              </w:rPr>
            </w:pPr>
            <w:r>
              <w:rPr>
                <w:rFonts w:ascii="Arial" w:cs="Arial" w:eastAsia="Arial" w:hAnsi="Arial"/>
                <w:sz w:val="20"/>
                <w:szCs w:val="20"/>
                <w:color w:val="0000EE"/>
              </w:rPr>
              <w:t>Pension Benefits</w:t>
            </w:r>
          </w:p>
        </w:tc>
        <w:tc>
          <w:tcPr>
            <w:tcW w:w="1460" w:type="dxa"/>
            <w:vAlign w:val="bottom"/>
            <w:gridSpan w:val="4"/>
          </w:tcPr>
          <w:p>
            <w:pPr>
              <w:spacing w:after="0"/>
              <w:rPr>
                <w:sz w:val="19"/>
                <w:szCs w:val="19"/>
                <w:color w:val="auto"/>
              </w:rPr>
            </w:pP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75</w:t>
            </w:r>
          </w:p>
        </w:tc>
      </w:tr>
      <w:tr>
        <w:trPr>
          <w:trHeight w:val="20"/>
        </w:trPr>
        <w:tc>
          <w:tcPr>
            <w:tcW w:w="202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1"/>
        </w:trPr>
        <w:tc>
          <w:tcPr>
            <w:tcW w:w="4680" w:type="dxa"/>
            <w:vAlign w:val="bottom"/>
            <w:gridSpan w:val="8"/>
          </w:tcPr>
          <w:p>
            <w:pPr>
              <w:spacing w:after="0" w:line="221" w:lineRule="exact"/>
              <w:rPr>
                <w:sz w:val="20"/>
                <w:szCs w:val="20"/>
                <w:color w:val="auto"/>
              </w:rPr>
            </w:pPr>
            <w:r>
              <w:rPr>
                <w:rFonts w:ascii="Arial" w:cs="Arial" w:eastAsia="Arial" w:hAnsi="Arial"/>
                <w:sz w:val="20"/>
                <w:szCs w:val="20"/>
                <w:color w:val="0000EE"/>
              </w:rPr>
              <w:t>Performance Results and Compensation Decisions</w:t>
            </w: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60</w:t>
            </w:r>
          </w:p>
        </w:tc>
        <w:tc>
          <w:tcPr>
            <w:tcW w:w="4520" w:type="dxa"/>
            <w:vAlign w:val="bottom"/>
            <w:gridSpan w:val="9"/>
          </w:tcPr>
          <w:p>
            <w:pPr>
              <w:spacing w:after="0" w:line="221" w:lineRule="exact"/>
              <w:rPr>
                <w:sz w:val="20"/>
                <w:szCs w:val="20"/>
                <w:color w:val="auto"/>
              </w:rPr>
            </w:pPr>
            <w:r>
              <w:rPr>
                <w:rFonts w:ascii="Arial" w:cs="Arial" w:eastAsia="Arial" w:hAnsi="Arial"/>
                <w:sz w:val="20"/>
                <w:szCs w:val="20"/>
                <w:color w:val="0000EE"/>
              </w:rPr>
              <w:t>Nonqualified Deferred Compensation Plan</w:t>
            </w: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77</w:t>
            </w:r>
          </w:p>
        </w:tc>
      </w:tr>
      <w:tr>
        <w:trPr>
          <w:trHeight w:val="221"/>
        </w:trPr>
        <w:tc>
          <w:tcPr>
            <w:tcW w:w="4420" w:type="dxa"/>
            <w:vAlign w:val="bottom"/>
            <w:tcBorders>
              <w:top w:val="single" w:sz="8" w:color="0000EE"/>
            </w:tcBorders>
            <w:gridSpan w:val="7"/>
          </w:tcPr>
          <w:p>
            <w:pPr>
              <w:spacing w:after="0" w:line="221" w:lineRule="exact"/>
              <w:rPr>
                <w:sz w:val="20"/>
                <w:szCs w:val="20"/>
                <w:color w:val="auto"/>
              </w:rPr>
            </w:pPr>
            <w:r>
              <w:rPr>
                <w:rFonts w:ascii="Arial" w:cs="Arial" w:eastAsia="Arial" w:hAnsi="Arial"/>
                <w:sz w:val="20"/>
                <w:szCs w:val="20"/>
                <w:color w:val="0000EE"/>
                <w:w w:val="98"/>
              </w:rPr>
              <w:t>Compensation Policies and Governance Practices</w:t>
            </w:r>
          </w:p>
        </w:tc>
        <w:tc>
          <w:tcPr>
            <w:tcW w:w="260" w:type="dxa"/>
            <w:vAlign w:val="bottom"/>
          </w:tcPr>
          <w:p>
            <w:pPr>
              <w:spacing w:after="0"/>
              <w:rPr>
                <w:sz w:val="19"/>
                <w:szCs w:val="19"/>
                <w:color w:val="auto"/>
              </w:rPr>
            </w:pP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66</w:t>
            </w:r>
          </w:p>
        </w:tc>
        <w:tc>
          <w:tcPr>
            <w:tcW w:w="3680" w:type="dxa"/>
            <w:vAlign w:val="bottom"/>
            <w:tcBorders>
              <w:top w:val="single" w:sz="8" w:color="0000EE"/>
            </w:tcBorders>
            <w:gridSpan w:val="7"/>
          </w:tcPr>
          <w:p>
            <w:pPr>
              <w:spacing w:after="0" w:line="221" w:lineRule="exact"/>
              <w:rPr>
                <w:sz w:val="20"/>
                <w:szCs w:val="20"/>
                <w:color w:val="auto"/>
              </w:rPr>
            </w:pPr>
            <w:r>
              <w:rPr>
                <w:rFonts w:ascii="Arial" w:cs="Arial" w:eastAsia="Arial" w:hAnsi="Arial"/>
                <w:sz w:val="20"/>
                <w:szCs w:val="20"/>
                <w:color w:val="0000EE"/>
              </w:rPr>
              <w:t>Potential Payments Upon Termination</w:t>
            </w:r>
          </w:p>
        </w:tc>
        <w:tc>
          <w:tcPr>
            <w:tcW w:w="840" w:type="dxa"/>
            <w:vAlign w:val="bottom"/>
            <w:gridSpan w:val="2"/>
          </w:tcPr>
          <w:p>
            <w:pPr>
              <w:spacing w:after="0"/>
              <w:rPr>
                <w:sz w:val="19"/>
                <w:szCs w:val="19"/>
                <w:color w:val="auto"/>
              </w:rPr>
            </w:pP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78</w:t>
            </w:r>
          </w:p>
        </w:tc>
      </w:tr>
      <w:tr>
        <w:trPr>
          <w:trHeight w:val="221"/>
        </w:trPr>
        <w:tc>
          <w:tcPr>
            <w:tcW w:w="4340" w:type="dxa"/>
            <w:vAlign w:val="bottom"/>
            <w:tcBorders>
              <w:top w:val="single" w:sz="8" w:color="0000EE"/>
            </w:tcBorders>
            <w:gridSpan w:val="6"/>
          </w:tcPr>
          <w:p>
            <w:pPr>
              <w:spacing w:after="0" w:line="221" w:lineRule="exact"/>
              <w:rPr>
                <w:sz w:val="20"/>
                <w:szCs w:val="20"/>
                <w:color w:val="auto"/>
              </w:rPr>
            </w:pPr>
            <w:r>
              <w:rPr>
                <w:rFonts w:ascii="Arial" w:cs="Arial" w:eastAsia="Arial" w:hAnsi="Arial"/>
                <w:sz w:val="20"/>
                <w:szCs w:val="20"/>
                <w:color w:val="0000EE"/>
              </w:rPr>
              <w:t>Compensation Committee Report</w:t>
            </w:r>
          </w:p>
        </w:tc>
        <w:tc>
          <w:tcPr>
            <w:tcW w:w="340" w:type="dxa"/>
            <w:vAlign w:val="bottom"/>
            <w:gridSpan w:val="2"/>
          </w:tcPr>
          <w:p>
            <w:pPr>
              <w:spacing w:after="0"/>
              <w:rPr>
                <w:sz w:val="19"/>
                <w:szCs w:val="19"/>
                <w:color w:val="auto"/>
              </w:rPr>
            </w:pPr>
          </w:p>
        </w:tc>
        <w:tc>
          <w:tcPr>
            <w:tcW w:w="880" w:type="dxa"/>
            <w:vAlign w:val="bottom"/>
          </w:tcPr>
          <w:p>
            <w:pPr>
              <w:jc w:val="right"/>
              <w:ind w:right="302"/>
              <w:spacing w:after="0" w:line="221" w:lineRule="exact"/>
              <w:rPr>
                <w:sz w:val="20"/>
                <w:szCs w:val="20"/>
                <w:color w:val="auto"/>
              </w:rPr>
            </w:pPr>
            <w:r>
              <w:rPr>
                <w:rFonts w:ascii="Arial" w:cs="Arial" w:eastAsia="Arial" w:hAnsi="Arial"/>
                <w:sz w:val="20"/>
                <w:szCs w:val="20"/>
                <w:color w:val="3E3935"/>
              </w:rPr>
              <w:t>69</w:t>
            </w:r>
          </w:p>
        </w:tc>
        <w:tc>
          <w:tcPr>
            <w:tcW w:w="3340" w:type="dxa"/>
            <w:vAlign w:val="bottom"/>
            <w:tcBorders>
              <w:top w:val="single" w:sz="8" w:color="0000EE"/>
            </w:tcBorders>
            <w:gridSpan w:val="6"/>
          </w:tcPr>
          <w:p>
            <w:pPr>
              <w:spacing w:after="0" w:line="221" w:lineRule="exact"/>
              <w:rPr>
                <w:sz w:val="20"/>
                <w:szCs w:val="20"/>
                <w:color w:val="auto"/>
              </w:rPr>
            </w:pPr>
            <w:r>
              <w:rPr>
                <w:rFonts w:ascii="Arial" w:cs="Arial" w:eastAsia="Arial" w:hAnsi="Arial"/>
                <w:sz w:val="20"/>
                <w:szCs w:val="20"/>
                <w:color w:val="0000EE"/>
              </w:rPr>
              <w:t>CEO Pay Ratio</w:t>
            </w:r>
          </w:p>
        </w:tc>
        <w:tc>
          <w:tcPr>
            <w:tcW w:w="1180" w:type="dxa"/>
            <w:vAlign w:val="bottom"/>
            <w:gridSpan w:val="3"/>
          </w:tcPr>
          <w:p>
            <w:pPr>
              <w:spacing w:after="0"/>
              <w:rPr>
                <w:sz w:val="19"/>
                <w:szCs w:val="19"/>
                <w:color w:val="auto"/>
              </w:rPr>
            </w:pP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81</w:t>
            </w:r>
          </w:p>
        </w:tc>
      </w:tr>
      <w:tr>
        <w:trPr>
          <w:trHeight w:val="20"/>
        </w:trPr>
        <w:tc>
          <w:tcPr>
            <w:tcW w:w="2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1"/>
        </w:trPr>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20" w:type="dxa"/>
            <w:vAlign w:val="bottom"/>
            <w:gridSpan w:val="9"/>
          </w:tcPr>
          <w:p>
            <w:pPr>
              <w:spacing w:after="0" w:line="221" w:lineRule="exact"/>
              <w:rPr>
                <w:sz w:val="20"/>
                <w:szCs w:val="20"/>
                <w:color w:val="auto"/>
              </w:rPr>
            </w:pPr>
            <w:r>
              <w:rPr>
                <w:rFonts w:ascii="Arial" w:cs="Arial" w:eastAsia="Arial" w:hAnsi="Arial"/>
                <w:sz w:val="20"/>
                <w:szCs w:val="20"/>
                <w:color w:val="0000EE"/>
              </w:rPr>
              <w:t>Equity Compensation Plan Information</w:t>
            </w: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3E3935"/>
              </w:rPr>
              <w:t>82</w:t>
            </w:r>
          </w:p>
        </w:tc>
      </w:tr>
      <w:tr>
        <w:trPr>
          <w:trHeight w:val="20"/>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314325</wp:posOffset>
            </wp:positionV>
            <wp:extent cx="5732145" cy="2120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3214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Arial" w:cs="Arial" w:eastAsia="Arial" w:hAnsi="Arial"/>
                <w:sz w:val="20"/>
                <w:szCs w:val="20"/>
                <w:color w:val="3E3935"/>
              </w:rPr>
              <w:t>AAFCF</w:t>
            </w:r>
          </w:p>
        </w:tc>
        <w:tc>
          <w:tcPr>
            <w:tcW w:w="4380" w:type="dxa"/>
            <w:vAlign w:val="bottom"/>
            <w:gridSpan w:val="2"/>
          </w:tcPr>
          <w:p>
            <w:pPr>
              <w:ind w:left="60"/>
              <w:spacing w:after="0"/>
              <w:rPr>
                <w:sz w:val="20"/>
                <w:szCs w:val="20"/>
                <w:color w:val="auto"/>
              </w:rPr>
            </w:pPr>
            <w:r>
              <w:rPr>
                <w:rFonts w:ascii="Arial" w:cs="Arial" w:eastAsia="Arial" w:hAnsi="Arial"/>
                <w:sz w:val="20"/>
                <w:szCs w:val="20"/>
                <w:color w:val="3E3935"/>
              </w:rPr>
              <w:t>—  Adjusted Automotive Free Cash Flow</w:t>
            </w:r>
          </w:p>
        </w:tc>
        <w:tc>
          <w:tcPr>
            <w:tcW w:w="1160" w:type="dxa"/>
            <w:vAlign w:val="bottom"/>
          </w:tcPr>
          <w:p>
            <w:pPr>
              <w:ind w:left="460"/>
              <w:spacing w:after="0"/>
              <w:rPr>
                <w:sz w:val="20"/>
                <w:szCs w:val="20"/>
                <w:color w:val="auto"/>
              </w:rPr>
            </w:pPr>
            <w:r>
              <w:rPr>
                <w:rFonts w:ascii="Arial" w:cs="Arial" w:eastAsia="Arial" w:hAnsi="Arial"/>
                <w:sz w:val="20"/>
                <w:szCs w:val="20"/>
                <w:color w:val="3E3935"/>
              </w:rPr>
              <w:t>GMNA</w:t>
            </w:r>
          </w:p>
        </w:tc>
        <w:tc>
          <w:tcPr>
            <w:tcW w:w="3460" w:type="dxa"/>
            <w:vAlign w:val="bottom"/>
            <w:gridSpan w:val="2"/>
          </w:tcPr>
          <w:p>
            <w:pPr>
              <w:ind w:left="120"/>
              <w:spacing w:after="0"/>
              <w:rPr>
                <w:sz w:val="20"/>
                <w:szCs w:val="20"/>
                <w:color w:val="auto"/>
              </w:rPr>
            </w:pPr>
            <w:r>
              <w:rPr>
                <w:rFonts w:ascii="Arial" w:cs="Arial" w:eastAsia="Arial" w:hAnsi="Arial"/>
                <w:sz w:val="20"/>
                <w:szCs w:val="20"/>
                <w:color w:val="3E3935"/>
              </w:rPr>
              <w:t>—  General Motors North America</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AV</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Autonomous Vehicle</w:t>
            </w:r>
          </w:p>
        </w:tc>
        <w:tc>
          <w:tcPr>
            <w:tcW w:w="1160" w:type="dxa"/>
            <w:vAlign w:val="bottom"/>
          </w:tcPr>
          <w:p>
            <w:pPr>
              <w:ind w:left="460"/>
              <w:spacing w:after="0"/>
              <w:rPr>
                <w:sz w:val="20"/>
                <w:szCs w:val="20"/>
                <w:color w:val="auto"/>
              </w:rPr>
            </w:pPr>
            <w:r>
              <w:rPr>
                <w:rFonts w:ascii="Arial" w:cs="Arial" w:eastAsia="Arial" w:hAnsi="Arial"/>
                <w:sz w:val="20"/>
                <w:szCs w:val="20"/>
                <w:color w:val="3E3935"/>
              </w:rPr>
              <w:t>LTIP</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Long-Term Incentive Plan</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DB</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Defined Benefit</w:t>
            </w:r>
          </w:p>
        </w:tc>
        <w:tc>
          <w:tcPr>
            <w:tcW w:w="1160" w:type="dxa"/>
            <w:vAlign w:val="bottom"/>
          </w:tcPr>
          <w:p>
            <w:pPr>
              <w:ind w:left="460"/>
              <w:spacing w:after="0"/>
              <w:rPr>
                <w:sz w:val="20"/>
                <w:szCs w:val="20"/>
                <w:color w:val="auto"/>
              </w:rPr>
            </w:pPr>
            <w:r>
              <w:rPr>
                <w:rFonts w:ascii="Arial" w:cs="Arial" w:eastAsia="Arial" w:hAnsi="Arial"/>
                <w:sz w:val="20"/>
                <w:szCs w:val="20"/>
                <w:color w:val="3E3935"/>
              </w:rPr>
              <w:t>NEO</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Named Executive Officer</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DC</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Defined Contribution</w:t>
            </w:r>
          </w:p>
        </w:tc>
        <w:tc>
          <w:tcPr>
            <w:tcW w:w="1160" w:type="dxa"/>
            <w:vAlign w:val="bottom"/>
          </w:tcPr>
          <w:p>
            <w:pPr>
              <w:ind w:left="460"/>
              <w:spacing w:after="0"/>
              <w:rPr>
                <w:sz w:val="20"/>
                <w:szCs w:val="20"/>
                <w:color w:val="auto"/>
              </w:rPr>
            </w:pPr>
            <w:r>
              <w:rPr>
                <w:rFonts w:ascii="Arial" w:cs="Arial" w:eastAsia="Arial" w:hAnsi="Arial"/>
                <w:sz w:val="20"/>
                <w:szCs w:val="20"/>
                <w:color w:val="3E3935"/>
              </w:rPr>
              <w:t>NQ</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Nonqualified</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EBIT</w:t>
            </w:r>
          </w:p>
        </w:tc>
        <w:tc>
          <w:tcPr>
            <w:tcW w:w="4380" w:type="dxa"/>
            <w:vAlign w:val="bottom"/>
            <w:gridSpan w:val="2"/>
          </w:tcPr>
          <w:p>
            <w:pPr>
              <w:ind w:left="60"/>
              <w:spacing w:after="0"/>
              <w:rPr>
                <w:sz w:val="20"/>
                <w:szCs w:val="20"/>
                <w:color w:val="auto"/>
              </w:rPr>
            </w:pPr>
            <w:r>
              <w:rPr>
                <w:rFonts w:ascii="Arial" w:cs="Arial" w:eastAsia="Arial" w:hAnsi="Arial"/>
                <w:sz w:val="20"/>
                <w:szCs w:val="20"/>
                <w:color w:val="3E3935"/>
              </w:rPr>
              <w:t>—  Earnings Before Interest and Taxes</w:t>
            </w:r>
          </w:p>
        </w:tc>
        <w:tc>
          <w:tcPr>
            <w:tcW w:w="1160" w:type="dxa"/>
            <w:vAlign w:val="bottom"/>
          </w:tcPr>
          <w:p>
            <w:pPr>
              <w:ind w:left="460"/>
              <w:spacing w:after="0"/>
              <w:rPr>
                <w:sz w:val="20"/>
                <w:szCs w:val="20"/>
                <w:color w:val="auto"/>
              </w:rPr>
            </w:pPr>
            <w:r>
              <w:rPr>
                <w:rFonts w:ascii="Arial" w:cs="Arial" w:eastAsia="Arial" w:hAnsi="Arial"/>
                <w:sz w:val="20"/>
                <w:szCs w:val="20"/>
                <w:color w:val="3E3935"/>
              </w:rPr>
              <w:t>OEM</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w w:val="99"/>
              </w:rPr>
              <w:t>Original Equipment Manufacturer</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EPS</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Earnings Per Share</w:t>
            </w:r>
          </w:p>
        </w:tc>
        <w:tc>
          <w:tcPr>
            <w:tcW w:w="1160" w:type="dxa"/>
            <w:vAlign w:val="bottom"/>
          </w:tcPr>
          <w:p>
            <w:pPr>
              <w:ind w:left="460"/>
              <w:spacing w:after="0"/>
              <w:rPr>
                <w:sz w:val="20"/>
                <w:szCs w:val="20"/>
                <w:color w:val="auto"/>
              </w:rPr>
            </w:pPr>
            <w:r>
              <w:rPr>
                <w:rFonts w:ascii="Arial" w:cs="Arial" w:eastAsia="Arial" w:hAnsi="Arial"/>
                <w:sz w:val="20"/>
                <w:szCs w:val="20"/>
                <w:color w:val="3E3935"/>
              </w:rPr>
              <w:t>PSU</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Performance Share Unit</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ESG</w:t>
            </w:r>
          </w:p>
        </w:tc>
        <w:tc>
          <w:tcPr>
            <w:tcW w:w="4380" w:type="dxa"/>
            <w:vAlign w:val="bottom"/>
            <w:gridSpan w:val="2"/>
          </w:tcPr>
          <w:p>
            <w:pPr>
              <w:ind w:left="60"/>
              <w:spacing w:after="0"/>
              <w:rPr>
                <w:sz w:val="20"/>
                <w:szCs w:val="20"/>
                <w:color w:val="auto"/>
              </w:rPr>
            </w:pPr>
            <w:r>
              <w:rPr>
                <w:rFonts w:ascii="Arial" w:cs="Arial" w:eastAsia="Arial" w:hAnsi="Arial"/>
                <w:sz w:val="20"/>
                <w:szCs w:val="20"/>
                <w:color w:val="3E3935"/>
              </w:rPr>
              <w:t>—  Environmental, Social, and Governance</w:t>
            </w:r>
          </w:p>
        </w:tc>
        <w:tc>
          <w:tcPr>
            <w:tcW w:w="1160" w:type="dxa"/>
            <w:vAlign w:val="bottom"/>
          </w:tcPr>
          <w:p>
            <w:pPr>
              <w:ind w:left="460"/>
              <w:spacing w:after="0"/>
              <w:rPr>
                <w:sz w:val="20"/>
                <w:szCs w:val="20"/>
                <w:color w:val="auto"/>
              </w:rPr>
            </w:pPr>
            <w:r>
              <w:rPr>
                <w:rFonts w:ascii="Arial" w:cs="Arial" w:eastAsia="Arial" w:hAnsi="Arial"/>
                <w:sz w:val="20"/>
                <w:szCs w:val="20"/>
                <w:color w:val="3E3935"/>
              </w:rPr>
              <w:t>ROIC</w:t>
            </w:r>
          </w:p>
        </w:tc>
        <w:tc>
          <w:tcPr>
            <w:tcW w:w="3460" w:type="dxa"/>
            <w:vAlign w:val="bottom"/>
            <w:gridSpan w:val="2"/>
          </w:tcPr>
          <w:p>
            <w:pPr>
              <w:ind w:left="120"/>
              <w:spacing w:after="0"/>
              <w:rPr>
                <w:sz w:val="20"/>
                <w:szCs w:val="20"/>
                <w:color w:val="auto"/>
              </w:rPr>
            </w:pPr>
            <w:r>
              <w:rPr>
                <w:rFonts w:ascii="Arial" w:cs="Arial" w:eastAsia="Arial" w:hAnsi="Arial"/>
                <w:sz w:val="20"/>
                <w:szCs w:val="20"/>
                <w:color w:val="3E3935"/>
              </w:rPr>
              <w:t>—  Return on Invested Capital</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EUV</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Electric Utility Vehicle</w:t>
            </w:r>
          </w:p>
        </w:tc>
        <w:tc>
          <w:tcPr>
            <w:tcW w:w="1160" w:type="dxa"/>
            <w:vAlign w:val="bottom"/>
          </w:tcPr>
          <w:p>
            <w:pPr>
              <w:ind w:left="460"/>
              <w:spacing w:after="0"/>
              <w:rPr>
                <w:sz w:val="20"/>
                <w:szCs w:val="20"/>
                <w:color w:val="auto"/>
              </w:rPr>
            </w:pPr>
            <w:r>
              <w:rPr>
                <w:rFonts w:ascii="Arial" w:cs="Arial" w:eastAsia="Arial" w:hAnsi="Arial"/>
                <w:sz w:val="20"/>
                <w:szCs w:val="20"/>
                <w:color w:val="3E3935"/>
              </w:rPr>
              <w:t>RSU</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Restricted Stock Unit</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EV</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Electric Vehicle</w:t>
            </w:r>
          </w:p>
        </w:tc>
        <w:tc>
          <w:tcPr>
            <w:tcW w:w="1160" w:type="dxa"/>
            <w:vAlign w:val="bottom"/>
          </w:tcPr>
          <w:p>
            <w:pPr>
              <w:ind w:left="460"/>
              <w:spacing w:after="0"/>
              <w:rPr>
                <w:sz w:val="20"/>
                <w:szCs w:val="20"/>
                <w:color w:val="auto"/>
              </w:rPr>
            </w:pPr>
            <w:r>
              <w:rPr>
                <w:rFonts w:ascii="Arial" w:cs="Arial" w:eastAsia="Arial" w:hAnsi="Arial"/>
                <w:sz w:val="20"/>
                <w:szCs w:val="20"/>
                <w:color w:val="3E3935"/>
              </w:rPr>
              <w:t>STIP</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Short-Term Incentive Plan</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GHG</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Greenhouse Gas</w:t>
            </w:r>
          </w:p>
        </w:tc>
        <w:tc>
          <w:tcPr>
            <w:tcW w:w="1160" w:type="dxa"/>
            <w:vAlign w:val="bottom"/>
          </w:tcPr>
          <w:p>
            <w:pPr>
              <w:ind w:left="460"/>
              <w:spacing w:after="0"/>
              <w:rPr>
                <w:sz w:val="20"/>
                <w:szCs w:val="20"/>
                <w:color w:val="auto"/>
              </w:rPr>
            </w:pPr>
            <w:r>
              <w:rPr>
                <w:rFonts w:ascii="Arial" w:cs="Arial" w:eastAsia="Arial" w:hAnsi="Arial"/>
                <w:sz w:val="20"/>
                <w:szCs w:val="20"/>
                <w:color w:val="3E3935"/>
              </w:rPr>
              <w:t>TSR</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rPr>
              <w:t>Total Shareholder Return</w:t>
            </w:r>
          </w:p>
        </w:tc>
      </w:tr>
      <w:tr>
        <w:trPr>
          <w:trHeight w:val="348"/>
        </w:trPr>
        <w:tc>
          <w:tcPr>
            <w:tcW w:w="720" w:type="dxa"/>
            <w:vAlign w:val="bottom"/>
          </w:tcPr>
          <w:p>
            <w:pPr>
              <w:spacing w:after="0"/>
              <w:rPr>
                <w:sz w:val="20"/>
                <w:szCs w:val="20"/>
                <w:color w:val="auto"/>
              </w:rPr>
            </w:pPr>
            <w:r>
              <w:rPr>
                <w:rFonts w:ascii="Arial" w:cs="Arial" w:eastAsia="Arial" w:hAnsi="Arial"/>
                <w:sz w:val="20"/>
                <w:szCs w:val="20"/>
                <w:color w:val="3E3935"/>
              </w:rPr>
              <w:t>GICS</w:t>
            </w:r>
          </w:p>
        </w:tc>
        <w:tc>
          <w:tcPr>
            <w:tcW w:w="360" w:type="dxa"/>
            <w:vAlign w:val="bottom"/>
          </w:tcPr>
          <w:p>
            <w:pPr>
              <w:ind w:left="60"/>
              <w:spacing w:after="0"/>
              <w:rPr>
                <w:sz w:val="20"/>
                <w:szCs w:val="20"/>
                <w:color w:val="auto"/>
              </w:rPr>
            </w:pPr>
            <w:r>
              <w:rPr>
                <w:rFonts w:ascii="Arial" w:cs="Arial" w:eastAsia="Arial" w:hAnsi="Arial"/>
                <w:sz w:val="20"/>
                <w:szCs w:val="20"/>
                <w:color w:val="3E3935"/>
              </w:rPr>
              <w:t>—</w:t>
            </w:r>
          </w:p>
        </w:tc>
        <w:tc>
          <w:tcPr>
            <w:tcW w:w="4020" w:type="dxa"/>
            <w:vAlign w:val="bottom"/>
          </w:tcPr>
          <w:p>
            <w:pPr>
              <w:ind w:left="80"/>
              <w:spacing w:after="0"/>
              <w:rPr>
                <w:sz w:val="20"/>
                <w:szCs w:val="20"/>
                <w:color w:val="auto"/>
              </w:rPr>
            </w:pPr>
            <w:r>
              <w:rPr>
                <w:rFonts w:ascii="Arial" w:cs="Arial" w:eastAsia="Arial" w:hAnsi="Arial"/>
                <w:sz w:val="20"/>
                <w:szCs w:val="20"/>
                <w:color w:val="3E3935"/>
              </w:rPr>
              <w:t>Global Industry Classification Standard</w:t>
            </w:r>
          </w:p>
        </w:tc>
        <w:tc>
          <w:tcPr>
            <w:tcW w:w="1160" w:type="dxa"/>
            <w:vAlign w:val="bottom"/>
          </w:tcPr>
          <w:p>
            <w:pPr>
              <w:ind w:left="460"/>
              <w:spacing w:after="0"/>
              <w:rPr>
                <w:sz w:val="20"/>
                <w:szCs w:val="20"/>
                <w:color w:val="auto"/>
              </w:rPr>
            </w:pPr>
            <w:r>
              <w:rPr>
                <w:rFonts w:ascii="Arial" w:cs="Arial" w:eastAsia="Arial" w:hAnsi="Arial"/>
                <w:sz w:val="20"/>
                <w:szCs w:val="20"/>
                <w:color w:val="3E3935"/>
              </w:rPr>
              <w:t>WACC</w:t>
            </w:r>
          </w:p>
        </w:tc>
        <w:tc>
          <w:tcPr>
            <w:tcW w:w="420" w:type="dxa"/>
            <w:vAlign w:val="bottom"/>
          </w:tcPr>
          <w:p>
            <w:pPr>
              <w:ind w:left="120"/>
              <w:spacing w:after="0"/>
              <w:rPr>
                <w:sz w:val="20"/>
                <w:szCs w:val="20"/>
                <w:color w:val="auto"/>
              </w:rPr>
            </w:pPr>
            <w:r>
              <w:rPr>
                <w:rFonts w:ascii="Arial" w:cs="Arial" w:eastAsia="Arial" w:hAnsi="Arial"/>
                <w:sz w:val="20"/>
                <w:szCs w:val="20"/>
                <w:color w:val="3E3935"/>
              </w:rPr>
              <w:t>—</w:t>
            </w:r>
          </w:p>
        </w:tc>
        <w:tc>
          <w:tcPr>
            <w:tcW w:w="3040" w:type="dxa"/>
            <w:vAlign w:val="bottom"/>
          </w:tcPr>
          <w:p>
            <w:pPr>
              <w:ind w:left="100"/>
              <w:spacing w:after="0"/>
              <w:rPr>
                <w:sz w:val="20"/>
                <w:szCs w:val="20"/>
                <w:color w:val="auto"/>
              </w:rPr>
            </w:pPr>
            <w:r>
              <w:rPr>
                <w:rFonts w:ascii="Arial" w:cs="Arial" w:eastAsia="Arial" w:hAnsi="Arial"/>
                <w:sz w:val="20"/>
                <w:szCs w:val="20"/>
                <w:color w:val="3E3935"/>
                <w:w w:val="96"/>
              </w:rPr>
              <w:t>Weighted Average Cost of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334010</wp:posOffset>
            </wp:positionV>
            <wp:extent cx="5732145" cy="2120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32145" cy="21209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784225</wp:posOffset>
            </wp:positionV>
            <wp:extent cx="365125" cy="399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-1007110</wp:posOffset>
            </wp:positionV>
            <wp:extent cx="93345" cy="850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620" w:type="dxa"/>
            <w:vAlign w:val="bottom"/>
          </w:tcPr>
          <w:p>
            <w:pPr>
              <w:ind w:left="100"/>
              <w:spacing w:after="0"/>
              <w:rPr>
                <w:sz w:val="20"/>
                <w:szCs w:val="20"/>
                <w:color w:val="auto"/>
              </w:rPr>
            </w:pPr>
            <w:r>
              <w:rPr>
                <w:rFonts w:ascii="Arial" w:cs="Arial" w:eastAsia="Arial" w:hAnsi="Arial"/>
                <w:sz w:val="18"/>
                <w:szCs w:val="18"/>
                <w:b w:val="1"/>
                <w:bCs w:val="1"/>
                <w:color w:val="0071CE"/>
              </w:rPr>
              <w:t>Mary T. Barra</w:t>
            </w:r>
          </w:p>
        </w:tc>
        <w:tc>
          <w:tcPr>
            <w:tcW w:w="8300" w:type="dxa"/>
            <w:vAlign w:val="bottom"/>
          </w:tcPr>
          <w:p>
            <w:pPr>
              <w:ind w:left="900"/>
              <w:spacing w:after="0"/>
              <w:rPr>
                <w:sz w:val="20"/>
                <w:szCs w:val="20"/>
                <w:color w:val="auto"/>
              </w:rPr>
            </w:pPr>
            <w:r>
              <w:rPr>
                <w:rFonts w:ascii="Arial" w:cs="Arial" w:eastAsia="Arial" w:hAnsi="Arial"/>
                <w:sz w:val="18"/>
                <w:szCs w:val="18"/>
                <w:color w:val="3E3935"/>
              </w:rPr>
              <w:t>Chair and Chief Executive Officer</w:t>
            </w:r>
          </w:p>
        </w:tc>
      </w:tr>
      <w:tr>
        <w:trPr>
          <w:trHeight w:val="268"/>
        </w:trPr>
        <w:tc>
          <w:tcPr>
            <w:tcW w:w="2620" w:type="dxa"/>
            <w:vAlign w:val="bottom"/>
            <w:tcBorders>
              <w:bottom w:val="single" w:sz="8" w:color="3E3935"/>
            </w:tcBorders>
          </w:tcPr>
          <w:p>
            <w:pPr>
              <w:spacing w:after="0"/>
              <w:rPr>
                <w:sz w:val="23"/>
                <w:szCs w:val="23"/>
                <w:color w:val="auto"/>
              </w:rPr>
            </w:pPr>
          </w:p>
        </w:tc>
        <w:tc>
          <w:tcPr>
            <w:tcW w:w="8300" w:type="dxa"/>
            <w:vAlign w:val="bottom"/>
            <w:tcBorders>
              <w:bottom w:val="single" w:sz="8" w:color="3E3935"/>
            </w:tcBorders>
          </w:tcPr>
          <w:p>
            <w:pPr>
              <w:spacing w:after="0"/>
              <w:rPr>
                <w:sz w:val="23"/>
                <w:szCs w:val="23"/>
                <w:color w:val="auto"/>
              </w:rPr>
            </w:pPr>
          </w:p>
        </w:tc>
      </w:tr>
      <w:tr>
        <w:trPr>
          <w:trHeight w:val="594"/>
        </w:trPr>
        <w:tc>
          <w:tcPr>
            <w:tcW w:w="2620" w:type="dxa"/>
            <w:vAlign w:val="bottom"/>
          </w:tcPr>
          <w:p>
            <w:pPr>
              <w:ind w:left="100"/>
              <w:spacing w:after="0"/>
              <w:rPr>
                <w:sz w:val="20"/>
                <w:szCs w:val="20"/>
                <w:color w:val="auto"/>
              </w:rPr>
            </w:pPr>
            <w:r>
              <w:rPr>
                <w:rFonts w:ascii="Arial" w:cs="Arial" w:eastAsia="Arial" w:hAnsi="Arial"/>
                <w:sz w:val="18"/>
                <w:szCs w:val="18"/>
                <w:b w:val="1"/>
                <w:bCs w:val="1"/>
                <w:color w:val="0071CE"/>
              </w:rPr>
              <w:t>Paul A. Jacobson</w:t>
            </w:r>
          </w:p>
        </w:tc>
        <w:tc>
          <w:tcPr>
            <w:tcW w:w="8300" w:type="dxa"/>
            <w:vAlign w:val="bottom"/>
          </w:tcPr>
          <w:p>
            <w:pPr>
              <w:ind w:left="900"/>
              <w:spacing w:after="0"/>
              <w:rPr>
                <w:sz w:val="20"/>
                <w:szCs w:val="20"/>
                <w:color w:val="auto"/>
              </w:rPr>
            </w:pPr>
            <w:r>
              <w:rPr>
                <w:rFonts w:ascii="Arial" w:cs="Arial" w:eastAsia="Arial" w:hAnsi="Arial"/>
                <w:sz w:val="18"/>
                <w:szCs w:val="18"/>
                <w:color w:val="3E3935"/>
              </w:rPr>
              <w:t>Executive Vice President and Chief Financial Officer</w:t>
            </w:r>
          </w:p>
        </w:tc>
      </w:tr>
      <w:tr>
        <w:trPr>
          <w:trHeight w:val="268"/>
        </w:trPr>
        <w:tc>
          <w:tcPr>
            <w:tcW w:w="2620" w:type="dxa"/>
            <w:vAlign w:val="bottom"/>
            <w:tcBorders>
              <w:bottom w:val="single" w:sz="8" w:color="3E3935"/>
            </w:tcBorders>
          </w:tcPr>
          <w:p>
            <w:pPr>
              <w:spacing w:after="0"/>
              <w:rPr>
                <w:sz w:val="23"/>
                <w:szCs w:val="23"/>
                <w:color w:val="auto"/>
              </w:rPr>
            </w:pPr>
          </w:p>
        </w:tc>
        <w:tc>
          <w:tcPr>
            <w:tcW w:w="8300" w:type="dxa"/>
            <w:vAlign w:val="bottom"/>
            <w:tcBorders>
              <w:bottom w:val="single" w:sz="8" w:color="3E3935"/>
            </w:tcBorders>
          </w:tcPr>
          <w:p>
            <w:pPr>
              <w:spacing w:after="0"/>
              <w:rPr>
                <w:sz w:val="23"/>
                <w:szCs w:val="23"/>
                <w:color w:val="auto"/>
              </w:rPr>
            </w:pPr>
          </w:p>
        </w:tc>
      </w:tr>
      <w:tr>
        <w:trPr>
          <w:trHeight w:val="594"/>
        </w:trPr>
        <w:tc>
          <w:tcPr>
            <w:tcW w:w="2620" w:type="dxa"/>
            <w:vAlign w:val="bottom"/>
          </w:tcPr>
          <w:p>
            <w:pPr>
              <w:ind w:left="100"/>
              <w:spacing w:after="0"/>
              <w:rPr>
                <w:sz w:val="20"/>
                <w:szCs w:val="20"/>
                <w:color w:val="auto"/>
              </w:rPr>
            </w:pPr>
            <w:r>
              <w:rPr>
                <w:rFonts w:ascii="Arial" w:cs="Arial" w:eastAsia="Arial" w:hAnsi="Arial"/>
                <w:sz w:val="18"/>
                <w:szCs w:val="18"/>
                <w:b w:val="1"/>
                <w:bCs w:val="1"/>
                <w:color w:val="0071CE"/>
              </w:rPr>
              <w:t>Mark L. Reuss</w:t>
            </w:r>
          </w:p>
        </w:tc>
        <w:tc>
          <w:tcPr>
            <w:tcW w:w="8300" w:type="dxa"/>
            <w:vAlign w:val="bottom"/>
          </w:tcPr>
          <w:p>
            <w:pPr>
              <w:ind w:left="900"/>
              <w:spacing w:after="0"/>
              <w:rPr>
                <w:sz w:val="20"/>
                <w:szCs w:val="20"/>
                <w:color w:val="auto"/>
              </w:rPr>
            </w:pPr>
            <w:r>
              <w:rPr>
                <w:rFonts w:ascii="Arial" w:cs="Arial" w:eastAsia="Arial" w:hAnsi="Arial"/>
                <w:sz w:val="18"/>
                <w:szCs w:val="18"/>
                <w:color w:val="3E3935"/>
              </w:rPr>
              <w:t>President</w:t>
            </w:r>
          </w:p>
        </w:tc>
      </w:tr>
      <w:tr>
        <w:trPr>
          <w:trHeight w:val="268"/>
        </w:trPr>
        <w:tc>
          <w:tcPr>
            <w:tcW w:w="2620" w:type="dxa"/>
            <w:vAlign w:val="bottom"/>
            <w:tcBorders>
              <w:bottom w:val="single" w:sz="8" w:color="3E3935"/>
            </w:tcBorders>
          </w:tcPr>
          <w:p>
            <w:pPr>
              <w:spacing w:after="0"/>
              <w:rPr>
                <w:sz w:val="23"/>
                <w:szCs w:val="23"/>
                <w:color w:val="auto"/>
              </w:rPr>
            </w:pPr>
          </w:p>
        </w:tc>
        <w:tc>
          <w:tcPr>
            <w:tcW w:w="8300" w:type="dxa"/>
            <w:vAlign w:val="bottom"/>
            <w:tcBorders>
              <w:bottom w:val="single" w:sz="8" w:color="3E3935"/>
            </w:tcBorders>
          </w:tcPr>
          <w:p>
            <w:pPr>
              <w:spacing w:after="0"/>
              <w:rPr>
                <w:sz w:val="23"/>
                <w:szCs w:val="23"/>
                <w:color w:val="auto"/>
              </w:rPr>
            </w:pPr>
          </w:p>
        </w:tc>
      </w:tr>
      <w:tr>
        <w:trPr>
          <w:trHeight w:val="594"/>
        </w:trPr>
        <w:tc>
          <w:tcPr>
            <w:tcW w:w="2620" w:type="dxa"/>
            <w:vAlign w:val="bottom"/>
          </w:tcPr>
          <w:p>
            <w:pPr>
              <w:ind w:left="100"/>
              <w:spacing w:after="0"/>
              <w:rPr>
                <w:sz w:val="20"/>
                <w:szCs w:val="20"/>
                <w:color w:val="auto"/>
              </w:rPr>
            </w:pPr>
            <w:r>
              <w:rPr>
                <w:rFonts w:ascii="Arial" w:cs="Arial" w:eastAsia="Arial" w:hAnsi="Arial"/>
                <w:sz w:val="18"/>
                <w:szCs w:val="18"/>
                <w:b w:val="1"/>
                <w:bCs w:val="1"/>
                <w:color w:val="0071CE"/>
              </w:rPr>
              <w:t>Douglas L. Parks</w:t>
            </w:r>
          </w:p>
        </w:tc>
        <w:tc>
          <w:tcPr>
            <w:tcW w:w="8300" w:type="dxa"/>
            <w:vAlign w:val="bottom"/>
          </w:tcPr>
          <w:p>
            <w:pPr>
              <w:ind w:left="900"/>
              <w:spacing w:after="0"/>
              <w:rPr>
                <w:sz w:val="20"/>
                <w:szCs w:val="20"/>
                <w:color w:val="auto"/>
              </w:rPr>
            </w:pPr>
            <w:r>
              <w:rPr>
                <w:rFonts w:ascii="Arial" w:cs="Arial" w:eastAsia="Arial" w:hAnsi="Arial"/>
                <w:sz w:val="18"/>
                <w:szCs w:val="18"/>
                <w:color w:val="3E3935"/>
              </w:rPr>
              <w:t>Executive Vice President, Global Product Development, Purchasing and Supply Chain</w:t>
            </w:r>
          </w:p>
        </w:tc>
      </w:tr>
      <w:tr>
        <w:trPr>
          <w:trHeight w:val="268"/>
        </w:trPr>
        <w:tc>
          <w:tcPr>
            <w:tcW w:w="2620" w:type="dxa"/>
            <w:vAlign w:val="bottom"/>
            <w:tcBorders>
              <w:bottom w:val="single" w:sz="8" w:color="3E3935"/>
            </w:tcBorders>
          </w:tcPr>
          <w:p>
            <w:pPr>
              <w:spacing w:after="0"/>
              <w:rPr>
                <w:sz w:val="23"/>
                <w:szCs w:val="23"/>
                <w:color w:val="auto"/>
              </w:rPr>
            </w:pPr>
          </w:p>
        </w:tc>
        <w:tc>
          <w:tcPr>
            <w:tcW w:w="8300" w:type="dxa"/>
            <w:vAlign w:val="bottom"/>
            <w:tcBorders>
              <w:bottom w:val="single" w:sz="8" w:color="3E3935"/>
            </w:tcBorders>
          </w:tcPr>
          <w:p>
            <w:pPr>
              <w:spacing w:after="0"/>
              <w:rPr>
                <w:sz w:val="23"/>
                <w:szCs w:val="23"/>
                <w:color w:val="auto"/>
              </w:rPr>
            </w:pPr>
          </w:p>
        </w:tc>
      </w:tr>
      <w:tr>
        <w:trPr>
          <w:trHeight w:val="594"/>
        </w:trPr>
        <w:tc>
          <w:tcPr>
            <w:tcW w:w="2620" w:type="dxa"/>
            <w:vAlign w:val="bottom"/>
          </w:tcPr>
          <w:p>
            <w:pPr>
              <w:ind w:left="100"/>
              <w:spacing w:after="0"/>
              <w:rPr>
                <w:sz w:val="20"/>
                <w:szCs w:val="20"/>
                <w:color w:val="auto"/>
              </w:rPr>
            </w:pPr>
            <w:r>
              <w:rPr>
                <w:rFonts w:ascii="Arial" w:cs="Arial" w:eastAsia="Arial" w:hAnsi="Arial"/>
                <w:sz w:val="18"/>
                <w:szCs w:val="18"/>
                <w:b w:val="1"/>
                <w:bCs w:val="1"/>
                <w:color w:val="0071CE"/>
              </w:rPr>
              <w:t>Stephen K. Carlisle</w:t>
            </w:r>
          </w:p>
        </w:tc>
        <w:tc>
          <w:tcPr>
            <w:tcW w:w="8300" w:type="dxa"/>
            <w:vAlign w:val="bottom"/>
          </w:tcPr>
          <w:p>
            <w:pPr>
              <w:ind w:left="900"/>
              <w:spacing w:after="0"/>
              <w:rPr>
                <w:sz w:val="20"/>
                <w:szCs w:val="20"/>
                <w:color w:val="auto"/>
              </w:rPr>
            </w:pPr>
            <w:r>
              <w:rPr>
                <w:rFonts w:ascii="Arial" w:cs="Arial" w:eastAsia="Arial" w:hAnsi="Arial"/>
                <w:sz w:val="18"/>
                <w:szCs w:val="18"/>
                <w:color w:val="3E3935"/>
              </w:rPr>
              <w:t>Executive Vice President and President, North America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170180</wp:posOffset>
            </wp:positionV>
            <wp:extent cx="6929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-1969135</wp:posOffset>
            </wp:positionV>
            <wp:extent cx="365125" cy="399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-1408430</wp:posOffset>
            </wp:positionV>
            <wp:extent cx="365125" cy="399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-848360</wp:posOffset>
            </wp:positionV>
            <wp:extent cx="365125" cy="399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-287655</wp:posOffset>
            </wp:positionV>
            <wp:extent cx="365125" cy="399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3E3935"/>
        </w:rPr>
        <w:t>Positions as of December 31, 2021.</w:t>
      </w:r>
    </w:p>
    <w:p>
      <w:pPr>
        <w:spacing w:after="0" w:line="15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576"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Our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487680</wp:posOffset>
            </wp:positionV>
            <wp:extent cx="5732145" cy="2120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3214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100" w:right="560"/>
        <w:spacing w:after="0" w:line="249" w:lineRule="auto"/>
        <w:rPr>
          <w:sz w:val="20"/>
          <w:szCs w:val="20"/>
          <w:color w:val="auto"/>
        </w:rPr>
      </w:pPr>
      <w:r>
        <w:rPr>
          <w:rFonts w:ascii="Arial" w:cs="Arial" w:eastAsia="Arial" w:hAnsi="Arial"/>
          <w:sz w:val="18"/>
          <w:szCs w:val="18"/>
          <w:color w:val="3E3935"/>
        </w:rPr>
        <w:t>“General Motors is leading the way toward an all EV and AV future, and we’re bringing everybody along. We are laser-focused on delivering the best and broadest portfolio enabled by our competitive advantage in our Ultium battery system, software, manufacturing capabilities, and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-396240</wp:posOffset>
            </wp:positionV>
            <wp:extent cx="526415" cy="526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6415" cy="526415"/>
                    </a:xfrm>
                    <a:prstGeom prst="rect">
                      <a:avLst/>
                    </a:prstGeom>
                    <a:noFill/>
                  </pic:spPr>
                </pic:pic>
              </a:graphicData>
            </a:graphic>
          </wp:anchor>
        </w:drawing>
      </w:r>
    </w:p>
    <w:p>
      <w:pPr>
        <w:spacing w:after="0" w:line="58" w:lineRule="exact"/>
        <w:rPr>
          <w:sz w:val="20"/>
          <w:szCs w:val="20"/>
          <w:color w:val="auto"/>
        </w:rPr>
      </w:pPr>
    </w:p>
    <w:p>
      <w:pPr>
        <w:jc w:val="center"/>
        <w:ind w:left="1380"/>
        <w:spacing w:after="0"/>
        <w:rPr>
          <w:sz w:val="20"/>
          <w:szCs w:val="20"/>
          <w:color w:val="auto"/>
        </w:rPr>
      </w:pPr>
      <w:r>
        <w:rPr>
          <w:rFonts w:ascii="Arial" w:cs="Arial" w:eastAsia="Arial" w:hAnsi="Arial"/>
          <w:sz w:val="18"/>
          <w:szCs w:val="18"/>
          <w:color w:val="3E3935"/>
        </w:rPr>
        <w:t>-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483235</wp:posOffset>
            </wp:positionV>
            <wp:extent cx="5732145" cy="18770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32145" cy="187706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2827655</wp:posOffset>
            </wp:positionV>
            <wp:extent cx="5732145" cy="2120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32145" cy="21209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3175635</wp:posOffset>
            </wp:positionV>
            <wp:extent cx="5265420" cy="10102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65420" cy="101028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4653280</wp:posOffset>
            </wp:positionV>
            <wp:extent cx="5732145" cy="2120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32145" cy="212090"/>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5001260</wp:posOffset>
            </wp:positionV>
            <wp:extent cx="6038215" cy="526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8215" cy="526415"/>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5672455</wp:posOffset>
            </wp:positionV>
            <wp:extent cx="6038215" cy="535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8215" cy="53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0" w:hanging="433"/>
        <w:spacing w:after="0" w:line="263" w:lineRule="auto"/>
        <w:tabs>
          <w:tab w:leader="none" w:pos="600" w:val="left"/>
        </w:tabs>
        <w:numPr>
          <w:ilvl w:val="0"/>
          <w:numId w:val="71"/>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are non-GAAP financial measures. Refer to Appendix A for a reconciliation of ROIC-adjusted, EBIT-adjusted, EBIT-adjusted Margin, and EPS-diluted adjusted to their closest comparable GAAP measure.</w:t>
      </w:r>
    </w:p>
    <w:p>
      <w:pPr>
        <w:spacing w:after="0" w:line="10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203835</wp:posOffset>
            </wp:positionV>
            <wp:extent cx="5732145" cy="2120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3214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Showed strength and resiliency of the business by responding to the challenges of the semiconductor shortage while delivering a record $10.0 billion in net income and a record $14.3 billion in EBIT-adjusted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-222885</wp:posOffset>
            </wp:positionV>
            <wp:extent cx="178435" cy="178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8435" cy="17843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183515</wp:posOffset>
            </wp:positionV>
            <wp:extent cx="356870" cy="2209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6870" cy="220980"/>
                    </a:xfrm>
                    <a:prstGeom prst="rect">
                      <a:avLst/>
                    </a:prstGeom>
                    <a:noFill/>
                  </pic:spPr>
                </pic:pic>
              </a:graphicData>
            </a:graphic>
          </wp:anchor>
        </w:drawing>
      </w:r>
    </w:p>
    <w:p>
      <w:pPr>
        <w:spacing w:after="0" w:line="315" w:lineRule="exact"/>
        <w:rPr>
          <w:sz w:val="20"/>
          <w:szCs w:val="20"/>
          <w:color w:val="auto"/>
        </w:rPr>
      </w:pPr>
    </w:p>
    <w:p>
      <w:pPr>
        <w:ind w:left="920"/>
        <w:spacing w:after="0"/>
        <w:rPr>
          <w:sz w:val="20"/>
          <w:szCs w:val="20"/>
          <w:color w:val="auto"/>
        </w:rPr>
      </w:pPr>
      <w:r>
        <w:rPr>
          <w:rFonts w:ascii="Arial" w:cs="Arial" w:eastAsia="Arial" w:hAnsi="Arial"/>
          <w:sz w:val="20"/>
          <w:szCs w:val="20"/>
          <w:color w:val="3E3935"/>
        </w:rPr>
        <w:t>GM Financial generated record-breaking EBT-adjusted of $5.0 billion and paid $3.5 billion in dividends to GM</w:t>
      </w:r>
    </w:p>
    <w:p>
      <w:pPr>
        <w:spacing w:after="0" w:line="238"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 xml:space="preserve">Increased investment in EV and AV technology to $35 billion from 2020 to 2025 to achieve our commitment of EV leadership in North America by mid-decade and safely commercialize self-driving technology </w:t>
      </w:r>
      <w:r>
        <w:rPr>
          <w:sz w:val="1"/>
          <w:szCs w:val="1"/>
          <w:color w:val="auto"/>
        </w:rPr>
        <w:drawing>
          <wp:inline distT="0" distB="0" distL="0" distR="0">
            <wp:extent cx="93345" cy="8509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-240030</wp:posOffset>
            </wp:positionV>
            <wp:extent cx="186690" cy="178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6690" cy="178435"/>
                    </a:xfrm>
                    <a:prstGeom prst="rect">
                      <a:avLst/>
                    </a:prstGeom>
                    <a:noFill/>
                  </pic:spPr>
                </pic:pic>
              </a:graphicData>
            </a:graphic>
          </wp:anchor>
        </w:drawing>
      </w:r>
    </w:p>
    <w:p>
      <w:pPr>
        <w:spacing w:after="0" w:line="181" w:lineRule="exact"/>
        <w:rPr>
          <w:sz w:val="20"/>
          <w:szCs w:val="20"/>
          <w:color w:val="auto"/>
        </w:rPr>
      </w:pPr>
    </w:p>
    <w:p>
      <w:pPr>
        <w:jc w:val="both"/>
        <w:ind w:left="920"/>
        <w:spacing w:after="0" w:line="238" w:lineRule="auto"/>
        <w:rPr>
          <w:sz w:val="20"/>
          <w:szCs w:val="20"/>
          <w:color w:val="auto"/>
        </w:rPr>
      </w:pPr>
      <w:r>
        <w:rPr>
          <w:rFonts w:ascii="Arial" w:cs="Arial" w:eastAsia="Arial" w:hAnsi="Arial"/>
          <w:sz w:val="20"/>
          <w:szCs w:val="20"/>
          <w:color w:val="3E3935"/>
        </w:rPr>
        <w:t xml:space="preserve">Announced SBTi-validated, science-based emission reduction targets that align with the Paris Agreement, plans to be carbon neutral in our global products and operations by 2040, and eliminate tailpipe emissions from new light-duty vehicles globally by 2035 </w:t>
      </w:r>
      <w:r>
        <w:rPr>
          <w:sz w:val="1"/>
          <w:szCs w:val="1"/>
          <w:color w:val="auto"/>
        </w:rPr>
        <w:drawing>
          <wp:inline distT="0" distB="0" distL="0" distR="0">
            <wp:extent cx="93345" cy="8509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-292735</wp:posOffset>
            </wp:positionV>
            <wp:extent cx="178435" cy="178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192"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 xml:space="preserve">Introduced Ultium Charge 360, a holistic charging approach integrating charging networks, GM vehicle mobile apps, and other products and services, to simplify and improve GM EV owners’ overall charging experience </w:t>
      </w:r>
      <w:r>
        <w:rPr>
          <w:sz w:val="1"/>
          <w:szCs w:val="1"/>
          <w:color w:val="auto"/>
        </w:rPr>
        <w:drawing>
          <wp:inline distT="0" distB="0" distL="0" distR="0">
            <wp:extent cx="93345" cy="8509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-222885</wp:posOffset>
            </wp:positionV>
            <wp:extent cx="254635" cy="178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4635" cy="178435"/>
                    </a:xfrm>
                    <a:prstGeom prst="rect">
                      <a:avLst/>
                    </a:prstGeom>
                    <a:noFill/>
                  </pic:spPr>
                </pic:pic>
              </a:graphicData>
            </a:graphic>
          </wp:anchor>
        </w:drawing>
      </w:r>
    </w:p>
    <w:p>
      <w:pPr>
        <w:spacing w:after="0" w:line="181" w:lineRule="exact"/>
        <w:rPr>
          <w:sz w:val="20"/>
          <w:szCs w:val="20"/>
          <w:color w:val="auto"/>
        </w:rPr>
      </w:pPr>
    </w:p>
    <w:p>
      <w:pPr>
        <w:jc w:val="both"/>
        <w:ind w:left="920"/>
        <w:spacing w:after="0" w:line="238" w:lineRule="auto"/>
        <w:rPr>
          <w:sz w:val="20"/>
          <w:szCs w:val="20"/>
          <w:color w:val="auto"/>
        </w:rPr>
      </w:pPr>
      <w:r>
        <w:rPr>
          <w:rFonts w:ascii="Arial" w:cs="Arial" w:eastAsia="Arial" w:hAnsi="Arial"/>
          <w:sz w:val="20"/>
          <w:szCs w:val="20"/>
          <w:color w:val="3E3935"/>
        </w:rPr>
        <w:t xml:space="preserve">Launched BrightDrop, an all-new business offering commercial customers, including Walmart, all-electric delivery and logistics solutions. BrightDrop started production of the Zevo 600 electric delivery van, and delivered the first units to FedEx Express and Merchants Fleet </w:t>
      </w:r>
      <w:r>
        <w:rPr>
          <w:sz w:val="1"/>
          <w:szCs w:val="1"/>
          <w:color w:val="auto"/>
        </w:rPr>
        <w:drawing>
          <wp:inline distT="0" distB="0" distL="0" distR="0">
            <wp:extent cx="93345" cy="8509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-292735</wp:posOffset>
            </wp:positionV>
            <wp:extent cx="305435" cy="195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5435" cy="195580"/>
                    </a:xfrm>
                    <a:prstGeom prst="rect">
                      <a:avLst/>
                    </a:prstGeom>
                    <a:noFill/>
                  </pic:spPr>
                </pic:pic>
              </a:graphicData>
            </a:graphic>
          </wp:anchor>
        </w:drawing>
      </w:r>
    </w:p>
    <w:p>
      <w:pPr>
        <w:spacing w:after="0" w:line="192"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 xml:space="preserve">Became the first company to receive permission from the California Department of Motor Vehicles to provide a driverless AV passenger service to the public </w:t>
      </w:r>
      <w:r>
        <w:rPr>
          <w:sz w:val="1"/>
          <w:szCs w:val="1"/>
          <w:color w:val="auto"/>
        </w:rPr>
        <w:drawing>
          <wp:inline distT="0" distB="0" distL="0" distR="0">
            <wp:extent cx="93345" cy="8509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-197485</wp:posOffset>
            </wp:positionV>
            <wp:extent cx="399415" cy="1187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9415" cy="118745"/>
                    </a:xfrm>
                    <a:prstGeom prst="rect">
                      <a:avLst/>
                    </a:prstGeom>
                    <a:noFill/>
                  </pic:spPr>
                </pic:pic>
              </a:graphicData>
            </a:graphic>
          </wp:anchor>
        </w:drawing>
      </w:r>
    </w:p>
    <w:p>
      <w:pPr>
        <w:spacing w:after="0" w:line="181" w:lineRule="exact"/>
        <w:rPr>
          <w:sz w:val="20"/>
          <w:szCs w:val="20"/>
          <w:color w:val="auto"/>
        </w:rPr>
      </w:pPr>
    </w:p>
    <w:p>
      <w:pPr>
        <w:jc w:val="both"/>
        <w:ind w:left="920"/>
        <w:spacing w:after="0" w:line="238" w:lineRule="auto"/>
        <w:rPr>
          <w:sz w:val="20"/>
          <w:szCs w:val="20"/>
          <w:color w:val="auto"/>
        </w:rPr>
      </w:pPr>
      <w:r>
        <w:rPr>
          <w:rFonts w:ascii="Arial" w:cs="Arial" w:eastAsia="Arial" w:hAnsi="Arial"/>
          <w:sz w:val="20"/>
          <w:szCs w:val="20"/>
          <w:color w:val="3E3935"/>
        </w:rPr>
        <w:t>Delivered 2.2 million vehicles, with Chevrolet and GMC cementing the Company’s eighth consecutive year of combined full-size and midsize pickup sales leadership, second consecutive year as the full-size pickup sales leader, and its 21st consecutive year as the market leader in full-size SUVs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-284480</wp:posOffset>
            </wp:positionV>
            <wp:extent cx="356870" cy="153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6870" cy="153035"/>
                    </a:xfrm>
                    <a:prstGeom prst="rect">
                      <a:avLst/>
                    </a:prstGeom>
                    <a:noFill/>
                  </pic:spPr>
                </pic:pic>
              </a:graphicData>
            </a:graphic>
          </wp:anchor>
        </w:drawing>
      </w:r>
    </w:p>
    <w:p>
      <w:pPr>
        <w:spacing w:after="0" w:line="192"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 xml:space="preserve">Announced Chevrolet will expand its EV lineup in 2023 to include the Equinox EV, an affordable, functional compact SUV, which will be launched with both fleet and retail versions </w:t>
      </w:r>
      <w:r>
        <w:rPr>
          <w:sz w:val="1"/>
          <w:szCs w:val="1"/>
          <w:color w:val="auto"/>
        </w:rPr>
        <w:drawing>
          <wp:inline distT="0" distB="0" distL="0" distR="0">
            <wp:extent cx="93345" cy="8509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-214630</wp:posOffset>
            </wp:positionV>
            <wp:extent cx="288925" cy="161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8925" cy="161290"/>
                    </a:xfrm>
                    <a:prstGeom prst="rect">
                      <a:avLst/>
                    </a:prstGeom>
                    <a:noFill/>
                  </pic:spPr>
                </pic:pic>
              </a:graphicData>
            </a:graphic>
          </wp:anchor>
        </w:drawing>
      </w:r>
    </w:p>
    <w:p>
      <w:pPr>
        <w:spacing w:after="0" w:line="181"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 xml:space="preserve">Introduced the 2024 Chevrolet Silverado EV, a reimagined full-size, fully electric pickup, developed from the ground up, leveraging the power of GM’s Ultium Platform </w:t>
      </w:r>
      <w:r>
        <w:rPr>
          <w:sz w:val="1"/>
          <w:szCs w:val="1"/>
          <w:color w:val="auto"/>
        </w:rPr>
        <w:drawing>
          <wp:inline distT="0" distB="0" distL="0" distR="0">
            <wp:extent cx="93345" cy="8509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-172085</wp:posOffset>
            </wp:positionV>
            <wp:extent cx="331470" cy="101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1470" cy="101600"/>
                    </a:xfrm>
                    <a:prstGeom prst="rect">
                      <a:avLst/>
                    </a:prstGeom>
                    <a:noFill/>
                  </pic:spPr>
                </pic:pic>
              </a:graphicData>
            </a:graphic>
          </wp:anchor>
        </w:drawing>
      </w:r>
    </w:p>
    <w:p>
      <w:pPr>
        <w:spacing w:after="0" w:line="181"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Increased U.S. sales of Buick’s new crossover lineup by 12.3 percent, led by Encore GX (up 59 percent) and Envision (up 33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-231775</wp:posOffset>
            </wp:positionV>
            <wp:extent cx="212090" cy="2120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0"/>
          <w:szCs w:val="20"/>
          <w:color w:val="3E3935"/>
        </w:rPr>
        <w:t>Began production and customer deliveries of the GMC HUMMER EV Pickup, the world’s first all-electric supertruck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-89535</wp:posOffset>
            </wp:positionV>
            <wp:extent cx="331470" cy="933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1470" cy="9334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-106045</wp:posOffset>
            </wp:positionV>
            <wp:extent cx="93345" cy="850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218"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 xml:space="preserve">Filled in minutes, reservations for the debut edition of the all-electric Cadillac LYRIQ, the brand’s first electric luxury SUV, built on the Ultium Platform </w:t>
      </w:r>
      <w:r>
        <w:rPr>
          <w:sz w:val="1"/>
          <w:szCs w:val="1"/>
          <w:color w:val="auto"/>
        </w:rPr>
        <w:drawing>
          <wp:inline distT="0" distB="0" distL="0" distR="0">
            <wp:extent cx="93345" cy="8509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-206375</wp:posOffset>
            </wp:positionV>
            <wp:extent cx="322580" cy="1276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2580" cy="127635"/>
                    </a:xfrm>
                    <a:prstGeom prst="rect">
                      <a:avLst/>
                    </a:prstGeom>
                    <a:noFill/>
                  </pic:spPr>
                </pic:pic>
              </a:graphicData>
            </a:graphic>
          </wp:anchor>
        </w:drawing>
      </w:r>
    </w:p>
    <w:p>
      <w:pPr>
        <w:spacing w:after="0" w:line="181" w:lineRule="exact"/>
        <w:rPr>
          <w:sz w:val="20"/>
          <w:szCs w:val="20"/>
          <w:color w:val="auto"/>
        </w:rPr>
      </w:pPr>
    </w:p>
    <w:p>
      <w:pPr>
        <w:jc w:val="both"/>
        <w:ind w:left="920"/>
        <w:spacing w:after="0" w:line="251" w:lineRule="auto"/>
        <w:rPr>
          <w:sz w:val="20"/>
          <w:szCs w:val="20"/>
          <w:color w:val="auto"/>
        </w:rPr>
      </w:pPr>
      <w:r>
        <w:rPr>
          <w:rFonts w:ascii="Arial" w:cs="Arial" w:eastAsia="Arial" w:hAnsi="Arial"/>
          <w:sz w:val="20"/>
          <w:szCs w:val="20"/>
          <w:color w:val="3E3935"/>
        </w:rPr>
        <w:t>Launched OnStar Insurance, a new digital insurance experience that aims to be secure, fair, personalized and easy to use, which became one of the fastest nationwide rollouts of an auto insurance product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-222885</wp:posOffset>
            </wp:positionV>
            <wp:extent cx="399415" cy="135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99415" cy="135890"/>
                    </a:xfrm>
                    <a:prstGeom prst="rect">
                      <a:avLst/>
                    </a:prstGeom>
                    <a:noFill/>
                  </pic:spPr>
                </pic:pic>
              </a:graphicData>
            </a:graphic>
          </wp:anchor>
        </w:drawing>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9"/>
          <w:szCs w:val="19"/>
          <w:color w:val="3E3935"/>
        </w:rPr>
        <w:t>Joined the Gender and Diversity KPI Alliance, pledging to use three key performance indicators to improve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-64770</wp:posOffset>
            </wp:positionV>
            <wp:extent cx="178435" cy="178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ind w:left="920"/>
        <w:spacing w:after="0"/>
        <w:rPr>
          <w:sz w:val="20"/>
          <w:szCs w:val="20"/>
          <w:color w:val="auto"/>
        </w:rPr>
      </w:pPr>
      <w:r>
        <w:rPr>
          <w:rFonts w:ascii="Arial" w:cs="Arial" w:eastAsia="Arial" w:hAnsi="Arial"/>
          <w:sz w:val="20"/>
          <w:szCs w:val="20"/>
          <w:color w:val="3E3935"/>
        </w:rPr>
        <w:t>representation on the GM Board, representation by employee category, and pay equality</w:t>
      </w:r>
    </w:p>
    <w:p>
      <w:pPr>
        <w:spacing w:after="0" w:line="206" w:lineRule="exact"/>
        <w:rPr>
          <w:sz w:val="20"/>
          <w:szCs w:val="20"/>
          <w:color w:val="auto"/>
        </w:rPr>
      </w:pPr>
    </w:p>
    <w:p>
      <w:pPr>
        <w:jc w:val="center"/>
        <w:ind w:right="10620"/>
        <w:spacing w:after="0"/>
        <w:rPr>
          <w:sz w:val="20"/>
          <w:szCs w:val="20"/>
          <w:color w:val="auto"/>
        </w:rPr>
      </w:pPr>
      <w:r>
        <w:rPr>
          <w:rFonts w:ascii="Arial" w:cs="Arial" w:eastAsia="Arial" w:hAnsi="Arial"/>
          <w:sz w:val="14"/>
          <w:szCs w:val="14"/>
          <w:color w:val="0071CE"/>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100"/>
          </w:cols>
          <w:pgMar w:left="320" w:top="454"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Compensation Overview</w:t>
      </w:r>
    </w:p>
    <w:p>
      <w:pPr>
        <w:spacing w:after="0" w:line="158" w:lineRule="exact"/>
        <w:rPr>
          <w:sz w:val="20"/>
          <w:szCs w:val="20"/>
          <w:color w:val="auto"/>
        </w:rPr>
      </w:pPr>
    </w:p>
    <w:p>
      <w:pPr>
        <w:ind w:left="700" w:hanging="533"/>
        <w:spacing w:after="0"/>
        <w:tabs>
          <w:tab w:leader="none" w:pos="700" w:val="left"/>
        </w:tabs>
        <w:numPr>
          <w:ilvl w:val="0"/>
          <w:numId w:val="72"/>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Governance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171450</wp:posOffset>
            </wp:positionV>
            <wp:extent cx="69297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00C1DE"/>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6929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0" w:lineRule="exact"/>
        <w:rPr>
          <w:sz w:val="20"/>
          <w:szCs w:val="20"/>
          <w:color w:val="auto"/>
        </w:rPr>
      </w:pPr>
    </w:p>
    <w:p>
      <w:pPr>
        <w:ind w:left="720" w:hanging="298"/>
        <w:spacing w:after="0"/>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Provide short-term and long-term incentive plans with performance targets aligned to business goals</w:t>
      </w:r>
    </w:p>
    <w:p>
      <w:pPr>
        <w:spacing w:after="0" w:line="224" w:lineRule="exact"/>
        <w:rPr>
          <w:rFonts w:ascii="MS PGothic" w:cs="MS PGothic" w:eastAsia="MS PGothic" w:hAnsi="MS PGothic"/>
          <w:sz w:val="20"/>
          <w:szCs w:val="20"/>
          <w:color w:val="00C1DE"/>
        </w:rPr>
      </w:pPr>
    </w:p>
    <w:p>
      <w:pPr>
        <w:ind w:left="720" w:hanging="298"/>
        <w:spacing w:after="0" w:line="251" w:lineRule="auto"/>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Maintain a Compensation Committee composed entirely of independent directors who are advised by an independent compensation consultant</w:t>
      </w:r>
    </w:p>
    <w:p>
      <w:pPr>
        <w:spacing w:after="0" w:line="214" w:lineRule="exact"/>
        <w:rPr>
          <w:rFonts w:ascii="MS PGothic" w:cs="MS PGothic" w:eastAsia="MS PGothic" w:hAnsi="MS PGothic"/>
          <w:sz w:val="20"/>
          <w:szCs w:val="20"/>
          <w:color w:val="00C1DE"/>
        </w:rPr>
      </w:pPr>
    </w:p>
    <w:p>
      <w:pPr>
        <w:ind w:left="720" w:hanging="298"/>
        <w:spacing w:after="0"/>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Require stock ownership for all senior leaders</w:t>
      </w:r>
    </w:p>
    <w:p>
      <w:pPr>
        <w:spacing w:after="0" w:line="224" w:lineRule="exact"/>
        <w:rPr>
          <w:rFonts w:ascii="MS PGothic" w:cs="MS PGothic" w:eastAsia="MS PGothic" w:hAnsi="MS PGothic"/>
          <w:sz w:val="20"/>
          <w:szCs w:val="20"/>
          <w:color w:val="00C1DE"/>
        </w:rPr>
      </w:pPr>
    </w:p>
    <w:p>
      <w:pPr>
        <w:ind w:left="720" w:hanging="298"/>
        <w:spacing w:after="0" w:line="251" w:lineRule="auto"/>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Engage with shareholders and other stakeholders on various topics with members of management and directors, including our Compensation Committee and our Independent Lead Director</w:t>
      </w:r>
    </w:p>
    <w:p>
      <w:pPr>
        <w:spacing w:after="0" w:line="214" w:lineRule="exact"/>
        <w:rPr>
          <w:rFonts w:ascii="MS PGothic" w:cs="MS PGothic" w:eastAsia="MS PGothic" w:hAnsi="MS PGothic"/>
          <w:sz w:val="20"/>
          <w:szCs w:val="20"/>
          <w:color w:val="00C1DE"/>
        </w:rPr>
      </w:pPr>
    </w:p>
    <w:p>
      <w:pPr>
        <w:ind w:left="720" w:hanging="298"/>
        <w:spacing w:after="0"/>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Include non-compete and non-solicitation terms in all grant agreements with senior leaders</w:t>
      </w:r>
    </w:p>
    <w:p>
      <w:pPr>
        <w:spacing w:after="0" w:line="224" w:lineRule="exact"/>
        <w:rPr>
          <w:rFonts w:ascii="MS PGothic" w:cs="MS PGothic" w:eastAsia="MS PGothic" w:hAnsi="MS PGothic"/>
          <w:sz w:val="20"/>
          <w:szCs w:val="20"/>
          <w:color w:val="00C1DE"/>
        </w:rPr>
      </w:pPr>
    </w:p>
    <w:p>
      <w:pPr>
        <w:ind w:left="720" w:hanging="298"/>
        <w:spacing w:after="0" w:line="251" w:lineRule="auto"/>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Maintain an Insider Trading Policy requiring directors, executive officers, and all other senior leaders to trade only during pre-established periods after receiving preclearance from the GM legal staff</w:t>
      </w:r>
    </w:p>
    <w:p>
      <w:pPr>
        <w:spacing w:after="0" w:line="214" w:lineRule="exact"/>
        <w:rPr>
          <w:rFonts w:ascii="MS PGothic" w:cs="MS PGothic" w:eastAsia="MS PGothic" w:hAnsi="MS PGothic"/>
          <w:sz w:val="20"/>
          <w:szCs w:val="20"/>
          <w:color w:val="00C1DE"/>
        </w:rPr>
      </w:pPr>
    </w:p>
    <w:p>
      <w:pPr>
        <w:ind w:left="720" w:hanging="298"/>
        <w:spacing w:after="0"/>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Require equity awards to have double trigger (change in control and termination of employment) vesting provisions</w:t>
      </w:r>
    </w:p>
    <w:p>
      <w:pPr>
        <w:spacing w:after="0" w:line="251" w:lineRule="exact"/>
        <w:rPr>
          <w:rFonts w:ascii="MS PGothic" w:cs="MS PGothic" w:eastAsia="MS PGothic" w:hAnsi="MS PGothic"/>
          <w:sz w:val="20"/>
          <w:szCs w:val="20"/>
          <w:color w:val="00C1DE"/>
        </w:rPr>
      </w:pPr>
    </w:p>
    <w:p>
      <w:pPr>
        <w:ind w:left="720" w:hanging="298"/>
        <w:spacing w:after="0"/>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Complete an annual risk review evaluating incentive compensation plans</w:t>
      </w:r>
    </w:p>
    <w:p>
      <w:pPr>
        <w:spacing w:after="0" w:line="224" w:lineRule="exact"/>
        <w:rPr>
          <w:rFonts w:ascii="MS PGothic" w:cs="MS PGothic" w:eastAsia="MS PGothic" w:hAnsi="MS PGothic"/>
          <w:sz w:val="20"/>
          <w:szCs w:val="20"/>
          <w:color w:val="00C1DE"/>
        </w:rPr>
      </w:pPr>
    </w:p>
    <w:p>
      <w:pPr>
        <w:ind w:left="720" w:hanging="298"/>
        <w:spacing w:after="0" w:line="251" w:lineRule="auto"/>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Require short-term cash and long-term equity awards for all executive officers to be subject to clawback and cancellation provisions</w:t>
      </w:r>
    </w:p>
    <w:p>
      <w:pPr>
        <w:spacing w:after="0" w:line="214" w:lineRule="exact"/>
        <w:rPr>
          <w:rFonts w:ascii="MS PGothic" w:cs="MS PGothic" w:eastAsia="MS PGothic" w:hAnsi="MS PGothic"/>
          <w:sz w:val="20"/>
          <w:szCs w:val="20"/>
          <w:color w:val="00C1DE"/>
        </w:rPr>
      </w:pPr>
    </w:p>
    <w:p>
      <w:pPr>
        <w:ind w:left="720" w:hanging="298"/>
        <w:spacing w:after="0"/>
        <w:tabs>
          <w:tab w:leader="none" w:pos="720" w:val="left"/>
        </w:tabs>
        <w:numPr>
          <w:ilvl w:val="0"/>
          <w:numId w:val="73"/>
        </w:numPr>
        <w:rPr>
          <w:rFonts w:ascii="MS PGothic" w:cs="MS PGothic" w:eastAsia="MS PGothic" w:hAnsi="MS PGothic"/>
          <w:sz w:val="20"/>
          <w:szCs w:val="20"/>
          <w:color w:val="00C1DE"/>
        </w:rPr>
      </w:pPr>
      <w:r>
        <w:rPr>
          <w:rFonts w:ascii="Arial" w:cs="Arial" w:eastAsia="Arial" w:hAnsi="Arial"/>
          <w:sz w:val="20"/>
          <w:szCs w:val="20"/>
          <w:color w:val="3E3935"/>
        </w:rPr>
        <w:t>Conduct an annual audit of senior executive expenses and perquisites that is reviewed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233045</wp:posOffset>
            </wp:positionV>
            <wp:extent cx="69297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88265</wp:posOffset>
            </wp:positionV>
            <wp:extent cx="69297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-216535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-641350</wp:posOffset>
            </wp:positionV>
            <wp:extent cx="69297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-946785</wp:posOffset>
            </wp:positionV>
            <wp:extent cx="69297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-1252855</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-1677035</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-1983105</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-2407920</wp:posOffset>
            </wp:positionV>
            <wp:extent cx="69297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-2713355</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-3138170</wp:posOffset>
            </wp:positionV>
            <wp:extent cx="69297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00C1D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692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 w:lineRule="exact"/>
        <w:rPr>
          <w:sz w:val="20"/>
          <w:szCs w:val="20"/>
          <w:color w:val="auto"/>
        </w:rPr>
      </w:pPr>
    </w:p>
    <w:p>
      <w:pPr>
        <w:ind w:left="720" w:hanging="236"/>
        <w:spacing w:after="0"/>
        <w:tabs>
          <w:tab w:leader="none" w:pos="720" w:val="left"/>
        </w:tabs>
        <w:numPr>
          <w:ilvl w:val="0"/>
          <w:numId w:val="74"/>
        </w:numPr>
        <w:rPr>
          <w:rFonts w:ascii="Times New Roman" w:cs="Times New Roman" w:eastAsia="Times New Roman" w:hAnsi="Times New Roman"/>
          <w:sz w:val="19"/>
          <w:szCs w:val="19"/>
          <w:b w:val="1"/>
          <w:bCs w:val="1"/>
          <w:i w:val="1"/>
          <w:iCs w:val="1"/>
          <w:color w:val="00C1DE"/>
        </w:rPr>
      </w:pPr>
      <w:r>
        <w:rPr>
          <w:rFonts w:ascii="Arial" w:cs="Arial" w:eastAsia="Arial" w:hAnsi="Arial"/>
          <w:sz w:val="19"/>
          <w:szCs w:val="19"/>
          <w:color w:val="3E3935"/>
        </w:rPr>
        <w:t>Provide gross-up payments to cover personal income taxes or excise taxes pertaining to executive severance benefits</w:t>
      </w:r>
    </w:p>
    <w:p>
      <w:pPr>
        <w:spacing w:after="0" w:line="248" w:lineRule="exact"/>
        <w:rPr>
          <w:rFonts w:ascii="Times New Roman" w:cs="Times New Roman" w:eastAsia="Times New Roman" w:hAnsi="Times New Roman"/>
          <w:sz w:val="19"/>
          <w:szCs w:val="19"/>
          <w:b w:val="1"/>
          <w:bCs w:val="1"/>
          <w:i w:val="1"/>
          <w:iCs w:val="1"/>
          <w:color w:val="00C1DE"/>
        </w:rPr>
      </w:pPr>
    </w:p>
    <w:p>
      <w:pPr>
        <w:ind w:left="720" w:hanging="236"/>
        <w:spacing w:after="0"/>
        <w:tabs>
          <w:tab w:leader="none" w:pos="720" w:val="left"/>
        </w:tabs>
        <w:numPr>
          <w:ilvl w:val="0"/>
          <w:numId w:val="74"/>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Pay above-market interest on deferred compensation in retirement plans</w:t>
      </w:r>
    </w:p>
    <w:p>
      <w:pPr>
        <w:spacing w:after="0" w:line="237" w:lineRule="exact"/>
        <w:rPr>
          <w:rFonts w:ascii="Times New Roman" w:cs="Times New Roman" w:eastAsia="Times New Roman" w:hAnsi="Times New Roman"/>
          <w:sz w:val="20"/>
          <w:szCs w:val="20"/>
          <w:b w:val="1"/>
          <w:bCs w:val="1"/>
          <w:i w:val="1"/>
          <w:iCs w:val="1"/>
          <w:color w:val="00C1DE"/>
        </w:rPr>
      </w:pPr>
    </w:p>
    <w:p>
      <w:pPr>
        <w:ind w:left="720" w:hanging="236"/>
        <w:spacing w:after="0"/>
        <w:tabs>
          <w:tab w:leader="none" w:pos="720" w:val="left"/>
        </w:tabs>
        <w:numPr>
          <w:ilvl w:val="0"/>
          <w:numId w:val="74"/>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Allow any director or employee to engage in hedging or pledging of GM securities</w:t>
      </w:r>
    </w:p>
    <w:p>
      <w:pPr>
        <w:spacing w:after="0" w:line="237" w:lineRule="exact"/>
        <w:rPr>
          <w:rFonts w:ascii="Times New Roman" w:cs="Times New Roman" w:eastAsia="Times New Roman" w:hAnsi="Times New Roman"/>
          <w:sz w:val="20"/>
          <w:szCs w:val="20"/>
          <w:b w:val="1"/>
          <w:bCs w:val="1"/>
          <w:i w:val="1"/>
          <w:iCs w:val="1"/>
          <w:color w:val="00C1DE"/>
        </w:rPr>
      </w:pPr>
    </w:p>
    <w:p>
      <w:pPr>
        <w:ind w:left="720" w:hanging="236"/>
        <w:spacing w:after="0"/>
        <w:tabs>
          <w:tab w:leader="none" w:pos="720" w:val="left"/>
        </w:tabs>
        <w:numPr>
          <w:ilvl w:val="0"/>
          <w:numId w:val="74"/>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Reward executives for excessive, imprudent, inappropriate, or unnecessary risk-taking</w:t>
      </w:r>
    </w:p>
    <w:p>
      <w:pPr>
        <w:spacing w:after="0" w:line="237" w:lineRule="exact"/>
        <w:rPr>
          <w:rFonts w:ascii="Times New Roman" w:cs="Times New Roman" w:eastAsia="Times New Roman" w:hAnsi="Times New Roman"/>
          <w:sz w:val="20"/>
          <w:szCs w:val="20"/>
          <w:b w:val="1"/>
          <w:bCs w:val="1"/>
          <w:i w:val="1"/>
          <w:iCs w:val="1"/>
          <w:color w:val="00C1DE"/>
        </w:rPr>
      </w:pPr>
    </w:p>
    <w:p>
      <w:pPr>
        <w:ind w:left="720" w:hanging="236"/>
        <w:spacing w:after="0"/>
        <w:tabs>
          <w:tab w:leader="none" w:pos="720" w:val="left"/>
        </w:tabs>
        <w:numPr>
          <w:ilvl w:val="0"/>
          <w:numId w:val="74"/>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Allow the repricing, spring-loading, or backdating of equity awards</w:t>
      </w:r>
    </w:p>
    <w:p>
      <w:pPr>
        <w:spacing w:after="0" w:line="288" w:lineRule="exact"/>
        <w:rPr>
          <w:rFonts w:ascii="Times New Roman" w:cs="Times New Roman" w:eastAsia="Times New Roman" w:hAnsi="Times New Roman"/>
          <w:sz w:val="20"/>
          <w:szCs w:val="20"/>
          <w:b w:val="1"/>
          <w:bCs w:val="1"/>
          <w:i w:val="1"/>
          <w:iCs w:val="1"/>
          <w:color w:val="00C1DE"/>
        </w:rPr>
      </w:pPr>
    </w:p>
    <w:p>
      <w:pPr>
        <w:ind w:left="1140"/>
        <w:spacing w:after="0"/>
        <w:rPr>
          <w:rFonts w:ascii="Times New Roman" w:cs="Times New Roman" w:eastAsia="Times New Roman" w:hAnsi="Times New Roman"/>
          <w:sz w:val="20"/>
          <w:szCs w:val="20"/>
          <w:b w:val="1"/>
          <w:bCs w:val="1"/>
          <w:i w:val="1"/>
          <w:iCs w:val="1"/>
          <w:color w:val="00C1DE"/>
        </w:rPr>
      </w:pPr>
      <w:r>
        <w:rPr>
          <w:rFonts w:ascii="Times New Roman" w:cs="Times New Roman" w:eastAsia="Times New Roman" w:hAnsi="Times New Roman"/>
          <w:sz w:val="1"/>
          <w:szCs w:val="1"/>
          <w:b w:val="1"/>
          <w:bCs w:val="1"/>
          <w:i w:val="1"/>
          <w:iCs w:val="1"/>
          <w:color w:val="00C1DE"/>
        </w:rPr>
        <w:drawing>
          <wp:inline distT="0" distB="0" distL="0" distR="0">
            <wp:extent cx="5927725" cy="1016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27725" cy="101600"/>
                    </a:xfrm>
                    <a:prstGeom prst="rect">
                      <a:avLst/>
                    </a:prstGeom>
                    <a:noFill/>
                    <a:ln>
                      <a:noFill/>
                    </a:ln>
                  </pic:spPr>
                </pic:pic>
              </a:graphicData>
            </a:graphic>
          </wp:inline>
        </w:drawing>
      </w:r>
      <w:r>
        <w:rPr>
          <w:rFonts w:ascii="Arial" w:cs="Arial" w:eastAsia="Arial" w:hAnsi="Arial"/>
          <w:sz w:val="14"/>
          <w:szCs w:val="14"/>
          <w:color w:val="0071CE"/>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-512445</wp:posOffset>
            </wp:positionV>
            <wp:extent cx="69297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-809625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-1106805</wp:posOffset>
            </wp:positionV>
            <wp:extent cx="69297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-1404620</wp:posOffset>
            </wp:positionV>
            <wp:extent cx="69297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75"/>
        </w:numPr>
        <w:rPr>
          <w:rFonts w:ascii="Times New Roman" w:cs="Times New Roman" w:eastAsia="Times New Roman" w:hAnsi="Times New Roman"/>
          <w:sz w:val="21"/>
          <w:szCs w:val="21"/>
          <w:color w:val="0071CE"/>
        </w:rPr>
      </w:pPr>
      <w:r>
        <w:rPr>
          <w:rFonts w:ascii="Arial" w:cs="Arial" w:eastAsia="Arial" w:hAnsi="Arial"/>
          <w:sz w:val="25"/>
          <w:szCs w:val="25"/>
          <w:color w:val="3E3935"/>
        </w:rPr>
        <w:t>Shareholder Engagement</w:t>
      </w:r>
    </w:p>
    <w:p>
      <w:pPr>
        <w:spacing w:after="0" w:line="15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Company views shareholder engagement as a continuous process and annually seeks feedback directly from our shareholders. Through these engagements, we received positive feedback in support of our executive compensation program and, in particular, the Compensation Committee’s decision to further drive accountability and reinforce our EV and growth strategy, safety culture, and ESG priorities. The ongoing dialog with shareholders this past year provided critical feedback that was used in the development of our 2022 LTIP design, which further aligns the interest of our executives to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142240</wp:posOffset>
            </wp:positionV>
            <wp:extent cx="6556375" cy="2038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556375" cy="20383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left="5500"/>
        <w:spacing w:after="0"/>
        <w:rPr>
          <w:sz w:val="20"/>
          <w:szCs w:val="20"/>
          <w:color w:val="auto"/>
        </w:rPr>
      </w:pPr>
      <w:r>
        <w:rPr>
          <w:rFonts w:ascii="Arial" w:cs="Arial" w:eastAsia="Arial" w:hAnsi="Arial"/>
          <w:sz w:val="20"/>
          <w:szCs w:val="20"/>
          <w:b w:val="1"/>
          <w:bCs w:val="1"/>
          <w:color w:val="00C1DE"/>
        </w:rPr>
        <w:t>SHAREHOLDER SAY-ON-PAY</w:t>
      </w:r>
    </w:p>
    <w:p>
      <w:pPr>
        <w:spacing w:after="0" w:line="4" w:lineRule="exact"/>
        <w:rPr>
          <w:sz w:val="20"/>
          <w:szCs w:val="20"/>
          <w:color w:val="auto"/>
        </w:rPr>
      </w:pPr>
    </w:p>
    <w:p>
      <w:pPr>
        <w:jc w:val="both"/>
        <w:ind w:left="5880" w:right="200"/>
        <w:spacing w:after="0" w:line="225" w:lineRule="auto"/>
        <w:rPr>
          <w:sz w:val="20"/>
          <w:szCs w:val="20"/>
          <w:color w:val="auto"/>
        </w:rPr>
      </w:pPr>
      <w:r>
        <w:rPr>
          <w:rFonts w:ascii="Arial" w:cs="Arial" w:eastAsia="Arial" w:hAnsi="Arial"/>
          <w:sz w:val="20"/>
          <w:szCs w:val="20"/>
          <w:color w:val="3E3935"/>
        </w:rPr>
        <w:t>The Compensation Committee seeks to align the Company’s executive compensation program with the interests of the Company’s shareholders. The Compensation Committee considers the results of the annual Say-on-Pay vote, the long-term vision and strategic goals of the Company, input from management, input from its independent compensation consultant, and investor engagement feedback when setting and developing compensation plans for our executives. In 2021, 95.3 percent of our shareholders voted in favor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373380</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60"/>
        <w:spacing w:after="0"/>
        <w:tabs>
          <w:tab w:leader="none" w:pos="3220" w:val="left"/>
        </w:tabs>
        <w:rPr>
          <w:sz w:val="20"/>
          <w:szCs w:val="20"/>
          <w:color w:val="auto"/>
        </w:rPr>
      </w:pPr>
      <w:r>
        <w:rPr>
          <w:rFonts w:ascii="Arial" w:cs="Arial" w:eastAsia="Arial" w:hAnsi="Arial"/>
          <w:sz w:val="20"/>
          <w:szCs w:val="20"/>
          <w:b w:val="1"/>
          <w:bCs w:val="1"/>
          <w:color w:val="00C1DE"/>
        </w:rPr>
        <w:t>Investor Alignment Topics</w:t>
      </w:r>
      <w:r>
        <w:rPr>
          <w:sz w:val="20"/>
          <w:szCs w:val="20"/>
          <w:color w:val="auto"/>
        </w:rPr>
        <w:tab/>
      </w:r>
      <w:r>
        <w:rPr>
          <w:rFonts w:ascii="Arial" w:cs="Arial" w:eastAsia="Arial" w:hAnsi="Arial"/>
          <w:sz w:val="19"/>
          <w:szCs w:val="19"/>
          <w:b w:val="1"/>
          <w:bCs w:val="1"/>
          <w:color w:val="00C1DE"/>
        </w:rPr>
        <w:t>2021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69297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144" w:lineRule="exact"/>
        <w:rPr>
          <w:sz w:val="20"/>
          <w:szCs w:val="20"/>
          <w:color w:val="auto"/>
        </w:rPr>
      </w:pPr>
    </w:p>
    <w:p>
      <w:pPr>
        <w:ind w:left="260"/>
        <w:spacing w:after="0" w:line="237" w:lineRule="auto"/>
        <w:rPr>
          <w:sz w:val="20"/>
          <w:szCs w:val="20"/>
          <w:color w:val="auto"/>
        </w:rPr>
      </w:pPr>
      <w:r>
        <w:rPr>
          <w:rFonts w:ascii="Arial" w:cs="Arial" w:eastAsia="Arial" w:hAnsi="Arial"/>
          <w:sz w:val="20"/>
          <w:szCs w:val="20"/>
          <w:b w:val="1"/>
          <w:bCs w:val="1"/>
          <w:color w:val="3E3935"/>
        </w:rPr>
        <w:t>Review Incentive Plan Metrics to Align to EV Strategy and Reduce Overall GHG Emissions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We considered shareholder feedback in making changes to our LTIP design. For the 2022 LTIP design, we replaced Relative ROIC-Adjusted with absolute EBIT-Adjusted Margin, maintained Relative TSR, and added Electric Vehicle performance measures that reward performance for GMNA EV Volume, GMNA EV Launch Timing, and GMNA EV Launch Quality. These changes further link the long-term compensation of our executives to the long-term EV strategy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40005</wp:posOffset>
            </wp:positionV>
            <wp:extent cx="69297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3040" w:space="200"/>
            <w:col w:w="7840"/>
          </w:cols>
          <w:pgMar w:left="320" w:top="454" w:right="499" w:bottom="1440" w:gutter="0" w:footer="0" w:header="0"/>
          <w:type w:val="continuous"/>
        </w:sectPr>
      </w:pPr>
    </w:p>
    <w:p>
      <w:pPr>
        <w:jc w:val="both"/>
        <w:ind w:left="260"/>
        <w:spacing w:after="0" w:line="263" w:lineRule="auto"/>
        <w:rPr>
          <w:sz w:val="20"/>
          <w:szCs w:val="20"/>
          <w:color w:val="auto"/>
        </w:rPr>
      </w:pPr>
      <w:r>
        <w:rPr>
          <w:rFonts w:ascii="Arial" w:cs="Arial" w:eastAsia="Arial" w:hAnsi="Arial"/>
          <w:sz w:val="19"/>
          <w:szCs w:val="19"/>
          <w:b w:val="1"/>
          <w:bCs w:val="1"/>
          <w:color w:val="3E3935"/>
        </w:rPr>
        <w:t>Provide Additional Disclosure on the Impact of ESG Results into Compensation Decisions</w:t>
      </w:r>
    </w:p>
    <w:p>
      <w:pPr>
        <w:spacing w:after="0" w:line="20" w:lineRule="exact"/>
        <w:rPr>
          <w:sz w:val="20"/>
          <w:szCs w:val="20"/>
          <w:color w:val="auto"/>
        </w:rPr>
      </w:pPr>
      <w:r>
        <w:rPr>
          <w:sz w:val="20"/>
          <w:szCs w:val="20"/>
          <w:color w:val="auto"/>
        </w:rPr>
        <w:br w:type="column"/>
      </w:r>
    </w:p>
    <w:p>
      <w:pPr>
        <w:jc w:val="both"/>
        <w:spacing w:after="0" w:line="228" w:lineRule="auto"/>
        <w:rPr>
          <w:sz w:val="20"/>
          <w:szCs w:val="20"/>
          <w:color w:val="auto"/>
        </w:rPr>
      </w:pPr>
      <w:r>
        <w:rPr>
          <w:rFonts w:ascii="Arial" w:cs="Arial" w:eastAsia="Arial" w:hAnsi="Arial"/>
          <w:sz w:val="20"/>
          <w:szCs w:val="20"/>
          <w:color w:val="3E3935"/>
        </w:rPr>
        <w:t>ESG performance continues to be a focus for the Company and our shareholders. The Compensation Committee factors ESG performance into strategic goals for each NEO. We enhanced our disclosure to demonstrate our continued work towards ESG performance and provided greater detail into the goal setting process for our strategic goals portion of the STIP. We identify ESG results with a green leaf in the “Our Company Performance” section beginning on page 47 of this Proxy Statement and the “Performance Results and Compensation Decisions” section for our NEOs beginning on page 61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41910</wp:posOffset>
            </wp:positionV>
            <wp:extent cx="69297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3040" w:space="200"/>
            <w:col w:w="7840"/>
          </w:cols>
          <w:pgMar w:left="320" w:top="454" w:right="499" w:bottom="1440" w:gutter="0" w:footer="0" w:header="0"/>
          <w:type w:val="continuous"/>
        </w:sectPr>
      </w:pPr>
    </w:p>
    <w:tbl>
      <w:tblPr>
        <w:tblLayout w:type="fixed"/>
        <w:tblInd w:w="160" w:type="dxa"/>
        <w:tblCellMar>
          <w:top w:w="0" w:type="dxa"/>
          <w:left w:w="0" w:type="dxa"/>
          <w:bottom w:w="0" w:type="dxa"/>
          <w:right w:w="0" w:type="dxa"/>
        </w:tblCellMar>
      </w:tblPr>
      <w:tr>
        <w:trPr>
          <w:trHeight w:val="230"/>
        </w:trPr>
        <w:tc>
          <w:tcPr>
            <w:tcW w:w="2800" w:type="dxa"/>
            <w:vAlign w:val="bottom"/>
          </w:tcPr>
          <w:p>
            <w:pPr>
              <w:ind w:left="100"/>
              <w:spacing w:after="0"/>
              <w:rPr>
                <w:sz w:val="20"/>
                <w:szCs w:val="20"/>
                <w:color w:val="auto"/>
              </w:rPr>
            </w:pPr>
            <w:r>
              <w:rPr>
                <w:rFonts w:ascii="Arial" w:cs="Arial" w:eastAsia="Arial" w:hAnsi="Arial"/>
                <w:sz w:val="20"/>
                <w:szCs w:val="20"/>
                <w:b w:val="1"/>
                <w:bCs w:val="1"/>
                <w:color w:val="3E3935"/>
              </w:rPr>
              <w:t>Continued Assessment of</w:t>
            </w:r>
          </w:p>
        </w:tc>
        <w:tc>
          <w:tcPr>
            <w:tcW w:w="8120" w:type="dxa"/>
            <w:vAlign w:val="bottom"/>
          </w:tcPr>
          <w:p>
            <w:pPr>
              <w:ind w:left="280"/>
              <w:spacing w:after="0"/>
              <w:rPr>
                <w:sz w:val="20"/>
                <w:szCs w:val="20"/>
                <w:color w:val="auto"/>
              </w:rPr>
            </w:pPr>
            <w:r>
              <w:rPr>
                <w:rFonts w:ascii="Arial" w:cs="Arial" w:eastAsia="Arial" w:hAnsi="Arial"/>
                <w:sz w:val="20"/>
                <w:szCs w:val="20"/>
                <w:color w:val="3E3935"/>
              </w:rPr>
              <w:t>The  Compensation  Committee  reviews  recommendations  from  its  independent</w:t>
            </w:r>
          </w:p>
        </w:tc>
      </w:tr>
      <w:tr>
        <w:trPr>
          <w:trHeight w:val="214"/>
        </w:trPr>
        <w:tc>
          <w:tcPr>
            <w:tcW w:w="2800" w:type="dxa"/>
            <w:vAlign w:val="bottom"/>
          </w:tcPr>
          <w:p>
            <w:pPr>
              <w:ind w:left="100"/>
              <w:spacing w:after="0" w:line="214" w:lineRule="exact"/>
              <w:rPr>
                <w:sz w:val="20"/>
                <w:szCs w:val="20"/>
                <w:color w:val="auto"/>
              </w:rPr>
            </w:pPr>
            <w:r>
              <w:rPr>
                <w:rFonts w:ascii="Arial" w:cs="Arial" w:eastAsia="Arial" w:hAnsi="Arial"/>
                <w:sz w:val="20"/>
                <w:szCs w:val="20"/>
                <w:b w:val="1"/>
                <w:bCs w:val="1"/>
                <w:color w:val="3E3935"/>
              </w:rPr>
              <w:t>Appropriate Peer Group</w:t>
            </w:r>
          </w:p>
        </w:tc>
        <w:tc>
          <w:tcPr>
            <w:tcW w:w="8120" w:type="dxa"/>
            <w:vAlign w:val="bottom"/>
          </w:tcPr>
          <w:p>
            <w:pPr>
              <w:ind w:left="280"/>
              <w:spacing w:after="0" w:line="214" w:lineRule="exact"/>
              <w:rPr>
                <w:sz w:val="20"/>
                <w:szCs w:val="20"/>
                <w:color w:val="auto"/>
              </w:rPr>
            </w:pPr>
            <w:r>
              <w:rPr>
                <w:rFonts w:ascii="Arial" w:cs="Arial" w:eastAsia="Arial" w:hAnsi="Arial"/>
                <w:sz w:val="20"/>
                <w:szCs w:val="20"/>
                <w:color w:val="3E3935"/>
              </w:rPr>
              <w:t>compensation consultant annually to determine if any additions or deletions to the peer</w:t>
            </w:r>
          </w:p>
        </w:tc>
      </w:tr>
      <w:tr>
        <w:trPr>
          <w:trHeight w:val="216"/>
        </w:trPr>
        <w:tc>
          <w:tcPr>
            <w:tcW w:w="2800" w:type="dxa"/>
            <w:vAlign w:val="bottom"/>
          </w:tcPr>
          <w:p>
            <w:pPr>
              <w:ind w:left="100"/>
              <w:spacing w:after="0" w:line="216" w:lineRule="exact"/>
              <w:rPr>
                <w:sz w:val="20"/>
                <w:szCs w:val="20"/>
                <w:color w:val="auto"/>
              </w:rPr>
            </w:pPr>
            <w:r>
              <w:rPr>
                <w:rFonts w:ascii="Arial" w:cs="Arial" w:eastAsia="Arial" w:hAnsi="Arial"/>
                <w:sz w:val="20"/>
                <w:szCs w:val="20"/>
                <w:b w:val="1"/>
                <w:bCs w:val="1"/>
                <w:color w:val="3E3935"/>
              </w:rPr>
              <w:t>Selection</w:t>
            </w:r>
          </w:p>
        </w:tc>
        <w:tc>
          <w:tcPr>
            <w:tcW w:w="8120" w:type="dxa"/>
            <w:vAlign w:val="bottom"/>
          </w:tcPr>
          <w:p>
            <w:pPr>
              <w:ind w:left="280"/>
              <w:spacing w:after="0" w:line="216" w:lineRule="exact"/>
              <w:rPr>
                <w:sz w:val="20"/>
                <w:szCs w:val="20"/>
                <w:color w:val="auto"/>
              </w:rPr>
            </w:pPr>
            <w:r>
              <w:rPr>
                <w:rFonts w:ascii="Arial" w:cs="Arial" w:eastAsia="Arial" w:hAnsi="Arial"/>
                <w:sz w:val="20"/>
                <w:szCs w:val="20"/>
                <w:color w:val="3E3935"/>
              </w:rPr>
              <w:t>group is appropriate. We ensure our peer group composition remains competitive and</w:t>
            </w:r>
          </w:p>
        </w:tc>
      </w:tr>
      <w:tr>
        <w:trPr>
          <w:trHeight w:val="214"/>
        </w:trPr>
        <w:tc>
          <w:tcPr>
            <w:tcW w:w="2800" w:type="dxa"/>
            <w:vAlign w:val="bottom"/>
          </w:tcPr>
          <w:p>
            <w:pPr>
              <w:spacing w:after="0"/>
              <w:rPr>
                <w:sz w:val="18"/>
                <w:szCs w:val="18"/>
                <w:color w:val="auto"/>
              </w:rPr>
            </w:pPr>
          </w:p>
        </w:tc>
        <w:tc>
          <w:tcPr>
            <w:tcW w:w="8120" w:type="dxa"/>
            <w:vAlign w:val="bottom"/>
          </w:tcPr>
          <w:p>
            <w:pPr>
              <w:ind w:left="280"/>
              <w:spacing w:after="0" w:line="214" w:lineRule="exact"/>
              <w:rPr>
                <w:sz w:val="20"/>
                <w:szCs w:val="20"/>
                <w:color w:val="auto"/>
              </w:rPr>
            </w:pPr>
            <w:r>
              <w:rPr>
                <w:rFonts w:ascii="Arial" w:cs="Arial" w:eastAsia="Arial" w:hAnsi="Arial"/>
                <w:sz w:val="20"/>
                <w:szCs w:val="20"/>
                <w:color w:val="3E3935"/>
                <w:w w:val="98"/>
              </w:rPr>
              <w:t>appropriate as the Company continues to expand into new businesses. A full disclosure of</w:t>
            </w:r>
          </w:p>
        </w:tc>
      </w:tr>
      <w:tr>
        <w:trPr>
          <w:trHeight w:val="214"/>
        </w:trPr>
        <w:tc>
          <w:tcPr>
            <w:tcW w:w="2800" w:type="dxa"/>
            <w:vAlign w:val="bottom"/>
          </w:tcPr>
          <w:p>
            <w:pPr>
              <w:spacing w:after="0"/>
              <w:rPr>
                <w:sz w:val="18"/>
                <w:szCs w:val="18"/>
                <w:color w:val="auto"/>
              </w:rPr>
            </w:pPr>
          </w:p>
        </w:tc>
        <w:tc>
          <w:tcPr>
            <w:tcW w:w="8120" w:type="dxa"/>
            <w:vAlign w:val="bottom"/>
          </w:tcPr>
          <w:p>
            <w:pPr>
              <w:ind w:left="280"/>
              <w:spacing w:after="0" w:line="214" w:lineRule="exact"/>
              <w:rPr>
                <w:sz w:val="20"/>
                <w:szCs w:val="20"/>
                <w:color w:val="auto"/>
              </w:rPr>
            </w:pPr>
            <w:r>
              <w:rPr>
                <w:rFonts w:ascii="Arial" w:cs="Arial" w:eastAsia="Arial" w:hAnsi="Arial"/>
                <w:sz w:val="20"/>
                <w:szCs w:val="20"/>
                <w:color w:val="3E3935"/>
              </w:rPr>
              <w:t>our  consistent  approach  and  framework  can  be  found  in  the  “Peer  Group  for</w:t>
            </w:r>
          </w:p>
        </w:tc>
      </w:tr>
      <w:tr>
        <w:trPr>
          <w:trHeight w:val="257"/>
        </w:trPr>
        <w:tc>
          <w:tcPr>
            <w:tcW w:w="2800" w:type="dxa"/>
            <w:vAlign w:val="bottom"/>
          </w:tcPr>
          <w:p>
            <w:pPr>
              <w:spacing w:after="0"/>
              <w:rPr>
                <w:sz w:val="22"/>
                <w:szCs w:val="22"/>
                <w:color w:val="auto"/>
              </w:rPr>
            </w:pPr>
          </w:p>
        </w:tc>
        <w:tc>
          <w:tcPr>
            <w:tcW w:w="8120" w:type="dxa"/>
            <w:vAlign w:val="bottom"/>
          </w:tcPr>
          <w:p>
            <w:pPr>
              <w:ind w:left="280"/>
              <w:spacing w:after="0"/>
              <w:rPr>
                <w:sz w:val="20"/>
                <w:szCs w:val="20"/>
                <w:color w:val="auto"/>
              </w:rPr>
            </w:pPr>
            <w:r>
              <w:rPr>
                <w:rFonts w:ascii="Arial" w:cs="Arial" w:eastAsia="Arial" w:hAnsi="Arial"/>
                <w:sz w:val="20"/>
                <w:szCs w:val="20"/>
                <w:color w:val="3E3935"/>
              </w:rPr>
              <w:t>Compensation Benchmarking” section on page 53 of this Proxy Statement.</w:t>
            </w:r>
          </w:p>
        </w:tc>
      </w:tr>
      <w:tr>
        <w:trPr>
          <w:trHeight w:val="58"/>
        </w:trPr>
        <w:tc>
          <w:tcPr>
            <w:tcW w:w="2800" w:type="dxa"/>
            <w:vAlign w:val="bottom"/>
            <w:tcBorders>
              <w:bottom w:val="single" w:sz="8" w:color="0071CE"/>
            </w:tcBorders>
          </w:tcPr>
          <w:p>
            <w:pPr>
              <w:spacing w:after="0"/>
              <w:rPr>
                <w:sz w:val="5"/>
                <w:szCs w:val="5"/>
                <w:color w:val="auto"/>
              </w:rPr>
            </w:pPr>
          </w:p>
        </w:tc>
        <w:tc>
          <w:tcPr>
            <w:tcW w:w="8120" w:type="dxa"/>
            <w:vAlign w:val="bottom"/>
            <w:tcBorders>
              <w:bottom w:val="single" w:sz="8" w:color="0071CE"/>
            </w:tcBorders>
          </w:tcPr>
          <w:p>
            <w:pPr>
              <w:spacing w:after="0"/>
              <w:rPr>
                <w:sz w:val="5"/>
                <w:szCs w:val="5"/>
                <w:color w:val="auto"/>
              </w:rPr>
            </w:pPr>
          </w:p>
        </w:tc>
      </w:tr>
    </w:tbl>
    <w:p>
      <w:pPr>
        <w:spacing w:after="0" w:line="138" w:lineRule="exact"/>
        <w:rPr>
          <w:sz w:val="20"/>
          <w:szCs w:val="20"/>
          <w:color w:val="auto"/>
        </w:rPr>
      </w:pPr>
    </w:p>
    <w:p>
      <w:pPr>
        <w:jc w:val="center"/>
        <w:ind w:right="10580"/>
        <w:spacing w:after="0"/>
        <w:rPr>
          <w:sz w:val="20"/>
          <w:szCs w:val="20"/>
          <w:color w:val="auto"/>
        </w:rPr>
      </w:pPr>
      <w:r>
        <w:rPr>
          <w:rFonts w:ascii="Arial" w:cs="Arial" w:eastAsia="Arial" w:hAnsi="Arial"/>
          <w:sz w:val="14"/>
          <w:szCs w:val="14"/>
          <w:color w:val="0071C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76"/>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Program Evolution</w:t>
      </w:r>
    </w:p>
    <w:p>
      <w:pPr>
        <w:spacing w:after="0" w:line="11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Our executive compensation program focuses leadership on key areas that drive the business forward and align to the short-term and long-term interests of our shareholders. The Compensation Committee regularly reviews and discusses plan performance at each meeting. The Compensation Committee considers many factors when electing to make plan changes for future incentive plans, including results, market trends, and feedback from its independent compensation consultant and shareholders. The timeline below shows the actions we have taken to develop executive compensation plans that align the interests of our senior leaders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303530</wp:posOffset>
            </wp:positionV>
            <wp:extent cx="5256530" cy="30232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56530" cy="302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0" w:hanging="533"/>
        <w:spacing w:after="0"/>
        <w:tabs>
          <w:tab w:leader="none" w:pos="700" w:val="left"/>
        </w:tabs>
        <w:numPr>
          <w:ilvl w:val="0"/>
          <w:numId w:val="77"/>
        </w:numPr>
        <w:rPr>
          <w:rFonts w:ascii="Times New Roman" w:cs="Times New Roman" w:eastAsia="Times New Roman" w:hAnsi="Times New Roman"/>
          <w:sz w:val="21"/>
          <w:szCs w:val="21"/>
          <w:color w:val="0071CE"/>
        </w:rPr>
      </w:pPr>
      <w:r>
        <w:rPr>
          <w:rFonts w:ascii="Arial" w:cs="Arial" w:eastAsia="Arial" w:hAnsi="Arial"/>
          <w:sz w:val="25"/>
          <w:szCs w:val="25"/>
          <w:color w:val="3E3935"/>
        </w:rPr>
        <w:t>2022 LTIP Design Changes</w:t>
      </w:r>
    </w:p>
    <w:p>
      <w:pPr>
        <w:spacing w:after="0" w:line="248" w:lineRule="exact"/>
        <w:rPr>
          <w:sz w:val="20"/>
          <w:szCs w:val="20"/>
          <w:color w:val="auto"/>
        </w:rPr>
      </w:pPr>
    </w:p>
    <w:p>
      <w:pPr>
        <w:ind w:left="160" w:right="4380"/>
        <w:spacing w:after="0" w:line="251" w:lineRule="auto"/>
        <w:rPr>
          <w:sz w:val="20"/>
          <w:szCs w:val="20"/>
          <w:color w:val="auto"/>
        </w:rPr>
      </w:pPr>
      <w:r>
        <w:rPr>
          <w:rFonts w:ascii="Arial" w:cs="Arial" w:eastAsia="Arial" w:hAnsi="Arial"/>
          <w:sz w:val="20"/>
          <w:szCs w:val="20"/>
          <w:color w:val="3E3935"/>
        </w:rPr>
        <w:t>The 2022 LTIP design will continue to have a mix of PSUs and Stock Options, and PSUs will now include the following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-290830</wp:posOffset>
            </wp:positionV>
            <wp:extent cx="2310130" cy="21316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10130" cy="2131695"/>
                    </a:xfrm>
                    <a:prstGeom prst="rect">
                      <a:avLst/>
                    </a:prstGeom>
                    <a:noFill/>
                  </pic:spPr>
                </pic:pic>
              </a:graphicData>
            </a:graphic>
          </wp:anchor>
        </w:drawing>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0071CE"/>
        </w:rPr>
        <w:t>PSUs – 75%</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3E3935"/>
        </w:rPr>
        <w:t>EBIT-adjustedMargin – 30%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3E3935"/>
        </w:rPr>
        <w:t>Relative TSR – 30%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3E3935"/>
        </w:rPr>
        <w:t>EV Measures – 15%</w:t>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GMNA EV Volume</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GMNA EV Launch Timing</w:t>
      </w:r>
    </w:p>
    <w:p>
      <w:pPr>
        <w:ind w:left="9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GMNA EV Launch Quality (modifier)</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0071CE"/>
        </w:rPr>
        <w:t>Stock Options – 25%</w:t>
      </w:r>
    </w:p>
    <w:p>
      <w:pPr>
        <w:spacing w:after="0" w:line="227"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These changes further align our executive compensation program with our all-electric future and directs additional focus on Company growth and ESG performance, which will better support our path to EV leadership and expansion into new markets and technologies.</w:t>
      </w:r>
    </w:p>
    <w:p>
      <w:pPr>
        <w:spacing w:after="0" w:line="291" w:lineRule="exact"/>
        <w:rPr>
          <w:sz w:val="20"/>
          <w:szCs w:val="20"/>
          <w:color w:val="auto"/>
        </w:rPr>
      </w:pPr>
    </w:p>
    <w:p>
      <w:pPr>
        <w:ind w:left="700" w:hanging="533"/>
        <w:spacing w:after="0"/>
        <w:tabs>
          <w:tab w:leader="none" w:pos="700" w:val="left"/>
        </w:tabs>
        <w:numPr>
          <w:ilvl w:val="0"/>
          <w:numId w:val="78"/>
        </w:numPr>
        <w:rPr>
          <w:rFonts w:ascii="Times New Roman" w:cs="Times New Roman" w:eastAsia="Times New Roman" w:hAnsi="Times New Roman"/>
          <w:sz w:val="21"/>
          <w:szCs w:val="21"/>
          <w:color w:val="0071CE"/>
        </w:rPr>
      </w:pPr>
      <w:r>
        <w:rPr>
          <w:rFonts w:ascii="Arial" w:cs="Arial" w:eastAsia="Arial" w:hAnsi="Arial"/>
          <w:sz w:val="25"/>
          <w:szCs w:val="25"/>
          <w:color w:val="3E3935"/>
        </w:rPr>
        <w:t>2021 STIP and 2021 LTIP Overview</w:t>
      </w:r>
    </w:p>
    <w:p>
      <w:pPr>
        <w:spacing w:after="0" w:line="155"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2021 STIP focuses leadership on key financial measures (75% of STIP) and strategic goals (25% of STIP). The total payout for the STIP ranges from 0 to 200 percent based on performance against</w:t>
      </w:r>
    </w:p>
    <w:p>
      <w:pPr>
        <w:spacing w:after="0" w:line="106"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pre-established targets. The Compensation Committee determines performance to strategic goals using a rigorous assessment process that evaluates final results against pre-established operational goals, safety results, and other measures, including ESG outcomes. Payout for strategic goals performance occurs only if threshold performance of at least one financial measure is met.</w:t>
      </w:r>
    </w:p>
    <w:p>
      <w:pPr>
        <w:spacing w:after="0" w:line="106"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2021 LTIP has the same design as in 2020 and features Stock Options (25% of total LTIP) to align our most senior leaders with shareholders’ interest in stock price appreciation and PSUs (75% of total LTIP) with relative performance measures that drive long-term results. PSUs are equally weighted for Relative ROIC-adjusted (37.5% of total LTIP) and Relative TSR (37.5% of total LTIP), and performance payouts are capped, as described below.</w:t>
      </w:r>
    </w:p>
    <w:p>
      <w:pPr>
        <w:spacing w:after="0" w:line="104" w:lineRule="exact"/>
        <w:rPr>
          <w:sz w:val="20"/>
          <w:szCs w:val="20"/>
          <w:color w:val="auto"/>
        </w:rPr>
      </w:pPr>
    </w:p>
    <w:p>
      <w:pPr>
        <w:ind w:left="720" w:right="1860"/>
        <w:spacing w:after="0" w:line="376" w:lineRule="auto"/>
        <w:rPr>
          <w:sz w:val="20"/>
          <w:szCs w:val="20"/>
          <w:color w:val="auto"/>
        </w:rPr>
      </w:pPr>
      <w:r>
        <w:rPr>
          <w:rFonts w:ascii="Arial" w:cs="Arial" w:eastAsia="Arial" w:hAnsi="Arial"/>
          <w:sz w:val="20"/>
          <w:szCs w:val="20"/>
          <w:b w:val="1"/>
          <w:bCs w:val="1"/>
          <w:color w:val="00C1DE"/>
        </w:rPr>
        <w:t xml:space="preserve">Relative ROIC-adjusted </w:t>
      </w:r>
      <w:r>
        <w:rPr>
          <w:rFonts w:ascii="Arial" w:cs="Arial" w:eastAsia="Arial" w:hAnsi="Arial"/>
          <w:sz w:val="20"/>
          <w:szCs w:val="20"/>
          <w:color w:val="3E3935"/>
        </w:rPr>
        <w:t>– Capped at target if GM’s ROIC-adjusted does not exceed GM’s WACC</w:t>
      </w:r>
      <w:r>
        <w:rPr>
          <w:rFonts w:ascii="Arial" w:cs="Arial" w:eastAsia="Arial" w:hAnsi="Arial"/>
          <w:sz w:val="20"/>
          <w:szCs w:val="20"/>
          <w:b w:val="1"/>
          <w:bCs w:val="1"/>
          <w:color w:val="00C1DE"/>
        </w:rPr>
        <w:t xml:space="preserve"> Relative TSR </w:t>
      </w:r>
      <w:r>
        <w:rPr>
          <w:rFonts w:ascii="Arial" w:cs="Arial" w:eastAsia="Arial" w:hAnsi="Arial"/>
          <w:sz w:val="20"/>
          <w:szCs w:val="20"/>
          <w:color w:val="3E3935"/>
        </w:rPr>
        <w:t>– Capped at target if GM’s TSR is negative over the performance period</w:t>
      </w:r>
    </w:p>
    <w:p>
      <w:pPr>
        <w:spacing w:after="0" w:line="30"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Focusing performance on EBIT-adjusted, AAFCF, and strategic goals in the short term, combined with measuring Relative ROIC-adjusted and Relative TSR compared to our OEM peer group in the long term, provided direct alignment of our executive compensation program with the interests of our shareholders and focused senior leaders on making the investments that will provide profitable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301625</wp:posOffset>
            </wp:positionV>
            <wp:extent cx="5367020" cy="21399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67020"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00" w:hanging="533"/>
        <w:spacing w:after="0"/>
        <w:tabs>
          <w:tab w:leader="none" w:pos="700" w:val="left"/>
        </w:tabs>
        <w:numPr>
          <w:ilvl w:val="0"/>
          <w:numId w:val="79"/>
        </w:numPr>
        <w:rPr>
          <w:rFonts w:ascii="Times New Roman" w:cs="Times New Roman" w:eastAsia="Times New Roman" w:hAnsi="Times New Roman"/>
          <w:sz w:val="21"/>
          <w:szCs w:val="21"/>
          <w:color w:val="0071CE"/>
        </w:rPr>
      </w:pPr>
      <w:r>
        <w:rPr>
          <w:rFonts w:ascii="Arial" w:cs="Arial" w:eastAsia="Arial" w:hAnsi="Arial"/>
          <w:sz w:val="25"/>
          <w:szCs w:val="25"/>
          <w:color w:val="3E3935"/>
        </w:rPr>
        <w:t>Peer Group for 2021–2023 LTIP Performance</w:t>
      </w:r>
    </w:p>
    <w:p>
      <w:pPr>
        <w:spacing w:after="0" w:line="141"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We use the following OEMs in the Dow Jones Automobiles &amp; Parts Titans 30 Index to measure relative performance for Relative ROIC-adjusted and Relative TSR measures for the 2021–2023 PSU awards. The Compensation Committee uses this index for performance comparisons because these companies represent our global competition and are subject to similar macroeconomic forces.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00C1DE"/>
        </w:rPr>
        <w:t>Dow Jones Automobiles &amp; Parts Titans 30 Index – OEM Peer Group</w:t>
      </w:r>
      <w:r>
        <w:rPr>
          <w:rFonts w:ascii="Arial" w:cs="Arial" w:eastAsia="Arial" w:hAnsi="Arial"/>
          <w:sz w:val="16"/>
          <w:szCs w:val="16"/>
          <w:b w:val="1"/>
          <w:bCs w:val="1"/>
          <w:color w:val="00C1D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69297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3940" w:type="dxa"/>
            <w:vAlign w:val="bottom"/>
          </w:tcPr>
          <w:p>
            <w:pPr>
              <w:jc w:val="center"/>
              <w:spacing w:after="0"/>
              <w:rPr>
                <w:sz w:val="20"/>
                <w:szCs w:val="20"/>
                <w:color w:val="auto"/>
              </w:rPr>
            </w:pPr>
            <w:r>
              <w:rPr>
                <w:rFonts w:ascii="Arial" w:cs="Arial" w:eastAsia="Arial" w:hAnsi="Arial"/>
                <w:sz w:val="20"/>
                <w:szCs w:val="20"/>
                <w:color w:val="3E3935"/>
                <w:w w:val="97"/>
              </w:rPr>
              <w:t>Bayerische Motoren Werke AG</w:t>
            </w:r>
          </w:p>
        </w:tc>
        <w:tc>
          <w:tcPr>
            <w:tcW w:w="3720" w:type="dxa"/>
            <w:vAlign w:val="bottom"/>
          </w:tcPr>
          <w:p>
            <w:pPr>
              <w:jc w:val="center"/>
              <w:spacing w:after="0"/>
              <w:rPr>
                <w:sz w:val="20"/>
                <w:szCs w:val="20"/>
                <w:color w:val="auto"/>
              </w:rPr>
            </w:pPr>
            <w:r>
              <w:rPr>
                <w:rFonts w:ascii="Arial" w:cs="Arial" w:eastAsia="Arial" w:hAnsi="Arial"/>
                <w:sz w:val="20"/>
                <w:szCs w:val="20"/>
                <w:color w:val="3E3935"/>
                <w:w w:val="98"/>
              </w:rPr>
              <w:t>Mercedes-Benz Group AG</w:t>
            </w:r>
            <w:r>
              <w:rPr>
                <w:rFonts w:ascii="Arial" w:cs="Arial" w:eastAsia="Arial" w:hAnsi="Arial"/>
                <w:sz w:val="16"/>
                <w:szCs w:val="16"/>
                <w:color w:val="3E3935"/>
                <w:w w:val="98"/>
              </w:rPr>
              <w:t>(2)</w:t>
            </w:r>
          </w:p>
        </w:tc>
        <w:tc>
          <w:tcPr>
            <w:tcW w:w="3260" w:type="dxa"/>
            <w:vAlign w:val="bottom"/>
          </w:tcPr>
          <w:p>
            <w:pPr>
              <w:jc w:val="center"/>
              <w:spacing w:after="0"/>
              <w:rPr>
                <w:sz w:val="20"/>
                <w:szCs w:val="20"/>
                <w:color w:val="auto"/>
              </w:rPr>
            </w:pPr>
            <w:r>
              <w:rPr>
                <w:rFonts w:ascii="Arial" w:cs="Arial" w:eastAsia="Arial" w:hAnsi="Arial"/>
                <w:sz w:val="20"/>
                <w:szCs w:val="20"/>
                <w:color w:val="3E3935"/>
                <w:w w:val="97"/>
              </w:rPr>
              <w:t>Suzuki Motor Corporation</w:t>
            </w:r>
          </w:p>
        </w:tc>
      </w:tr>
      <w:tr>
        <w:trPr>
          <w:trHeight w:val="72"/>
        </w:trPr>
        <w:tc>
          <w:tcPr>
            <w:tcW w:w="3940" w:type="dxa"/>
            <w:vAlign w:val="bottom"/>
            <w:tcBorders>
              <w:bottom w:val="single" w:sz="8" w:color="3E3935"/>
            </w:tcBorders>
          </w:tcPr>
          <w:p>
            <w:pPr>
              <w:spacing w:after="0"/>
              <w:rPr>
                <w:sz w:val="6"/>
                <w:szCs w:val="6"/>
                <w:color w:val="auto"/>
              </w:rPr>
            </w:pPr>
          </w:p>
        </w:tc>
        <w:tc>
          <w:tcPr>
            <w:tcW w:w="3720" w:type="dxa"/>
            <w:vAlign w:val="bottom"/>
            <w:tcBorders>
              <w:bottom w:val="single" w:sz="8" w:color="3E3935"/>
            </w:tcBorders>
          </w:tcPr>
          <w:p>
            <w:pPr>
              <w:spacing w:after="0"/>
              <w:rPr>
                <w:sz w:val="6"/>
                <w:szCs w:val="6"/>
                <w:color w:val="auto"/>
              </w:rPr>
            </w:pPr>
          </w:p>
        </w:tc>
        <w:tc>
          <w:tcPr>
            <w:tcW w:w="3260" w:type="dxa"/>
            <w:vAlign w:val="bottom"/>
            <w:tcBorders>
              <w:bottom w:val="single" w:sz="8" w:color="3E3935"/>
            </w:tcBorders>
          </w:tcPr>
          <w:p>
            <w:pPr>
              <w:spacing w:after="0"/>
              <w:rPr>
                <w:sz w:val="6"/>
                <w:szCs w:val="6"/>
                <w:color w:val="auto"/>
              </w:rPr>
            </w:pPr>
          </w:p>
        </w:tc>
      </w:tr>
      <w:tr>
        <w:trPr>
          <w:trHeight w:val="336"/>
        </w:trPr>
        <w:tc>
          <w:tcPr>
            <w:tcW w:w="3940" w:type="dxa"/>
            <w:vAlign w:val="bottom"/>
          </w:tcPr>
          <w:p>
            <w:pPr>
              <w:jc w:val="center"/>
              <w:spacing w:after="0"/>
              <w:rPr>
                <w:sz w:val="20"/>
                <w:szCs w:val="20"/>
                <w:color w:val="auto"/>
              </w:rPr>
            </w:pPr>
            <w:r>
              <w:rPr>
                <w:rFonts w:ascii="Arial" w:cs="Arial" w:eastAsia="Arial" w:hAnsi="Arial"/>
                <w:sz w:val="20"/>
                <w:szCs w:val="20"/>
                <w:color w:val="3E3935"/>
                <w:w w:val="98"/>
              </w:rPr>
              <w:t>Ford Motor Company</w:t>
            </w:r>
          </w:p>
        </w:tc>
        <w:tc>
          <w:tcPr>
            <w:tcW w:w="3720" w:type="dxa"/>
            <w:vAlign w:val="bottom"/>
          </w:tcPr>
          <w:p>
            <w:pPr>
              <w:jc w:val="center"/>
              <w:spacing w:after="0"/>
              <w:rPr>
                <w:sz w:val="20"/>
                <w:szCs w:val="20"/>
                <w:color w:val="auto"/>
              </w:rPr>
            </w:pPr>
            <w:r>
              <w:rPr>
                <w:rFonts w:ascii="Arial" w:cs="Arial" w:eastAsia="Arial" w:hAnsi="Arial"/>
                <w:sz w:val="20"/>
                <w:szCs w:val="20"/>
                <w:color w:val="3E3935"/>
                <w:w w:val="98"/>
              </w:rPr>
              <w:t>Nissan Motor Co., Ltd.</w:t>
            </w:r>
          </w:p>
        </w:tc>
        <w:tc>
          <w:tcPr>
            <w:tcW w:w="3260" w:type="dxa"/>
            <w:vAlign w:val="bottom"/>
          </w:tcPr>
          <w:p>
            <w:pPr>
              <w:jc w:val="center"/>
              <w:spacing w:after="0"/>
              <w:rPr>
                <w:sz w:val="20"/>
                <w:szCs w:val="20"/>
                <w:color w:val="auto"/>
              </w:rPr>
            </w:pPr>
            <w:r>
              <w:rPr>
                <w:rFonts w:ascii="Arial" w:cs="Arial" w:eastAsia="Arial" w:hAnsi="Arial"/>
                <w:sz w:val="20"/>
                <w:szCs w:val="20"/>
                <w:color w:val="3E3935"/>
                <w:w w:val="96"/>
              </w:rPr>
              <w:t>Tesla Inc.</w:t>
            </w:r>
          </w:p>
        </w:tc>
      </w:tr>
      <w:tr>
        <w:trPr>
          <w:trHeight w:val="72"/>
        </w:trPr>
        <w:tc>
          <w:tcPr>
            <w:tcW w:w="3940" w:type="dxa"/>
            <w:vAlign w:val="bottom"/>
            <w:tcBorders>
              <w:bottom w:val="single" w:sz="8" w:color="3E3935"/>
            </w:tcBorders>
          </w:tcPr>
          <w:p>
            <w:pPr>
              <w:spacing w:after="0"/>
              <w:rPr>
                <w:sz w:val="6"/>
                <w:szCs w:val="6"/>
                <w:color w:val="auto"/>
              </w:rPr>
            </w:pPr>
          </w:p>
        </w:tc>
        <w:tc>
          <w:tcPr>
            <w:tcW w:w="3720" w:type="dxa"/>
            <w:vAlign w:val="bottom"/>
            <w:tcBorders>
              <w:bottom w:val="single" w:sz="8" w:color="3E3935"/>
            </w:tcBorders>
          </w:tcPr>
          <w:p>
            <w:pPr>
              <w:spacing w:after="0"/>
              <w:rPr>
                <w:sz w:val="6"/>
                <w:szCs w:val="6"/>
                <w:color w:val="auto"/>
              </w:rPr>
            </w:pPr>
          </w:p>
        </w:tc>
        <w:tc>
          <w:tcPr>
            <w:tcW w:w="3260" w:type="dxa"/>
            <w:vAlign w:val="bottom"/>
            <w:tcBorders>
              <w:bottom w:val="single" w:sz="8" w:color="3E3935"/>
            </w:tcBorders>
          </w:tcPr>
          <w:p>
            <w:pPr>
              <w:spacing w:after="0"/>
              <w:rPr>
                <w:sz w:val="6"/>
                <w:szCs w:val="6"/>
                <w:color w:val="auto"/>
              </w:rPr>
            </w:pPr>
          </w:p>
        </w:tc>
      </w:tr>
      <w:tr>
        <w:trPr>
          <w:trHeight w:val="336"/>
        </w:trPr>
        <w:tc>
          <w:tcPr>
            <w:tcW w:w="3940" w:type="dxa"/>
            <w:vAlign w:val="bottom"/>
          </w:tcPr>
          <w:p>
            <w:pPr>
              <w:jc w:val="center"/>
              <w:spacing w:after="0"/>
              <w:rPr>
                <w:sz w:val="20"/>
                <w:szCs w:val="20"/>
                <w:color w:val="auto"/>
              </w:rPr>
            </w:pPr>
            <w:r>
              <w:rPr>
                <w:rFonts w:ascii="Arial" w:cs="Arial" w:eastAsia="Arial" w:hAnsi="Arial"/>
                <w:sz w:val="20"/>
                <w:szCs w:val="20"/>
                <w:color w:val="3E3935"/>
                <w:w w:val="98"/>
              </w:rPr>
              <w:t>Honda Motor Co., Ltd.</w:t>
            </w:r>
          </w:p>
        </w:tc>
        <w:tc>
          <w:tcPr>
            <w:tcW w:w="3720" w:type="dxa"/>
            <w:vAlign w:val="bottom"/>
          </w:tcPr>
          <w:p>
            <w:pPr>
              <w:jc w:val="center"/>
              <w:spacing w:after="0"/>
              <w:rPr>
                <w:sz w:val="20"/>
                <w:szCs w:val="20"/>
                <w:color w:val="auto"/>
              </w:rPr>
            </w:pPr>
            <w:r>
              <w:rPr>
                <w:rFonts w:ascii="Arial" w:cs="Arial" w:eastAsia="Arial" w:hAnsi="Arial"/>
                <w:sz w:val="20"/>
                <w:szCs w:val="20"/>
                <w:color w:val="3E3935"/>
                <w:w w:val="98"/>
              </w:rPr>
              <w:t>Renault SA</w:t>
            </w:r>
          </w:p>
        </w:tc>
        <w:tc>
          <w:tcPr>
            <w:tcW w:w="3260" w:type="dxa"/>
            <w:vAlign w:val="bottom"/>
          </w:tcPr>
          <w:p>
            <w:pPr>
              <w:jc w:val="center"/>
              <w:spacing w:after="0"/>
              <w:rPr>
                <w:sz w:val="20"/>
                <w:szCs w:val="20"/>
                <w:color w:val="auto"/>
              </w:rPr>
            </w:pPr>
            <w:r>
              <w:rPr>
                <w:rFonts w:ascii="Arial" w:cs="Arial" w:eastAsia="Arial" w:hAnsi="Arial"/>
                <w:sz w:val="20"/>
                <w:szCs w:val="20"/>
                <w:color w:val="3E3935"/>
                <w:w w:val="96"/>
              </w:rPr>
              <w:t>Toyota Motor Corporation</w:t>
            </w:r>
          </w:p>
        </w:tc>
      </w:tr>
      <w:tr>
        <w:trPr>
          <w:trHeight w:val="72"/>
        </w:trPr>
        <w:tc>
          <w:tcPr>
            <w:tcW w:w="3940" w:type="dxa"/>
            <w:vAlign w:val="bottom"/>
            <w:tcBorders>
              <w:bottom w:val="single" w:sz="8" w:color="3E3935"/>
            </w:tcBorders>
          </w:tcPr>
          <w:p>
            <w:pPr>
              <w:spacing w:after="0"/>
              <w:rPr>
                <w:sz w:val="6"/>
                <w:szCs w:val="6"/>
                <w:color w:val="auto"/>
              </w:rPr>
            </w:pPr>
          </w:p>
        </w:tc>
        <w:tc>
          <w:tcPr>
            <w:tcW w:w="3720" w:type="dxa"/>
            <w:vAlign w:val="bottom"/>
            <w:tcBorders>
              <w:bottom w:val="single" w:sz="8" w:color="3E3935"/>
            </w:tcBorders>
          </w:tcPr>
          <w:p>
            <w:pPr>
              <w:spacing w:after="0"/>
              <w:rPr>
                <w:sz w:val="6"/>
                <w:szCs w:val="6"/>
                <w:color w:val="auto"/>
              </w:rPr>
            </w:pPr>
          </w:p>
        </w:tc>
        <w:tc>
          <w:tcPr>
            <w:tcW w:w="3260" w:type="dxa"/>
            <w:vAlign w:val="bottom"/>
            <w:tcBorders>
              <w:bottom w:val="single" w:sz="8" w:color="3E3935"/>
            </w:tcBorders>
          </w:tcPr>
          <w:p>
            <w:pPr>
              <w:spacing w:after="0"/>
              <w:rPr>
                <w:sz w:val="6"/>
                <w:szCs w:val="6"/>
                <w:color w:val="auto"/>
              </w:rPr>
            </w:pPr>
          </w:p>
        </w:tc>
      </w:tr>
      <w:tr>
        <w:trPr>
          <w:trHeight w:val="336"/>
        </w:trPr>
        <w:tc>
          <w:tcPr>
            <w:tcW w:w="3940" w:type="dxa"/>
            <w:vAlign w:val="bottom"/>
          </w:tcPr>
          <w:p>
            <w:pPr>
              <w:jc w:val="center"/>
              <w:spacing w:after="0"/>
              <w:rPr>
                <w:sz w:val="20"/>
                <w:szCs w:val="20"/>
                <w:color w:val="auto"/>
              </w:rPr>
            </w:pPr>
            <w:r>
              <w:rPr>
                <w:rFonts w:ascii="Arial" w:cs="Arial" w:eastAsia="Arial" w:hAnsi="Arial"/>
                <w:sz w:val="20"/>
                <w:szCs w:val="20"/>
                <w:color w:val="3E3935"/>
                <w:w w:val="98"/>
              </w:rPr>
              <w:t>Hyundai Motor Company</w:t>
            </w:r>
          </w:p>
        </w:tc>
        <w:tc>
          <w:tcPr>
            <w:tcW w:w="3720" w:type="dxa"/>
            <w:vAlign w:val="bottom"/>
          </w:tcPr>
          <w:p>
            <w:pPr>
              <w:jc w:val="center"/>
              <w:spacing w:after="0"/>
              <w:rPr>
                <w:sz w:val="20"/>
                <w:szCs w:val="20"/>
                <w:color w:val="auto"/>
              </w:rPr>
            </w:pPr>
            <w:r>
              <w:rPr>
                <w:rFonts w:ascii="Arial" w:cs="Arial" w:eastAsia="Arial" w:hAnsi="Arial"/>
                <w:sz w:val="20"/>
                <w:szCs w:val="20"/>
                <w:color w:val="3E3935"/>
                <w:w w:val="98"/>
              </w:rPr>
              <w:t>Stellantis NV</w:t>
            </w:r>
            <w:r>
              <w:rPr>
                <w:rFonts w:ascii="Arial" w:cs="Arial" w:eastAsia="Arial" w:hAnsi="Arial"/>
                <w:sz w:val="16"/>
                <w:szCs w:val="16"/>
                <w:color w:val="3E3935"/>
                <w:w w:val="98"/>
              </w:rPr>
              <w:t>(3)</w:t>
            </w:r>
          </w:p>
        </w:tc>
        <w:tc>
          <w:tcPr>
            <w:tcW w:w="3260" w:type="dxa"/>
            <w:vAlign w:val="bottom"/>
          </w:tcPr>
          <w:p>
            <w:pPr>
              <w:jc w:val="center"/>
              <w:spacing w:after="0"/>
              <w:rPr>
                <w:sz w:val="20"/>
                <w:szCs w:val="20"/>
                <w:color w:val="auto"/>
              </w:rPr>
            </w:pPr>
            <w:r>
              <w:rPr>
                <w:rFonts w:ascii="Arial" w:cs="Arial" w:eastAsia="Arial" w:hAnsi="Arial"/>
                <w:sz w:val="20"/>
                <w:szCs w:val="20"/>
                <w:color w:val="3E3935"/>
                <w:w w:val="96"/>
              </w:rPr>
              <w:t>Volkswagen AG</w:t>
            </w:r>
          </w:p>
        </w:tc>
      </w:tr>
      <w:tr>
        <w:trPr>
          <w:trHeight w:val="72"/>
        </w:trPr>
        <w:tc>
          <w:tcPr>
            <w:tcW w:w="3940" w:type="dxa"/>
            <w:vAlign w:val="bottom"/>
            <w:tcBorders>
              <w:bottom w:val="single" w:sz="8" w:color="3E3935"/>
            </w:tcBorders>
          </w:tcPr>
          <w:p>
            <w:pPr>
              <w:spacing w:after="0"/>
              <w:rPr>
                <w:sz w:val="6"/>
                <w:szCs w:val="6"/>
                <w:color w:val="auto"/>
              </w:rPr>
            </w:pPr>
          </w:p>
        </w:tc>
        <w:tc>
          <w:tcPr>
            <w:tcW w:w="3720" w:type="dxa"/>
            <w:vAlign w:val="bottom"/>
            <w:tcBorders>
              <w:bottom w:val="single" w:sz="8" w:color="3E3935"/>
            </w:tcBorders>
          </w:tcPr>
          <w:p>
            <w:pPr>
              <w:spacing w:after="0"/>
              <w:rPr>
                <w:sz w:val="6"/>
                <w:szCs w:val="6"/>
                <w:color w:val="auto"/>
              </w:rPr>
            </w:pPr>
          </w:p>
        </w:tc>
        <w:tc>
          <w:tcPr>
            <w:tcW w:w="3260" w:type="dxa"/>
            <w:vAlign w:val="bottom"/>
            <w:tcBorders>
              <w:bottom w:val="single" w:sz="8" w:color="3E3935"/>
            </w:tcBorders>
          </w:tcPr>
          <w:p>
            <w:pPr>
              <w:spacing w:after="0"/>
              <w:rPr>
                <w:sz w:val="6"/>
                <w:szCs w:val="6"/>
                <w:color w:val="auto"/>
              </w:rPr>
            </w:pPr>
          </w:p>
        </w:tc>
      </w:tr>
      <w:tr>
        <w:trPr>
          <w:trHeight w:val="336"/>
        </w:trPr>
        <w:tc>
          <w:tcPr>
            <w:tcW w:w="3940" w:type="dxa"/>
            <w:vAlign w:val="bottom"/>
          </w:tcPr>
          <w:p>
            <w:pPr>
              <w:jc w:val="center"/>
              <w:spacing w:after="0"/>
              <w:rPr>
                <w:sz w:val="20"/>
                <w:szCs w:val="20"/>
                <w:color w:val="auto"/>
              </w:rPr>
            </w:pPr>
            <w:r>
              <w:rPr>
                <w:rFonts w:ascii="Arial" w:cs="Arial" w:eastAsia="Arial" w:hAnsi="Arial"/>
                <w:sz w:val="20"/>
                <w:szCs w:val="20"/>
                <w:color w:val="3E3935"/>
                <w:w w:val="97"/>
              </w:rPr>
              <w:t>Kia Corporation</w:t>
            </w:r>
          </w:p>
        </w:tc>
        <w:tc>
          <w:tcPr>
            <w:tcW w:w="3720" w:type="dxa"/>
            <w:vAlign w:val="bottom"/>
          </w:tcPr>
          <w:p>
            <w:pPr>
              <w:jc w:val="center"/>
              <w:spacing w:after="0"/>
              <w:rPr>
                <w:sz w:val="20"/>
                <w:szCs w:val="20"/>
                <w:color w:val="auto"/>
              </w:rPr>
            </w:pPr>
            <w:r>
              <w:rPr>
                <w:rFonts w:ascii="Arial" w:cs="Arial" w:eastAsia="Arial" w:hAnsi="Arial"/>
                <w:sz w:val="20"/>
                <w:szCs w:val="20"/>
                <w:color w:val="3E3935"/>
                <w:w w:val="98"/>
              </w:rPr>
              <w:t>Subaru Corporation</w:t>
            </w:r>
          </w:p>
        </w:tc>
        <w:tc>
          <w:tcPr>
            <w:tcW w:w="3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69297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9" w:lineRule="exact"/>
        <w:rPr>
          <w:sz w:val="20"/>
          <w:szCs w:val="20"/>
          <w:color w:val="auto"/>
        </w:rPr>
      </w:pPr>
    </w:p>
    <w:p>
      <w:pPr>
        <w:ind w:left="600" w:hanging="433"/>
        <w:spacing w:after="0" w:line="255" w:lineRule="auto"/>
        <w:tabs>
          <w:tab w:leader="none" w:pos="600" w:val="left"/>
        </w:tabs>
        <w:numPr>
          <w:ilvl w:val="0"/>
          <w:numId w:val="80"/>
        </w:numPr>
        <w:rPr>
          <w:rFonts w:ascii="Arial" w:cs="Arial" w:eastAsia="Arial" w:hAnsi="Arial"/>
          <w:sz w:val="18"/>
          <w:szCs w:val="18"/>
          <w:i w:val="1"/>
          <w:iCs w:val="1"/>
          <w:color w:val="3E3935"/>
        </w:rPr>
      </w:pPr>
      <w:r>
        <w:rPr>
          <w:rFonts w:ascii="Arial" w:cs="Arial" w:eastAsia="Arial" w:hAnsi="Arial"/>
          <w:sz w:val="18"/>
          <w:szCs w:val="18"/>
          <w:i w:val="1"/>
          <w:iCs w:val="1"/>
          <w:color w:val="3E3935"/>
        </w:rPr>
        <w:t>GM is a member of the Dow Jones Automobiles &amp; Parts Titans 30 Index. Our performance is determined on a continuous ranking for performance relative to the OEM peer group following the completion of the performance period.</w:t>
      </w:r>
    </w:p>
    <w:p>
      <w:pPr>
        <w:spacing w:after="0" w:line="1" w:lineRule="exact"/>
        <w:rPr>
          <w:rFonts w:ascii="Arial" w:cs="Arial" w:eastAsia="Arial" w:hAnsi="Arial"/>
          <w:sz w:val="18"/>
          <w:szCs w:val="18"/>
          <w:i w:val="1"/>
          <w:iCs w:val="1"/>
          <w:color w:val="3E3935"/>
        </w:rPr>
      </w:pPr>
    </w:p>
    <w:p>
      <w:pPr>
        <w:ind w:left="600" w:hanging="433"/>
        <w:spacing w:after="0"/>
        <w:tabs>
          <w:tab w:leader="none" w:pos="600" w:val="left"/>
        </w:tabs>
        <w:numPr>
          <w:ilvl w:val="0"/>
          <w:numId w:val="80"/>
        </w:numPr>
        <w:rPr>
          <w:rFonts w:ascii="Arial" w:cs="Arial" w:eastAsia="Arial" w:hAnsi="Arial"/>
          <w:sz w:val="18"/>
          <w:szCs w:val="18"/>
          <w:i w:val="1"/>
          <w:iCs w:val="1"/>
          <w:color w:val="3E3935"/>
        </w:rPr>
      </w:pPr>
      <w:r>
        <w:rPr>
          <w:rFonts w:ascii="Arial" w:cs="Arial" w:eastAsia="Arial" w:hAnsi="Arial"/>
          <w:sz w:val="18"/>
          <w:szCs w:val="18"/>
          <w:i w:val="1"/>
          <w:iCs w:val="1"/>
          <w:color w:val="3E3935"/>
        </w:rPr>
        <w:t>Daimler AG changed its name to Mercedes-Benz Group AG on February 1, 2022.</w:t>
      </w:r>
    </w:p>
    <w:p>
      <w:pPr>
        <w:spacing w:after="0" w:line="3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80"/>
        </w:numPr>
        <w:rPr>
          <w:rFonts w:ascii="Arial" w:cs="Arial" w:eastAsia="Arial" w:hAnsi="Arial"/>
          <w:sz w:val="18"/>
          <w:szCs w:val="18"/>
          <w:i w:val="1"/>
          <w:iCs w:val="1"/>
          <w:color w:val="3E3935"/>
        </w:rPr>
      </w:pPr>
      <w:r>
        <w:rPr>
          <w:rFonts w:ascii="Arial" w:cs="Arial" w:eastAsia="Arial" w:hAnsi="Arial"/>
          <w:sz w:val="18"/>
          <w:szCs w:val="18"/>
          <w:i w:val="1"/>
          <w:iCs w:val="1"/>
          <w:color w:val="3E3935"/>
        </w:rPr>
        <w:t>Fiat Chrysler Automobiles NV and Peugeot SA merged on January 15, 2021, forming Stellantis NV.</w:t>
      </w:r>
    </w:p>
    <w:p>
      <w:pPr>
        <w:spacing w:after="0" w:line="14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81"/>
        </w:numPr>
        <w:rPr>
          <w:rFonts w:ascii="Times New Roman" w:cs="Times New Roman" w:eastAsia="Times New Roman" w:hAnsi="Times New Roman"/>
          <w:sz w:val="21"/>
          <w:szCs w:val="21"/>
          <w:color w:val="0071CE"/>
        </w:rPr>
      </w:pPr>
      <w:r>
        <w:rPr>
          <w:rFonts w:ascii="Arial" w:cs="Arial" w:eastAsia="Arial" w:hAnsi="Arial"/>
          <w:sz w:val="25"/>
          <w:szCs w:val="25"/>
          <w:color w:val="3E3935"/>
        </w:rPr>
        <w:t>Peer Group for Compensation Benchmarking</w:t>
      </w:r>
    </w:p>
    <w:p>
      <w:pPr>
        <w:spacing w:after="0" w:line="15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Compensation Committee annually reviews the peer group for compensation benchmarking comparisons and makes updates as needed to align with the established criteria and Company strategy. We do not limit the peer group to our industry alone because we believe compensation practices for NEOs at other large U.S.-based multinational companies affect our ability to attract and retain diverse talent around the globe.</w:t>
      </w:r>
    </w:p>
    <w:p>
      <w:pPr>
        <w:spacing w:after="0" w:line="106"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Compensation Committee considered the following factors when selecting the peer group used to inform 2021 target compensation levels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132715</wp:posOffset>
            </wp:positionV>
            <wp:extent cx="5910580" cy="47390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10580" cy="473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0" w:hanging="533"/>
        <w:spacing w:after="0"/>
        <w:tabs>
          <w:tab w:leader="none" w:pos="700" w:val="left"/>
        </w:tabs>
        <w:numPr>
          <w:ilvl w:val="0"/>
          <w:numId w:val="82"/>
        </w:numPr>
        <w:rPr>
          <w:rFonts w:ascii="Times New Roman" w:cs="Times New Roman" w:eastAsia="Times New Roman" w:hAnsi="Times New Roman"/>
          <w:sz w:val="21"/>
          <w:szCs w:val="21"/>
          <w:color w:val="0071CE"/>
        </w:rPr>
      </w:pPr>
      <w:r>
        <w:rPr>
          <w:rFonts w:ascii="Arial" w:cs="Arial" w:eastAsia="Arial" w:hAnsi="Arial"/>
          <w:sz w:val="25"/>
          <w:szCs w:val="25"/>
          <w:color w:val="3E3935"/>
        </w:rPr>
        <w:t>How We Use Benchmarking Data to Assess Compensation</w:t>
      </w:r>
    </w:p>
    <w:p>
      <w:pPr>
        <w:spacing w:after="0" w:line="141"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We benchmark pay practices and compensation levels against the proxy statement disclosures of our peer group. In addition, we use executive compensation surveys to benchmark relevant market data for executive positions and adjust this data to reflect GM’s size and market-expected compensation trends. Furthermore, the Compensation Committee reviews an analysis completed by its independent compensation consultant of the competitive position of each of our executives relative to its benchmark data.</w:t>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We review each element of compensation compared with the market and generally target each element of our total direct compensation (base salary, STIP, and LTIP) for the executive group to be, on average, at or near the market median. An individual element or an individual’s total direct compensation may be positioned above or below the market median due to a variety of considerations, such as specific responsibilities, experience, and performance.</w:t>
      </w:r>
    </w:p>
    <w:p>
      <w:pPr>
        <w:spacing w:after="0" w:line="292" w:lineRule="exact"/>
        <w:rPr>
          <w:sz w:val="20"/>
          <w:szCs w:val="20"/>
          <w:color w:val="auto"/>
        </w:rPr>
      </w:pPr>
    </w:p>
    <w:p>
      <w:pPr>
        <w:ind w:left="700" w:hanging="533"/>
        <w:spacing w:after="0"/>
        <w:tabs>
          <w:tab w:leader="none" w:pos="700" w:val="left"/>
        </w:tabs>
        <w:numPr>
          <w:ilvl w:val="0"/>
          <w:numId w:val="83"/>
        </w:numPr>
        <w:rPr>
          <w:rFonts w:ascii="Times New Roman" w:cs="Times New Roman" w:eastAsia="Times New Roman" w:hAnsi="Times New Roman"/>
          <w:sz w:val="21"/>
          <w:szCs w:val="21"/>
          <w:color w:val="0071CE"/>
        </w:rPr>
      </w:pPr>
      <w:r>
        <w:rPr>
          <w:rFonts w:ascii="Arial" w:cs="Arial" w:eastAsia="Arial" w:hAnsi="Arial"/>
          <w:sz w:val="25"/>
          <w:szCs w:val="25"/>
          <w:color w:val="3E3935"/>
        </w:rPr>
        <w:t>How We 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171450</wp:posOffset>
            </wp:positionV>
            <wp:extent cx="5061585" cy="1817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6158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0" w:hanging="533"/>
        <w:spacing w:after="0"/>
        <w:tabs>
          <w:tab w:leader="none" w:pos="700" w:val="left"/>
        </w:tabs>
        <w:numPr>
          <w:ilvl w:val="0"/>
          <w:numId w:val="84"/>
        </w:numPr>
        <w:rPr>
          <w:rFonts w:ascii="Times New Roman" w:cs="Times New Roman" w:eastAsia="Times New Roman" w:hAnsi="Times New Roman"/>
          <w:sz w:val="21"/>
          <w:szCs w:val="21"/>
          <w:color w:val="0071CE"/>
        </w:rPr>
      </w:pPr>
      <w:r>
        <w:rPr>
          <w:rFonts w:ascii="Arial" w:cs="Arial" w:eastAsia="Arial" w:hAnsi="Arial"/>
          <w:sz w:val="25"/>
          <w:szCs w:val="25"/>
          <w:color w:val="3E3935"/>
        </w:rPr>
        <w:t>Performance-Based Compensation Structure</w:t>
      </w:r>
    </w:p>
    <w:p>
      <w:pPr>
        <w:spacing w:after="0" w:line="15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Our incentive plans are designed to optimize long-term financial returns for our shareholders and reward our NEOs for delivering on the Company’s strategy and vision of zero crashes, zero emissions, and zero congestion. The 2021 performance-based structure incorporated short-term and long-term incentives tied to financial and operational measures to drive Company performance for fiscal year 2021 and beyond. The Compensation Committee believes a majority of the compensation opportunity should be in the form of equity to align the interests of executives with those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140335</wp:posOffset>
            </wp:positionV>
            <wp:extent cx="5749290" cy="27940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4929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Principles</w:t>
      </w:r>
    </w:p>
    <w:p>
      <w:pPr>
        <w:spacing w:after="0" w:line="21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compensation provided to our senior leaders is guided by pay-for-performance and the following principles:</w:t>
      </w:r>
    </w:p>
    <w:p>
      <w:pPr>
        <w:spacing w:after="0" w:line="92"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Align with Shareholders </w:t>
      </w:r>
      <w:r>
        <w:rPr>
          <w:rFonts w:ascii="Arial" w:cs="Arial" w:eastAsia="Arial" w:hAnsi="Arial"/>
          <w:sz w:val="20"/>
          <w:szCs w:val="20"/>
          <w:color w:val="3E3935"/>
        </w:rPr>
        <w:t>– Compensation paid should</w:t>
      </w:r>
      <w:r>
        <w:rPr>
          <w:rFonts w:ascii="Arial" w:cs="Arial" w:eastAsia="Arial" w:hAnsi="Arial"/>
          <w:sz w:val="20"/>
          <w:szCs w:val="20"/>
          <w:b w:val="1"/>
          <w:bCs w:val="1"/>
          <w:color w:val="0071CE"/>
        </w:rPr>
        <w:t xml:space="preserve"> </w:t>
      </w:r>
      <w:r>
        <w:rPr>
          <w:rFonts w:ascii="Arial" w:cs="Arial" w:eastAsia="Arial" w:hAnsi="Arial"/>
          <w:sz w:val="20"/>
          <w:szCs w:val="20"/>
          <w:color w:val="3E3935"/>
        </w:rPr>
        <w:t>align directly with the long-term interests of our shareholders, and our executives should share with them in the performance and value of our common stock.</w:t>
      </w:r>
    </w:p>
    <w:p>
      <w:pPr>
        <w:spacing w:after="0" w:line="10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Enable Company Strategy </w:t>
      </w:r>
      <w:r>
        <w:rPr>
          <w:rFonts w:ascii="Arial" w:cs="Arial" w:eastAsia="Arial" w:hAnsi="Arial"/>
          <w:sz w:val="20"/>
          <w:szCs w:val="20"/>
          <w:color w:val="3E3935"/>
        </w:rPr>
        <w:t>– Compensation should be</w:t>
      </w:r>
      <w:r>
        <w:rPr>
          <w:rFonts w:ascii="Arial" w:cs="Arial" w:eastAsia="Arial" w:hAnsi="Arial"/>
          <w:sz w:val="20"/>
          <w:szCs w:val="20"/>
          <w:b w:val="1"/>
          <w:bCs w:val="1"/>
          <w:color w:val="0071CE"/>
        </w:rPr>
        <w:t xml:space="preserve"> </w:t>
      </w:r>
      <w:r>
        <w:rPr>
          <w:rFonts w:ascii="Arial" w:cs="Arial" w:eastAsia="Arial" w:hAnsi="Arial"/>
          <w:sz w:val="20"/>
          <w:szCs w:val="20"/>
          <w:color w:val="3E3935"/>
        </w:rPr>
        <w:t>based on challenging Company performance and strategic goals, which are within our executives’ control, and reward performance aligned with GM’s strategy, values, and expected behaviors.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0071CE"/>
        </w:rPr>
        <w:t xml:space="preserve">Market Competitive </w:t>
      </w:r>
      <w:r>
        <w:rPr>
          <w:rFonts w:ascii="Arial" w:cs="Arial" w:eastAsia="Arial" w:hAnsi="Arial"/>
          <w:sz w:val="20"/>
          <w:szCs w:val="20"/>
          <w:color w:val="3E3935"/>
        </w:rPr>
        <w:t>– Target compensation should have an</w:t>
      </w:r>
      <w:r>
        <w:rPr>
          <w:rFonts w:ascii="Arial" w:cs="Arial" w:eastAsia="Arial" w:hAnsi="Arial"/>
          <w:sz w:val="20"/>
          <w:szCs w:val="20"/>
          <w:b w:val="1"/>
          <w:bCs w:val="1"/>
          <w:color w:val="0071CE"/>
        </w:rPr>
        <w:t xml:space="preserve"> </w:t>
      </w:r>
      <w:r>
        <w:rPr>
          <w:rFonts w:ascii="Arial" w:cs="Arial" w:eastAsia="Arial" w:hAnsi="Arial"/>
          <w:sz w:val="20"/>
          <w:szCs w:val="20"/>
          <w:color w:val="3E3935"/>
        </w:rPr>
        <w:t>appropriate mix of short-term and long-term pay elements and should be competitive (market median) with that paid to individuals at peer group companies so that it attracts, motivates, and retains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-1581785</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0071CE"/>
        </w:rPr>
        <w:t xml:space="preserve">Avoid Excessive Risk Taking </w:t>
      </w:r>
      <w:r>
        <w:rPr>
          <w:rFonts w:ascii="Arial" w:cs="Arial" w:eastAsia="Arial" w:hAnsi="Arial"/>
          <w:sz w:val="20"/>
          <w:szCs w:val="20"/>
          <w:color w:val="3E3935"/>
        </w:rPr>
        <w:t>– Compensation structure</w:t>
      </w:r>
      <w:r>
        <w:rPr>
          <w:rFonts w:ascii="Arial" w:cs="Arial" w:eastAsia="Arial" w:hAnsi="Arial"/>
          <w:sz w:val="20"/>
          <w:szCs w:val="20"/>
          <w:b w:val="1"/>
          <w:bCs w:val="1"/>
          <w:color w:val="0071CE"/>
        </w:rPr>
        <w:t xml:space="preserve"> </w:t>
      </w:r>
      <w:r>
        <w:rPr>
          <w:rFonts w:ascii="Arial" w:cs="Arial" w:eastAsia="Arial" w:hAnsi="Arial"/>
          <w:sz w:val="20"/>
          <w:szCs w:val="20"/>
          <w:color w:val="3E3935"/>
        </w:rPr>
        <w:t>should avoid incentivizing unnecessary and excessive risk taking.</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0071CE"/>
        </w:rPr>
        <w:t xml:space="preserve">Simple Design </w:t>
      </w:r>
      <w:r>
        <w:rPr>
          <w:rFonts w:ascii="Arial" w:cs="Arial" w:eastAsia="Arial" w:hAnsi="Arial"/>
          <w:sz w:val="20"/>
          <w:szCs w:val="20"/>
          <w:color w:val="3E3935"/>
        </w:rPr>
        <w:t>– Compensation plans should be easy to</w:t>
      </w:r>
      <w:r>
        <w:rPr>
          <w:rFonts w:ascii="Arial" w:cs="Arial" w:eastAsia="Arial" w:hAnsi="Arial"/>
          <w:sz w:val="20"/>
          <w:szCs w:val="20"/>
          <w:b w:val="1"/>
          <w:bCs w:val="1"/>
          <w:color w:val="0071CE"/>
        </w:rPr>
        <w:t xml:space="preserve"> </w:t>
      </w:r>
      <w:r>
        <w:rPr>
          <w:rFonts w:ascii="Arial" w:cs="Arial" w:eastAsia="Arial" w:hAnsi="Arial"/>
          <w:sz w:val="20"/>
          <w:szCs w:val="20"/>
          <w:color w:val="3E3935"/>
        </w:rPr>
        <w:t>understand and communicate, and minimize unintended consequences.</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3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Elements</w:t>
      </w:r>
    </w:p>
    <w:p>
      <w:pPr>
        <w:spacing w:after="0" w:line="161" w:lineRule="exact"/>
        <w:rPr>
          <w:sz w:val="20"/>
          <w:szCs w:val="20"/>
          <w:color w:val="auto"/>
        </w:rPr>
      </w:pPr>
    </w:p>
    <w:p>
      <w:pPr>
        <w:ind w:left="700" w:hanging="533"/>
        <w:spacing w:after="0"/>
        <w:tabs>
          <w:tab w:leader="none" w:pos="700" w:val="left"/>
        </w:tabs>
        <w:numPr>
          <w:ilvl w:val="0"/>
          <w:numId w:val="85"/>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Structure</w:t>
      </w:r>
    </w:p>
    <w:p>
      <w:pPr>
        <w:spacing w:after="0" w:line="155"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2021 compensation structure is market competitive with each pay element targeted at or near the market median and includes the following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132715</wp:posOffset>
            </wp:positionV>
            <wp:extent cx="5868035" cy="27686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6803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0" w:hanging="433"/>
        <w:spacing w:after="0" w:line="263" w:lineRule="auto"/>
        <w:tabs>
          <w:tab w:leader="none" w:pos="600" w:val="left"/>
        </w:tabs>
        <w:numPr>
          <w:ilvl w:val="0"/>
          <w:numId w:val="86"/>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 and Relative TSR is capped at target if GM’s TSR is negative over the performance period.</w:t>
      </w:r>
    </w:p>
    <w:p>
      <w:pPr>
        <w:spacing w:after="0" w:line="10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87"/>
        </w:numPr>
        <w:rPr>
          <w:rFonts w:ascii="Times New Roman" w:cs="Times New Roman" w:eastAsia="Times New Roman" w:hAnsi="Times New Roman"/>
          <w:sz w:val="21"/>
          <w:szCs w:val="21"/>
          <w:color w:val="0071CE"/>
        </w:rPr>
      </w:pPr>
      <w:r>
        <w:rPr>
          <w:rFonts w:ascii="Arial" w:cs="Arial" w:eastAsia="Arial" w:hAnsi="Arial"/>
          <w:sz w:val="25"/>
          <w:szCs w:val="25"/>
          <w:color w:val="3E3935"/>
        </w:rPr>
        <w:t>Perquisites and Other Compensation</w:t>
      </w:r>
    </w:p>
    <w:p>
      <w:pPr>
        <w:spacing w:after="0" w:line="11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We provide perquisites and other compensation to our NEOs consistent with market practices. The following perquisites and other compensation were provided in 2021:</w:t>
      </w:r>
    </w:p>
    <w:p>
      <w:pPr>
        <w:spacing w:after="0" w:line="52"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color w:val="0071CE"/>
        </w:rPr>
        <w:t xml:space="preserve">Personal Air Travel </w:t>
      </w:r>
      <w:r>
        <w:rPr>
          <w:rFonts w:ascii="Arial" w:cs="Arial" w:eastAsia="Arial" w:hAnsi="Arial"/>
          <w:sz w:val="20"/>
          <w:szCs w:val="20"/>
          <w:color w:val="3E3935"/>
        </w:rPr>
        <w:t>– Due to security reasons identified by an independent third-party security consultant, Company policy</w:t>
      </w:r>
      <w:r>
        <w:rPr>
          <w:rFonts w:ascii="Arial" w:cs="Arial" w:eastAsia="Arial" w:hAnsi="Arial"/>
          <w:sz w:val="20"/>
          <w:szCs w:val="20"/>
          <w:b w:val="1"/>
          <w:bCs w:val="1"/>
          <w:color w:val="0071CE"/>
        </w:rPr>
        <w:t xml:space="preserve"> </w:t>
      </w:r>
      <w:r>
        <w:rPr>
          <w:rFonts w:ascii="Arial" w:cs="Arial" w:eastAsia="Arial" w:hAnsi="Arial"/>
          <w:sz w:val="20"/>
          <w:szCs w:val="20"/>
          <w:color w:val="3E3935"/>
        </w:rPr>
        <w:t>prohibits Ms. Barra from using commercial air travel for business and personal use. As a result, the Company pays the costs associated with both business and personal use of aircraft. Other NEOs may travel on company aircraft in certain circumstances with prior approval from the CEO or the Senior Vice President, Global Human Resources. All NEOs, including our CEO, incur imputed income when aircraft is used for personal travel and do not receive any tax gross-ups. Aircraft travel by NEOs for an annual executive physical through the Executive Physical Program is included under Personal Travel. NEOs may be eligible to reimburse personal travel pursuant to time-sharing agreements that the Company may enter into from time-to-time, subject to Federal Aviation Administration regulations.</w:t>
      </w:r>
    </w:p>
    <w:p>
      <w:pPr>
        <w:spacing w:after="0" w:line="63"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20"/>
          <w:szCs w:val="20"/>
          <w:b w:val="1"/>
          <w:bCs w:val="1"/>
          <w:color w:val="0071CE"/>
        </w:rPr>
        <w:t xml:space="preserve">Company Vehicle Programs </w:t>
      </w:r>
      <w:r>
        <w:rPr>
          <w:rFonts w:ascii="Arial" w:cs="Arial" w:eastAsia="Arial" w:hAnsi="Arial"/>
          <w:sz w:val="20"/>
          <w:szCs w:val="20"/>
          <w:color w:val="3E3935"/>
        </w:rPr>
        <w:t>– NEOs are eligible to participate in the Executive Company Vehicle Program and may use</w:t>
      </w:r>
      <w:r>
        <w:rPr>
          <w:rFonts w:ascii="Arial" w:cs="Arial" w:eastAsia="Arial" w:hAnsi="Arial"/>
          <w:sz w:val="20"/>
          <w:szCs w:val="20"/>
          <w:b w:val="1"/>
          <w:bCs w:val="1"/>
          <w:color w:val="0071CE"/>
        </w:rPr>
        <w:t xml:space="preserve"> </w:t>
      </w:r>
      <w:r>
        <w:rPr>
          <w:rFonts w:ascii="Arial" w:cs="Arial" w:eastAsia="Arial" w:hAnsi="Arial"/>
          <w:sz w:val="20"/>
          <w:szCs w:val="20"/>
          <w:color w:val="3E3935"/>
        </w:rPr>
        <w:t>evaluation vehicles for the purpose of providing feedback on Company products. In addition, NEOs are eligible to use driver services provided by the Company in accordance with Company policies.</w:t>
      </w:r>
    </w:p>
    <w:p>
      <w:pPr>
        <w:spacing w:after="0" w:line="6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Security </w:t>
      </w:r>
      <w:r>
        <w:rPr>
          <w:rFonts w:ascii="Arial" w:cs="Arial" w:eastAsia="Arial" w:hAnsi="Arial"/>
          <w:sz w:val="20"/>
          <w:szCs w:val="20"/>
          <w:color w:val="3E3935"/>
        </w:rPr>
        <w:t>– NEOs may receive security services, including home security systems and monitoring, for specific security-related</w:t>
      </w:r>
      <w:r>
        <w:rPr>
          <w:rFonts w:ascii="Arial" w:cs="Arial" w:eastAsia="Arial" w:hAnsi="Arial"/>
          <w:sz w:val="20"/>
          <w:szCs w:val="20"/>
          <w:b w:val="1"/>
          <w:bCs w:val="1"/>
          <w:color w:val="0071CE"/>
        </w:rPr>
        <w:t xml:space="preserve"> </w:t>
      </w:r>
      <w:r>
        <w:rPr>
          <w:rFonts w:ascii="Arial" w:cs="Arial" w:eastAsia="Arial" w:hAnsi="Arial"/>
          <w:sz w:val="20"/>
          <w:szCs w:val="20"/>
          <w:color w:val="3E3935"/>
        </w:rPr>
        <w:t>reasons identified by independent third-party security consultants. We maintain security staff to provide all employees with a safe and secure environment, which aligns to and reinforces our safety culture.</w:t>
      </w:r>
    </w:p>
    <w:p>
      <w:pPr>
        <w:spacing w:after="0" w:line="6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Financial Counseling </w:t>
      </w:r>
      <w:r>
        <w:rPr>
          <w:rFonts w:ascii="Arial" w:cs="Arial" w:eastAsia="Arial" w:hAnsi="Arial"/>
          <w:sz w:val="20"/>
          <w:szCs w:val="20"/>
          <w:color w:val="3E3935"/>
        </w:rPr>
        <w:t>– NEOs are eligible to receive financial counseling, estate planning, and tax preparation services</w:t>
      </w:r>
      <w:r>
        <w:rPr>
          <w:rFonts w:ascii="Arial" w:cs="Arial" w:eastAsia="Arial" w:hAnsi="Arial"/>
          <w:sz w:val="20"/>
          <w:szCs w:val="20"/>
          <w:b w:val="1"/>
          <w:bCs w:val="1"/>
          <w:color w:val="0071CE"/>
        </w:rPr>
        <w:t xml:space="preserve"> </w:t>
      </w:r>
      <w:r>
        <w:rPr>
          <w:rFonts w:ascii="Arial" w:cs="Arial" w:eastAsia="Arial" w:hAnsi="Arial"/>
          <w:sz w:val="20"/>
          <w:szCs w:val="20"/>
          <w:color w:val="3E3935"/>
        </w:rPr>
        <w:t>through an approved provider. These services allow our NEOs to focus on Company business and ensure accurate personal tax reporting.</w:t>
      </w:r>
    </w:p>
    <w:p>
      <w:pPr>
        <w:spacing w:after="0" w:line="62"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Executive Physicals </w:t>
      </w:r>
      <w:r>
        <w:rPr>
          <w:rFonts w:ascii="Arial" w:cs="Arial" w:eastAsia="Arial" w:hAnsi="Arial"/>
          <w:sz w:val="20"/>
          <w:szCs w:val="20"/>
          <w:color w:val="3E3935"/>
        </w:rPr>
        <w:t>– The health and wellness of our workforce is a priority, and all of our employees are encouraged to</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complete an annual physical. NEOs are eligible to receive a comprehensive wellness examination with an approved provider. The cost of meals, lodging, and ground transportation for NEOs who traveled for an annual executive physical through the Executive Physical Program are included under Executive Physicals. These wellness visits promote employee well-being and enable employees to take appropriate steps in the event of illness or a medical condition that may impact his or her ability to perform his or her duties.</w:t>
      </w:r>
    </w:p>
    <w:p>
      <w:pPr>
        <w:spacing w:after="0" w:line="291" w:lineRule="exact"/>
        <w:rPr>
          <w:sz w:val="20"/>
          <w:szCs w:val="20"/>
          <w:color w:val="auto"/>
        </w:rPr>
      </w:pPr>
    </w:p>
    <w:p>
      <w:pPr>
        <w:ind w:left="700" w:hanging="533"/>
        <w:spacing w:after="0"/>
        <w:tabs>
          <w:tab w:leader="none" w:pos="700" w:val="left"/>
        </w:tabs>
        <w:numPr>
          <w:ilvl w:val="0"/>
          <w:numId w:val="88"/>
        </w:numPr>
        <w:rPr>
          <w:rFonts w:ascii="Times New Roman" w:cs="Times New Roman" w:eastAsia="Times New Roman" w:hAnsi="Times New Roman"/>
          <w:sz w:val="21"/>
          <w:szCs w:val="21"/>
          <w:color w:val="0071CE"/>
        </w:rPr>
      </w:pPr>
      <w:r>
        <w:rPr>
          <w:rFonts w:ascii="Arial" w:cs="Arial" w:eastAsia="Arial" w:hAnsi="Arial"/>
          <w:sz w:val="25"/>
          <w:szCs w:val="25"/>
          <w:color w:val="3E3935"/>
        </w:rPr>
        <w:t>2021 Target Compensation</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Our target total direct compensation for each NEO in 2021 was as follows: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260" w:type="dxa"/>
            <w:vAlign w:val="bottom"/>
            <w:tcBorders>
              <w:top w:val="single" w:sz="8" w:color="00C1DE"/>
            </w:tcBorders>
          </w:tcPr>
          <w:p>
            <w:pPr>
              <w:spacing w:after="0"/>
              <w:rPr>
                <w:sz w:val="21"/>
                <w:szCs w:val="21"/>
                <w:color w:val="auto"/>
              </w:rPr>
            </w:pPr>
          </w:p>
        </w:tc>
        <w:tc>
          <w:tcPr>
            <w:tcW w:w="1660" w:type="dxa"/>
            <w:vAlign w:val="bottom"/>
            <w:tcBorders>
              <w:top w:val="single" w:sz="8" w:color="00C1DE"/>
            </w:tcBorders>
          </w:tcPr>
          <w:p>
            <w:pPr>
              <w:spacing w:after="0"/>
              <w:rPr>
                <w:sz w:val="21"/>
                <w:szCs w:val="21"/>
                <w:color w:val="auto"/>
              </w:rPr>
            </w:pPr>
          </w:p>
        </w:tc>
        <w:tc>
          <w:tcPr>
            <w:tcW w:w="680" w:type="dxa"/>
            <w:vAlign w:val="bottom"/>
            <w:tcBorders>
              <w:top w:val="single" w:sz="8" w:color="00C1DE"/>
            </w:tcBorders>
          </w:tcPr>
          <w:p>
            <w:pPr>
              <w:spacing w:after="0"/>
              <w:rPr>
                <w:sz w:val="21"/>
                <w:szCs w:val="21"/>
                <w:color w:val="auto"/>
              </w:rPr>
            </w:pPr>
          </w:p>
        </w:tc>
        <w:tc>
          <w:tcPr>
            <w:tcW w:w="960" w:type="dxa"/>
            <w:vAlign w:val="bottom"/>
            <w:tcBorders>
              <w:top w:val="single" w:sz="8" w:color="00C1DE"/>
            </w:tcBorders>
          </w:tcPr>
          <w:p>
            <w:pPr>
              <w:spacing w:after="0"/>
              <w:rPr>
                <w:sz w:val="21"/>
                <w:szCs w:val="21"/>
                <w:color w:val="auto"/>
              </w:rPr>
            </w:pPr>
          </w:p>
        </w:tc>
        <w:tc>
          <w:tcPr>
            <w:tcW w:w="1740" w:type="dxa"/>
            <w:vAlign w:val="bottom"/>
            <w:tcBorders>
              <w:top w:val="single" w:sz="8" w:color="00C1DE"/>
            </w:tcBorders>
          </w:tcPr>
          <w:p>
            <w:pPr>
              <w:spacing w:after="0"/>
              <w:rPr>
                <w:sz w:val="21"/>
                <w:szCs w:val="21"/>
                <w:color w:val="auto"/>
              </w:rPr>
            </w:pPr>
          </w:p>
        </w:tc>
        <w:tc>
          <w:tcPr>
            <w:tcW w:w="2060" w:type="dxa"/>
            <w:vAlign w:val="bottom"/>
            <w:tcBorders>
              <w:top w:val="single" w:sz="8" w:color="00C1DE"/>
            </w:tcBorders>
            <w:gridSpan w:val="2"/>
          </w:tcPr>
          <w:p>
            <w:pPr>
              <w:jc w:val="right"/>
              <w:ind w:right="742"/>
              <w:spacing w:after="0"/>
              <w:rPr>
                <w:sz w:val="20"/>
                <w:szCs w:val="20"/>
                <w:color w:val="auto"/>
              </w:rPr>
            </w:pPr>
            <w:r>
              <w:rPr>
                <w:rFonts w:ascii="Arial" w:cs="Arial" w:eastAsia="Arial" w:hAnsi="Arial"/>
                <w:sz w:val="17"/>
                <w:szCs w:val="17"/>
                <w:b w:val="1"/>
                <w:bCs w:val="1"/>
                <w:color w:val="00C1DE"/>
              </w:rPr>
              <w:t>LTIP</w:t>
            </w:r>
          </w:p>
        </w:tc>
        <w:tc>
          <w:tcPr>
            <w:tcW w:w="1560" w:type="dxa"/>
            <w:vAlign w:val="bottom"/>
            <w:tcBorders>
              <w:top w:val="single" w:sz="8" w:color="00C1DE"/>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120" w:type="dxa"/>
            <w:vAlign w:val="bottom"/>
            <w:tcBorders>
              <w:bottom w:val="single" w:sz="8" w:color="00C1DE"/>
            </w:tcBorders>
          </w:tcPr>
          <w:p>
            <w:pPr>
              <w:spacing w:after="0"/>
              <w:rPr>
                <w:sz w:val="4"/>
                <w:szCs w:val="4"/>
                <w:color w:val="auto"/>
              </w:rPr>
            </w:pPr>
          </w:p>
        </w:tc>
        <w:tc>
          <w:tcPr>
            <w:tcW w:w="940" w:type="dxa"/>
            <w:vAlign w:val="bottom"/>
            <w:tcBorders>
              <w:bottom w:val="single" w:sz="8" w:color="00C1DE"/>
            </w:tcBorders>
          </w:tcPr>
          <w:p>
            <w:pPr>
              <w:spacing w:after="0"/>
              <w:rPr>
                <w:sz w:val="4"/>
                <w:szCs w:val="4"/>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Target Total</w:t>
            </w: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Base Salary</w:t>
            </w:r>
          </w:p>
        </w:tc>
        <w:tc>
          <w:tcPr>
            <w:tcW w:w="680" w:type="dxa"/>
            <w:vAlign w:val="bottom"/>
            <w:vMerge w:val="restart"/>
          </w:tcPr>
          <w:p>
            <w:pPr>
              <w:jc w:val="right"/>
              <w:ind w:right="152"/>
              <w:spacing w:after="0"/>
              <w:rPr>
                <w:sz w:val="20"/>
                <w:szCs w:val="20"/>
                <w:color w:val="auto"/>
              </w:rPr>
            </w:pPr>
            <w:r>
              <w:rPr>
                <w:rFonts w:ascii="Arial" w:cs="Arial" w:eastAsia="Arial" w:hAnsi="Arial"/>
                <w:sz w:val="17"/>
                <w:szCs w:val="17"/>
                <w:b w:val="1"/>
                <w:bCs w:val="1"/>
                <w:color w:val="00C1DE"/>
              </w:rPr>
              <w:t>STIP</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STIP</w:t>
            </w:r>
          </w:p>
        </w:tc>
        <w:tc>
          <w:tcPr>
            <w:tcW w:w="1740" w:type="dxa"/>
            <w:vAlign w:val="bottom"/>
          </w:tcPr>
          <w:p>
            <w:pPr>
              <w:jc w:val="right"/>
              <w:ind w:right="202"/>
              <w:spacing w:after="0" w:line="187" w:lineRule="exact"/>
              <w:rPr>
                <w:sz w:val="20"/>
                <w:szCs w:val="20"/>
                <w:color w:val="auto"/>
              </w:rPr>
            </w:pPr>
            <w:r>
              <w:rPr>
                <w:rFonts w:ascii="Arial" w:cs="Arial" w:eastAsia="Arial" w:hAnsi="Arial"/>
                <w:sz w:val="17"/>
                <w:szCs w:val="17"/>
                <w:b w:val="1"/>
                <w:bCs w:val="1"/>
                <w:color w:val="00C1DE"/>
              </w:rPr>
              <w:t>Target Total Cash</w:t>
            </w:r>
          </w:p>
        </w:tc>
        <w:tc>
          <w:tcPr>
            <w:tcW w:w="11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00C1DE"/>
              </w:rPr>
              <w:t>PSUs</w:t>
            </w:r>
          </w:p>
        </w:tc>
        <w:tc>
          <w:tcPr>
            <w:tcW w:w="940" w:type="dxa"/>
            <w:vAlign w:val="bottom"/>
          </w:tcPr>
          <w:p>
            <w:pPr>
              <w:jc w:val="right"/>
              <w:spacing w:after="0" w:line="187" w:lineRule="exact"/>
              <w:rPr>
                <w:sz w:val="20"/>
                <w:szCs w:val="20"/>
                <w:color w:val="auto"/>
              </w:rPr>
            </w:pPr>
            <w:r>
              <w:rPr>
                <w:rFonts w:ascii="Arial" w:cs="Arial" w:eastAsia="Arial" w:hAnsi="Arial"/>
                <w:sz w:val="17"/>
                <w:szCs w:val="17"/>
                <w:b w:val="1"/>
                <w:bCs w:val="1"/>
                <w:color w:val="00C1DE"/>
              </w:rPr>
              <w:t>Stock</w:t>
            </w:r>
          </w:p>
        </w:tc>
        <w:tc>
          <w:tcPr>
            <w:tcW w:w="1560" w:type="dxa"/>
            <w:vAlign w:val="bottom"/>
          </w:tcPr>
          <w:p>
            <w:pPr>
              <w:jc w:val="right"/>
              <w:spacing w:after="0" w:line="187" w:lineRule="exact"/>
              <w:rPr>
                <w:sz w:val="20"/>
                <w:szCs w:val="20"/>
                <w:color w:val="auto"/>
              </w:rPr>
            </w:pPr>
            <w:r>
              <w:rPr>
                <w:rFonts w:ascii="Arial" w:cs="Arial" w:eastAsia="Arial" w:hAnsi="Arial"/>
                <w:sz w:val="17"/>
                <w:szCs w:val="17"/>
                <w:b w:val="1"/>
                <w:bCs w:val="1"/>
                <w:color w:val="00C1DE"/>
              </w:rPr>
              <w:t>Direct</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740" w:type="dxa"/>
            <w:vAlign w:val="bottom"/>
          </w:tcPr>
          <w:p>
            <w:pPr>
              <w:jc w:val="right"/>
              <w:ind w:right="202"/>
              <w:spacing w:after="0"/>
              <w:rPr>
                <w:sz w:val="20"/>
                <w:szCs w:val="20"/>
                <w:color w:val="auto"/>
              </w:rPr>
            </w:pPr>
            <w:r>
              <w:rPr>
                <w:rFonts w:ascii="Arial" w:cs="Arial" w:eastAsia="Arial" w:hAnsi="Arial"/>
                <w:sz w:val="2"/>
                <w:szCs w:val="2"/>
                <w:b w:val="1"/>
                <w:bCs w:val="1"/>
                <w:color w:val="00C1DE"/>
              </w:rPr>
              <w:t>Compensation</w:t>
            </w:r>
          </w:p>
        </w:tc>
        <w:tc>
          <w:tcPr>
            <w:tcW w:w="1120" w:type="dxa"/>
            <w:vAlign w:val="bottom"/>
            <w:vMerge w:val="continue"/>
          </w:tcPr>
          <w:p>
            <w:pPr>
              <w:spacing w:after="0"/>
              <w:rPr>
                <w:sz w:val="2"/>
                <w:szCs w:val="2"/>
                <w:color w:val="auto"/>
              </w:rPr>
            </w:pPr>
          </w:p>
        </w:tc>
        <w:tc>
          <w:tcPr>
            <w:tcW w:w="940" w:type="dxa"/>
            <w:vAlign w:val="bottom"/>
          </w:tcPr>
          <w:p>
            <w:pPr>
              <w:jc w:val="right"/>
              <w:spacing w:after="0"/>
              <w:rPr>
                <w:sz w:val="20"/>
                <w:szCs w:val="20"/>
                <w:color w:val="auto"/>
              </w:rPr>
            </w:pPr>
            <w:r>
              <w:rPr>
                <w:rFonts w:ascii="Arial" w:cs="Arial" w:eastAsia="Arial" w:hAnsi="Arial"/>
                <w:sz w:val="2"/>
                <w:szCs w:val="2"/>
                <w:b w:val="1"/>
                <w:bCs w:val="1"/>
                <w:color w:val="00C1DE"/>
              </w:rPr>
              <w:t>Options</w:t>
            </w:r>
          </w:p>
        </w:tc>
        <w:tc>
          <w:tcPr>
            <w:tcW w:w="1560" w:type="dxa"/>
            <w:vAlign w:val="bottom"/>
          </w:tcPr>
          <w:p>
            <w:pPr>
              <w:jc w:val="right"/>
              <w:spacing w:after="0"/>
              <w:rPr>
                <w:sz w:val="20"/>
                <w:szCs w:val="20"/>
                <w:color w:val="auto"/>
              </w:rPr>
            </w:pPr>
            <w:r>
              <w:rPr>
                <w:rFonts w:ascii="Arial" w:cs="Arial" w:eastAsia="Arial" w:hAnsi="Arial"/>
                <w:sz w:val="2"/>
                <w:szCs w:val="2"/>
                <w:b w:val="1"/>
                <w:bCs w:val="1"/>
                <w:color w:val="00C1DE"/>
              </w:rPr>
              <w:t>Compensation</w:t>
            </w:r>
          </w:p>
        </w:tc>
        <w:tc>
          <w:tcPr>
            <w:tcW w:w="0" w:type="dxa"/>
            <w:vAlign w:val="bottom"/>
          </w:tcPr>
          <w:p>
            <w:pPr>
              <w:spacing w:after="0" w:line="20" w:lineRule="exact"/>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jc w:val="right"/>
              <w:ind w:right="14"/>
              <w:spacing w:after="0"/>
              <w:rPr>
                <w:sz w:val="20"/>
                <w:szCs w:val="20"/>
                <w:color w:val="auto"/>
              </w:rPr>
            </w:pPr>
            <w:r>
              <w:rPr>
                <w:rFonts w:ascii="Arial" w:cs="Arial" w:eastAsia="Arial" w:hAnsi="Arial"/>
                <w:sz w:val="14"/>
                <w:szCs w:val="14"/>
                <w:b w:val="1"/>
                <w:bCs w:val="1"/>
                <w:color w:val="00C1DE"/>
              </w:rPr>
              <w:t>(1)</w:t>
            </w: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60" w:type="dxa"/>
            <w:vAlign w:val="bottom"/>
          </w:tcPr>
          <w:p>
            <w:pPr>
              <w:ind w:left="80"/>
              <w:spacing w:after="0"/>
              <w:rPr>
                <w:sz w:val="20"/>
                <w:szCs w:val="20"/>
                <w:color w:val="auto"/>
              </w:rPr>
            </w:pPr>
            <w:r>
              <w:rPr>
                <w:rFonts w:ascii="Arial" w:cs="Arial" w:eastAsia="Arial" w:hAnsi="Arial"/>
                <w:sz w:val="17"/>
                <w:szCs w:val="17"/>
                <w:b w:val="1"/>
                <w:bCs w:val="1"/>
                <w:color w:val="00C1DE"/>
              </w:rPr>
              <w:t>Name</w:t>
            </w:r>
          </w:p>
        </w:tc>
        <w:tc>
          <w:tcPr>
            <w:tcW w:w="166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680" w:type="dxa"/>
            <w:vAlign w:val="bottom"/>
          </w:tcPr>
          <w:p>
            <w:pPr>
              <w:jc w:val="right"/>
              <w:ind w:right="152"/>
              <w:spacing w:after="0"/>
              <w:rPr>
                <w:sz w:val="20"/>
                <w:szCs w:val="20"/>
                <w:color w:val="auto"/>
              </w:rPr>
            </w:pPr>
            <w:r>
              <w:rPr>
                <w:rFonts w:ascii="Arial" w:cs="Arial" w:eastAsia="Arial" w:hAnsi="Arial"/>
                <w:sz w:val="17"/>
                <w:szCs w:val="17"/>
                <w:b w:val="1"/>
                <w:bCs w:val="1"/>
                <w:color w:val="00C1DE"/>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1740" w:type="dxa"/>
            <w:vAlign w:val="bottom"/>
          </w:tcPr>
          <w:p>
            <w:pPr>
              <w:jc w:val="right"/>
              <w:ind w:right="202"/>
              <w:spacing w:after="0"/>
              <w:rPr>
                <w:sz w:val="20"/>
                <w:szCs w:val="20"/>
                <w:color w:val="auto"/>
              </w:rPr>
            </w:pPr>
            <w:r>
              <w:rPr>
                <w:rFonts w:ascii="Arial" w:cs="Arial" w:eastAsia="Arial" w:hAnsi="Arial"/>
                <w:sz w:val="17"/>
                <w:szCs w:val="17"/>
                <w:b w:val="1"/>
                <w:bCs w:val="1"/>
                <w:color w:val="00C1DE"/>
              </w:rPr>
              <w:t>($)</w:t>
            </w:r>
          </w:p>
        </w:tc>
        <w:tc>
          <w:tcPr>
            <w:tcW w:w="1120" w:type="dxa"/>
            <w:vAlign w:val="bottom"/>
          </w:tcPr>
          <w:p>
            <w:pPr>
              <w:jc w:val="right"/>
              <w:ind w:right="14"/>
              <w:spacing w:after="0"/>
              <w:rPr>
                <w:sz w:val="20"/>
                <w:szCs w:val="20"/>
                <w:color w:val="auto"/>
              </w:rPr>
            </w:pPr>
            <w:r>
              <w:rPr>
                <w:rFonts w:ascii="Arial" w:cs="Arial" w:eastAsia="Arial" w:hAnsi="Arial"/>
                <w:sz w:val="17"/>
                <w:szCs w:val="17"/>
                <w:b w:val="1"/>
                <w:bCs w:val="1"/>
                <w:color w:val="00C1DE"/>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0" w:type="dxa"/>
            <w:vAlign w:val="bottom"/>
          </w:tcPr>
          <w:p>
            <w:pPr>
              <w:spacing w:after="0"/>
              <w:rPr>
                <w:sz w:val="1"/>
                <w:szCs w:val="1"/>
                <w:color w:val="auto"/>
              </w:rPr>
            </w:pPr>
          </w:p>
        </w:tc>
      </w:tr>
      <w:tr>
        <w:trPr>
          <w:trHeight w:val="58"/>
        </w:trPr>
        <w:tc>
          <w:tcPr>
            <w:tcW w:w="2260" w:type="dxa"/>
            <w:vAlign w:val="bottom"/>
            <w:tcBorders>
              <w:bottom w:val="single" w:sz="8" w:color="00C1DE"/>
            </w:tcBorders>
          </w:tcPr>
          <w:p>
            <w:pPr>
              <w:spacing w:after="0"/>
              <w:rPr>
                <w:sz w:val="5"/>
                <w:szCs w:val="5"/>
                <w:color w:val="auto"/>
              </w:rPr>
            </w:pPr>
          </w:p>
        </w:tc>
        <w:tc>
          <w:tcPr>
            <w:tcW w:w="1660" w:type="dxa"/>
            <w:vAlign w:val="bottom"/>
            <w:tcBorders>
              <w:bottom w:val="single" w:sz="8" w:color="00C1DE"/>
            </w:tcBorders>
          </w:tcPr>
          <w:p>
            <w:pPr>
              <w:spacing w:after="0"/>
              <w:rPr>
                <w:sz w:val="5"/>
                <w:szCs w:val="5"/>
                <w:color w:val="auto"/>
              </w:rPr>
            </w:pPr>
          </w:p>
        </w:tc>
        <w:tc>
          <w:tcPr>
            <w:tcW w:w="680" w:type="dxa"/>
            <w:vAlign w:val="bottom"/>
            <w:tcBorders>
              <w:bottom w:val="single" w:sz="8" w:color="00C1DE"/>
            </w:tcBorders>
          </w:tcPr>
          <w:p>
            <w:pPr>
              <w:spacing w:after="0"/>
              <w:rPr>
                <w:sz w:val="5"/>
                <w:szCs w:val="5"/>
                <w:color w:val="auto"/>
              </w:rPr>
            </w:pPr>
          </w:p>
        </w:tc>
        <w:tc>
          <w:tcPr>
            <w:tcW w:w="960" w:type="dxa"/>
            <w:vAlign w:val="bottom"/>
            <w:tcBorders>
              <w:bottom w:val="single" w:sz="8" w:color="00C1DE"/>
            </w:tcBorders>
          </w:tcPr>
          <w:p>
            <w:pPr>
              <w:spacing w:after="0"/>
              <w:rPr>
                <w:sz w:val="5"/>
                <w:szCs w:val="5"/>
                <w:color w:val="auto"/>
              </w:rPr>
            </w:pPr>
          </w:p>
        </w:tc>
        <w:tc>
          <w:tcPr>
            <w:tcW w:w="1740" w:type="dxa"/>
            <w:vAlign w:val="bottom"/>
            <w:tcBorders>
              <w:bottom w:val="single" w:sz="8" w:color="00C1DE"/>
            </w:tcBorders>
          </w:tcPr>
          <w:p>
            <w:pPr>
              <w:spacing w:after="0"/>
              <w:rPr>
                <w:sz w:val="5"/>
                <w:szCs w:val="5"/>
                <w:color w:val="auto"/>
              </w:rPr>
            </w:pPr>
          </w:p>
        </w:tc>
        <w:tc>
          <w:tcPr>
            <w:tcW w:w="1120" w:type="dxa"/>
            <w:vAlign w:val="bottom"/>
            <w:tcBorders>
              <w:bottom w:val="single" w:sz="8" w:color="00C1DE"/>
            </w:tcBorders>
          </w:tcPr>
          <w:p>
            <w:pPr>
              <w:spacing w:after="0"/>
              <w:rPr>
                <w:sz w:val="5"/>
                <w:szCs w:val="5"/>
                <w:color w:val="auto"/>
              </w:rPr>
            </w:pPr>
          </w:p>
        </w:tc>
        <w:tc>
          <w:tcPr>
            <w:tcW w:w="940" w:type="dxa"/>
            <w:vAlign w:val="bottom"/>
            <w:tcBorders>
              <w:bottom w:val="single" w:sz="8" w:color="00C1DE"/>
            </w:tcBorders>
          </w:tcPr>
          <w:p>
            <w:pPr>
              <w:spacing w:after="0"/>
              <w:rPr>
                <w:sz w:val="5"/>
                <w:szCs w:val="5"/>
                <w:color w:val="auto"/>
              </w:rPr>
            </w:pPr>
          </w:p>
        </w:tc>
        <w:tc>
          <w:tcPr>
            <w:tcW w:w="1560" w:type="dxa"/>
            <w:vAlign w:val="bottom"/>
            <w:tcBorders>
              <w:bottom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260" w:type="dxa"/>
            <w:vAlign w:val="bottom"/>
          </w:tcPr>
          <w:p>
            <w:pPr>
              <w:ind w:left="100"/>
              <w:spacing w:after="0"/>
              <w:rPr>
                <w:sz w:val="20"/>
                <w:szCs w:val="20"/>
                <w:color w:val="auto"/>
              </w:rPr>
            </w:pPr>
            <w:r>
              <w:rPr>
                <w:rFonts w:ascii="Arial" w:cs="Arial" w:eastAsia="Arial" w:hAnsi="Arial"/>
                <w:sz w:val="18"/>
                <w:szCs w:val="18"/>
                <w:color w:val="3E3935"/>
              </w:rPr>
              <w:t>Mary T. Barra</w:t>
            </w:r>
          </w:p>
        </w:tc>
        <w:tc>
          <w:tcPr>
            <w:tcW w:w="1660" w:type="dxa"/>
            <w:vAlign w:val="bottom"/>
          </w:tcPr>
          <w:p>
            <w:pPr>
              <w:jc w:val="right"/>
              <w:spacing w:after="0"/>
              <w:rPr>
                <w:sz w:val="20"/>
                <w:szCs w:val="20"/>
                <w:color w:val="auto"/>
              </w:rPr>
            </w:pPr>
            <w:r>
              <w:rPr>
                <w:rFonts w:ascii="Arial" w:cs="Arial" w:eastAsia="Arial" w:hAnsi="Arial"/>
                <w:sz w:val="18"/>
                <w:szCs w:val="18"/>
                <w:color w:val="3E3935"/>
              </w:rPr>
              <w:t>2,100,000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200%</w:t>
            </w:r>
          </w:p>
        </w:tc>
        <w:tc>
          <w:tcPr>
            <w:tcW w:w="960" w:type="dxa"/>
            <w:vAlign w:val="bottom"/>
          </w:tcPr>
          <w:p>
            <w:pPr>
              <w:jc w:val="right"/>
              <w:spacing w:after="0"/>
              <w:rPr>
                <w:sz w:val="20"/>
                <w:szCs w:val="20"/>
                <w:color w:val="auto"/>
              </w:rPr>
            </w:pPr>
            <w:r>
              <w:rPr>
                <w:rFonts w:ascii="Arial" w:cs="Arial" w:eastAsia="Arial" w:hAnsi="Arial"/>
                <w:sz w:val="18"/>
                <w:szCs w:val="18"/>
                <w:color w:val="3E3935"/>
              </w:rPr>
              <w:t>4,200,000</w:t>
            </w:r>
          </w:p>
        </w:tc>
        <w:tc>
          <w:tcPr>
            <w:tcW w:w="1740" w:type="dxa"/>
            <w:vAlign w:val="bottom"/>
          </w:tcPr>
          <w:p>
            <w:pPr>
              <w:jc w:val="right"/>
              <w:ind w:right="202"/>
              <w:spacing w:after="0"/>
              <w:rPr>
                <w:sz w:val="20"/>
                <w:szCs w:val="20"/>
                <w:color w:val="auto"/>
              </w:rPr>
            </w:pPr>
            <w:r>
              <w:rPr>
                <w:rFonts w:ascii="Arial" w:cs="Arial" w:eastAsia="Arial" w:hAnsi="Arial"/>
                <w:sz w:val="18"/>
                <w:szCs w:val="18"/>
                <w:b w:val="1"/>
                <w:bCs w:val="1"/>
                <w:color w:val="3E3935"/>
              </w:rPr>
              <w:t>6,300,000</w:t>
            </w:r>
          </w:p>
        </w:tc>
        <w:tc>
          <w:tcPr>
            <w:tcW w:w="1120" w:type="dxa"/>
            <w:vAlign w:val="bottom"/>
          </w:tcPr>
          <w:p>
            <w:pPr>
              <w:jc w:val="right"/>
              <w:ind w:right="14"/>
              <w:spacing w:after="0"/>
              <w:rPr>
                <w:sz w:val="20"/>
                <w:szCs w:val="20"/>
                <w:color w:val="auto"/>
              </w:rPr>
            </w:pPr>
            <w:r>
              <w:rPr>
                <w:rFonts w:ascii="Arial" w:cs="Arial" w:eastAsia="Arial" w:hAnsi="Arial"/>
                <w:sz w:val="18"/>
                <w:szCs w:val="18"/>
                <w:color w:val="3E3935"/>
              </w:rPr>
              <w:t>11,812,500</w:t>
            </w:r>
          </w:p>
        </w:tc>
        <w:tc>
          <w:tcPr>
            <w:tcW w:w="940" w:type="dxa"/>
            <w:vAlign w:val="bottom"/>
          </w:tcPr>
          <w:p>
            <w:pPr>
              <w:jc w:val="right"/>
              <w:spacing w:after="0"/>
              <w:rPr>
                <w:sz w:val="20"/>
                <w:szCs w:val="20"/>
                <w:color w:val="auto"/>
              </w:rPr>
            </w:pPr>
            <w:r>
              <w:rPr>
                <w:rFonts w:ascii="Arial" w:cs="Arial" w:eastAsia="Arial" w:hAnsi="Arial"/>
                <w:sz w:val="18"/>
                <w:szCs w:val="18"/>
                <w:color w:val="3E3935"/>
              </w:rPr>
              <w:t>3,937,500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3E3935"/>
              </w:rPr>
              <w:t>22,050,000</w:t>
            </w:r>
          </w:p>
        </w:tc>
        <w:tc>
          <w:tcPr>
            <w:tcW w:w="0" w:type="dxa"/>
            <w:vAlign w:val="bottom"/>
          </w:tcPr>
          <w:p>
            <w:pPr>
              <w:spacing w:after="0"/>
              <w:rPr>
                <w:sz w:val="1"/>
                <w:szCs w:val="1"/>
                <w:color w:val="auto"/>
              </w:rPr>
            </w:pPr>
          </w:p>
        </w:tc>
      </w:tr>
      <w:tr>
        <w:trPr>
          <w:trHeight w:val="54"/>
        </w:trPr>
        <w:tc>
          <w:tcPr>
            <w:tcW w:w="2260" w:type="dxa"/>
            <w:vAlign w:val="bottom"/>
            <w:tcBorders>
              <w:bottom w:val="single" w:sz="8" w:color="3E3935"/>
            </w:tcBorders>
          </w:tcPr>
          <w:p>
            <w:pPr>
              <w:spacing w:after="0"/>
              <w:rPr>
                <w:sz w:val="4"/>
                <w:szCs w:val="4"/>
                <w:color w:val="auto"/>
              </w:rPr>
            </w:pPr>
          </w:p>
        </w:tc>
        <w:tc>
          <w:tcPr>
            <w:tcW w:w="166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960" w:type="dxa"/>
            <w:vAlign w:val="bottom"/>
            <w:tcBorders>
              <w:bottom w:val="single" w:sz="8" w:color="3E3935"/>
            </w:tcBorders>
          </w:tcPr>
          <w:p>
            <w:pPr>
              <w:spacing w:after="0"/>
              <w:rPr>
                <w:sz w:val="4"/>
                <w:szCs w:val="4"/>
                <w:color w:val="auto"/>
              </w:rPr>
            </w:pPr>
          </w:p>
        </w:tc>
        <w:tc>
          <w:tcPr>
            <w:tcW w:w="1740" w:type="dxa"/>
            <w:vAlign w:val="bottom"/>
            <w:tcBorders>
              <w:bottom w:val="single" w:sz="8" w:color="3E3935"/>
            </w:tcBorders>
          </w:tcPr>
          <w:p>
            <w:pPr>
              <w:spacing w:after="0"/>
              <w:rPr>
                <w:sz w:val="4"/>
                <w:szCs w:val="4"/>
                <w:color w:val="auto"/>
              </w:rPr>
            </w:pPr>
          </w:p>
        </w:tc>
        <w:tc>
          <w:tcPr>
            <w:tcW w:w="11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56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260" w:type="dxa"/>
            <w:vAlign w:val="bottom"/>
          </w:tcPr>
          <w:p>
            <w:pPr>
              <w:ind w:left="100"/>
              <w:spacing w:after="0"/>
              <w:rPr>
                <w:sz w:val="20"/>
                <w:szCs w:val="20"/>
                <w:color w:val="auto"/>
              </w:rPr>
            </w:pPr>
            <w:r>
              <w:rPr>
                <w:rFonts w:ascii="Arial" w:cs="Arial" w:eastAsia="Arial" w:hAnsi="Arial"/>
                <w:sz w:val="18"/>
                <w:szCs w:val="18"/>
                <w:color w:val="3E3935"/>
              </w:rPr>
              <w:t>Paul A. Jacobson</w:t>
            </w:r>
          </w:p>
        </w:tc>
        <w:tc>
          <w:tcPr>
            <w:tcW w:w="1660" w:type="dxa"/>
            <w:vAlign w:val="bottom"/>
          </w:tcPr>
          <w:p>
            <w:pPr>
              <w:jc w:val="right"/>
              <w:spacing w:after="0"/>
              <w:rPr>
                <w:sz w:val="20"/>
                <w:szCs w:val="20"/>
                <w:color w:val="auto"/>
              </w:rPr>
            </w:pPr>
            <w:r>
              <w:rPr>
                <w:rFonts w:ascii="Arial" w:cs="Arial" w:eastAsia="Arial" w:hAnsi="Arial"/>
                <w:sz w:val="18"/>
                <w:szCs w:val="18"/>
                <w:color w:val="3E3935"/>
              </w:rPr>
              <w:t>1,000,000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1,250,000</w:t>
            </w:r>
          </w:p>
        </w:tc>
        <w:tc>
          <w:tcPr>
            <w:tcW w:w="1740" w:type="dxa"/>
            <w:vAlign w:val="bottom"/>
          </w:tcPr>
          <w:p>
            <w:pPr>
              <w:jc w:val="right"/>
              <w:ind w:right="202"/>
              <w:spacing w:after="0"/>
              <w:rPr>
                <w:sz w:val="20"/>
                <w:szCs w:val="20"/>
                <w:color w:val="auto"/>
              </w:rPr>
            </w:pPr>
            <w:r>
              <w:rPr>
                <w:rFonts w:ascii="Arial" w:cs="Arial" w:eastAsia="Arial" w:hAnsi="Arial"/>
                <w:sz w:val="18"/>
                <w:szCs w:val="18"/>
                <w:b w:val="1"/>
                <w:bCs w:val="1"/>
                <w:color w:val="3E3935"/>
              </w:rPr>
              <w:t>2,250,000</w:t>
            </w:r>
          </w:p>
        </w:tc>
        <w:tc>
          <w:tcPr>
            <w:tcW w:w="1120" w:type="dxa"/>
            <w:vAlign w:val="bottom"/>
          </w:tcPr>
          <w:p>
            <w:pPr>
              <w:jc w:val="right"/>
              <w:ind w:right="14"/>
              <w:spacing w:after="0"/>
              <w:rPr>
                <w:sz w:val="20"/>
                <w:szCs w:val="20"/>
                <w:color w:val="auto"/>
              </w:rPr>
            </w:pPr>
            <w:r>
              <w:rPr>
                <w:rFonts w:ascii="Arial" w:cs="Arial" w:eastAsia="Arial" w:hAnsi="Arial"/>
                <w:sz w:val="18"/>
                <w:szCs w:val="18"/>
                <w:color w:val="3E3935"/>
              </w:rPr>
              <w:t>3,937,500</w:t>
            </w:r>
          </w:p>
        </w:tc>
        <w:tc>
          <w:tcPr>
            <w:tcW w:w="940" w:type="dxa"/>
            <w:vAlign w:val="bottom"/>
          </w:tcPr>
          <w:p>
            <w:pPr>
              <w:jc w:val="right"/>
              <w:spacing w:after="0"/>
              <w:rPr>
                <w:sz w:val="20"/>
                <w:szCs w:val="20"/>
                <w:color w:val="auto"/>
              </w:rPr>
            </w:pPr>
            <w:r>
              <w:rPr>
                <w:rFonts w:ascii="Arial" w:cs="Arial" w:eastAsia="Arial" w:hAnsi="Arial"/>
                <w:sz w:val="18"/>
                <w:szCs w:val="18"/>
                <w:color w:val="3E3935"/>
              </w:rPr>
              <w:t>1,312,500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3E3935"/>
              </w:rPr>
              <w:t>7,500,000</w:t>
            </w:r>
          </w:p>
        </w:tc>
        <w:tc>
          <w:tcPr>
            <w:tcW w:w="0" w:type="dxa"/>
            <w:vAlign w:val="bottom"/>
          </w:tcPr>
          <w:p>
            <w:pPr>
              <w:spacing w:after="0"/>
              <w:rPr>
                <w:sz w:val="1"/>
                <w:szCs w:val="1"/>
                <w:color w:val="auto"/>
              </w:rPr>
            </w:pPr>
          </w:p>
        </w:tc>
      </w:tr>
      <w:tr>
        <w:trPr>
          <w:trHeight w:val="54"/>
        </w:trPr>
        <w:tc>
          <w:tcPr>
            <w:tcW w:w="2260" w:type="dxa"/>
            <w:vAlign w:val="bottom"/>
            <w:tcBorders>
              <w:bottom w:val="single" w:sz="8" w:color="3E3935"/>
            </w:tcBorders>
          </w:tcPr>
          <w:p>
            <w:pPr>
              <w:spacing w:after="0"/>
              <w:rPr>
                <w:sz w:val="4"/>
                <w:szCs w:val="4"/>
                <w:color w:val="auto"/>
              </w:rPr>
            </w:pPr>
          </w:p>
        </w:tc>
        <w:tc>
          <w:tcPr>
            <w:tcW w:w="166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960" w:type="dxa"/>
            <w:vAlign w:val="bottom"/>
            <w:tcBorders>
              <w:bottom w:val="single" w:sz="8" w:color="3E3935"/>
            </w:tcBorders>
          </w:tcPr>
          <w:p>
            <w:pPr>
              <w:spacing w:after="0"/>
              <w:rPr>
                <w:sz w:val="4"/>
                <w:szCs w:val="4"/>
                <w:color w:val="auto"/>
              </w:rPr>
            </w:pPr>
          </w:p>
        </w:tc>
        <w:tc>
          <w:tcPr>
            <w:tcW w:w="1740" w:type="dxa"/>
            <w:vAlign w:val="bottom"/>
            <w:tcBorders>
              <w:bottom w:val="single" w:sz="8" w:color="3E3935"/>
            </w:tcBorders>
          </w:tcPr>
          <w:p>
            <w:pPr>
              <w:spacing w:after="0"/>
              <w:rPr>
                <w:sz w:val="4"/>
                <w:szCs w:val="4"/>
                <w:color w:val="auto"/>
              </w:rPr>
            </w:pPr>
          </w:p>
        </w:tc>
        <w:tc>
          <w:tcPr>
            <w:tcW w:w="11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56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260" w:type="dxa"/>
            <w:vAlign w:val="bottom"/>
          </w:tcPr>
          <w:p>
            <w:pPr>
              <w:ind w:left="100"/>
              <w:spacing w:after="0"/>
              <w:rPr>
                <w:sz w:val="20"/>
                <w:szCs w:val="20"/>
                <w:color w:val="auto"/>
              </w:rPr>
            </w:pPr>
            <w:r>
              <w:rPr>
                <w:rFonts w:ascii="Arial" w:cs="Arial" w:eastAsia="Arial" w:hAnsi="Arial"/>
                <w:sz w:val="18"/>
                <w:szCs w:val="18"/>
                <w:color w:val="3E3935"/>
              </w:rPr>
              <w:t>Mark L. Reuss</w:t>
            </w:r>
          </w:p>
        </w:tc>
        <w:tc>
          <w:tcPr>
            <w:tcW w:w="1660" w:type="dxa"/>
            <w:vAlign w:val="bottom"/>
          </w:tcPr>
          <w:p>
            <w:pPr>
              <w:jc w:val="right"/>
              <w:spacing w:after="0"/>
              <w:rPr>
                <w:sz w:val="20"/>
                <w:szCs w:val="20"/>
                <w:color w:val="auto"/>
              </w:rPr>
            </w:pPr>
            <w:r>
              <w:rPr>
                <w:rFonts w:ascii="Arial" w:cs="Arial" w:eastAsia="Arial" w:hAnsi="Arial"/>
                <w:sz w:val="18"/>
                <w:szCs w:val="18"/>
                <w:color w:val="3E3935"/>
              </w:rPr>
              <w:t>1,300,000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1,625,000</w:t>
            </w:r>
          </w:p>
        </w:tc>
        <w:tc>
          <w:tcPr>
            <w:tcW w:w="1740" w:type="dxa"/>
            <w:vAlign w:val="bottom"/>
          </w:tcPr>
          <w:p>
            <w:pPr>
              <w:jc w:val="right"/>
              <w:ind w:right="202"/>
              <w:spacing w:after="0"/>
              <w:rPr>
                <w:sz w:val="20"/>
                <w:szCs w:val="20"/>
                <w:color w:val="auto"/>
              </w:rPr>
            </w:pPr>
            <w:r>
              <w:rPr>
                <w:rFonts w:ascii="Arial" w:cs="Arial" w:eastAsia="Arial" w:hAnsi="Arial"/>
                <w:sz w:val="18"/>
                <w:szCs w:val="18"/>
                <w:b w:val="1"/>
                <w:bCs w:val="1"/>
                <w:color w:val="3E3935"/>
              </w:rPr>
              <w:t>2,925,000</w:t>
            </w:r>
          </w:p>
        </w:tc>
        <w:tc>
          <w:tcPr>
            <w:tcW w:w="1120" w:type="dxa"/>
            <w:vAlign w:val="bottom"/>
          </w:tcPr>
          <w:p>
            <w:pPr>
              <w:jc w:val="right"/>
              <w:ind w:right="14"/>
              <w:spacing w:after="0"/>
              <w:rPr>
                <w:sz w:val="20"/>
                <w:szCs w:val="20"/>
                <w:color w:val="auto"/>
              </w:rPr>
            </w:pPr>
            <w:r>
              <w:rPr>
                <w:rFonts w:ascii="Arial" w:cs="Arial" w:eastAsia="Arial" w:hAnsi="Arial"/>
                <w:sz w:val="18"/>
                <w:szCs w:val="18"/>
                <w:color w:val="3E3935"/>
              </w:rPr>
              <w:t>5,006,250</w:t>
            </w:r>
          </w:p>
        </w:tc>
        <w:tc>
          <w:tcPr>
            <w:tcW w:w="940" w:type="dxa"/>
            <w:vAlign w:val="bottom"/>
          </w:tcPr>
          <w:p>
            <w:pPr>
              <w:jc w:val="right"/>
              <w:spacing w:after="0"/>
              <w:rPr>
                <w:sz w:val="20"/>
                <w:szCs w:val="20"/>
                <w:color w:val="auto"/>
              </w:rPr>
            </w:pPr>
            <w:r>
              <w:rPr>
                <w:rFonts w:ascii="Arial" w:cs="Arial" w:eastAsia="Arial" w:hAnsi="Arial"/>
                <w:sz w:val="18"/>
                <w:szCs w:val="18"/>
                <w:color w:val="3E3935"/>
              </w:rPr>
              <w:t>1,668,750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3E3935"/>
              </w:rPr>
              <w:t>9,600,000</w:t>
            </w:r>
          </w:p>
        </w:tc>
        <w:tc>
          <w:tcPr>
            <w:tcW w:w="0" w:type="dxa"/>
            <w:vAlign w:val="bottom"/>
          </w:tcPr>
          <w:p>
            <w:pPr>
              <w:spacing w:after="0"/>
              <w:rPr>
                <w:sz w:val="1"/>
                <w:szCs w:val="1"/>
                <w:color w:val="auto"/>
              </w:rPr>
            </w:pPr>
          </w:p>
        </w:tc>
      </w:tr>
      <w:tr>
        <w:trPr>
          <w:trHeight w:val="54"/>
        </w:trPr>
        <w:tc>
          <w:tcPr>
            <w:tcW w:w="2260" w:type="dxa"/>
            <w:vAlign w:val="bottom"/>
            <w:tcBorders>
              <w:bottom w:val="single" w:sz="8" w:color="3E3935"/>
            </w:tcBorders>
          </w:tcPr>
          <w:p>
            <w:pPr>
              <w:spacing w:after="0"/>
              <w:rPr>
                <w:sz w:val="4"/>
                <w:szCs w:val="4"/>
                <w:color w:val="auto"/>
              </w:rPr>
            </w:pPr>
          </w:p>
        </w:tc>
        <w:tc>
          <w:tcPr>
            <w:tcW w:w="166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960" w:type="dxa"/>
            <w:vAlign w:val="bottom"/>
            <w:tcBorders>
              <w:bottom w:val="single" w:sz="8" w:color="3E3935"/>
            </w:tcBorders>
          </w:tcPr>
          <w:p>
            <w:pPr>
              <w:spacing w:after="0"/>
              <w:rPr>
                <w:sz w:val="4"/>
                <w:szCs w:val="4"/>
                <w:color w:val="auto"/>
              </w:rPr>
            </w:pPr>
          </w:p>
        </w:tc>
        <w:tc>
          <w:tcPr>
            <w:tcW w:w="1740" w:type="dxa"/>
            <w:vAlign w:val="bottom"/>
            <w:tcBorders>
              <w:bottom w:val="single" w:sz="8" w:color="3E3935"/>
            </w:tcBorders>
          </w:tcPr>
          <w:p>
            <w:pPr>
              <w:spacing w:after="0"/>
              <w:rPr>
                <w:sz w:val="4"/>
                <w:szCs w:val="4"/>
                <w:color w:val="auto"/>
              </w:rPr>
            </w:pPr>
          </w:p>
        </w:tc>
        <w:tc>
          <w:tcPr>
            <w:tcW w:w="11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56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260" w:type="dxa"/>
            <w:vAlign w:val="bottom"/>
          </w:tcPr>
          <w:p>
            <w:pPr>
              <w:ind w:left="100"/>
              <w:spacing w:after="0"/>
              <w:rPr>
                <w:sz w:val="20"/>
                <w:szCs w:val="20"/>
                <w:color w:val="auto"/>
              </w:rPr>
            </w:pPr>
            <w:r>
              <w:rPr>
                <w:rFonts w:ascii="Arial" w:cs="Arial" w:eastAsia="Arial" w:hAnsi="Arial"/>
                <w:sz w:val="18"/>
                <w:szCs w:val="18"/>
                <w:color w:val="3E3935"/>
              </w:rPr>
              <w:t>Douglas L. Parks</w:t>
            </w:r>
          </w:p>
        </w:tc>
        <w:tc>
          <w:tcPr>
            <w:tcW w:w="1660" w:type="dxa"/>
            <w:vAlign w:val="bottom"/>
          </w:tcPr>
          <w:p>
            <w:pPr>
              <w:jc w:val="right"/>
              <w:spacing w:after="0"/>
              <w:rPr>
                <w:sz w:val="20"/>
                <w:szCs w:val="20"/>
                <w:color w:val="auto"/>
              </w:rPr>
            </w:pPr>
            <w:r>
              <w:rPr>
                <w:rFonts w:ascii="Arial" w:cs="Arial" w:eastAsia="Arial" w:hAnsi="Arial"/>
                <w:sz w:val="18"/>
                <w:szCs w:val="18"/>
                <w:color w:val="3E3935"/>
              </w:rPr>
              <w:t>850,000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1,062,500</w:t>
            </w:r>
          </w:p>
        </w:tc>
        <w:tc>
          <w:tcPr>
            <w:tcW w:w="1740" w:type="dxa"/>
            <w:vAlign w:val="bottom"/>
          </w:tcPr>
          <w:p>
            <w:pPr>
              <w:jc w:val="right"/>
              <w:ind w:right="202"/>
              <w:spacing w:after="0"/>
              <w:rPr>
                <w:sz w:val="20"/>
                <w:szCs w:val="20"/>
                <w:color w:val="auto"/>
              </w:rPr>
            </w:pPr>
            <w:r>
              <w:rPr>
                <w:rFonts w:ascii="Arial" w:cs="Arial" w:eastAsia="Arial" w:hAnsi="Arial"/>
                <w:sz w:val="18"/>
                <w:szCs w:val="18"/>
                <w:b w:val="1"/>
                <w:bCs w:val="1"/>
                <w:color w:val="3E3935"/>
              </w:rPr>
              <w:t>1,912,500</w:t>
            </w:r>
          </w:p>
        </w:tc>
        <w:tc>
          <w:tcPr>
            <w:tcW w:w="1120" w:type="dxa"/>
            <w:vAlign w:val="bottom"/>
          </w:tcPr>
          <w:p>
            <w:pPr>
              <w:jc w:val="right"/>
              <w:ind w:right="14"/>
              <w:spacing w:after="0"/>
              <w:rPr>
                <w:sz w:val="20"/>
                <w:szCs w:val="20"/>
                <w:color w:val="auto"/>
              </w:rPr>
            </w:pPr>
            <w:r>
              <w:rPr>
                <w:rFonts w:ascii="Arial" w:cs="Arial" w:eastAsia="Arial" w:hAnsi="Arial"/>
                <w:sz w:val="18"/>
                <w:szCs w:val="18"/>
                <w:color w:val="3E3935"/>
              </w:rPr>
              <w:t>3,740,625</w:t>
            </w:r>
          </w:p>
        </w:tc>
        <w:tc>
          <w:tcPr>
            <w:tcW w:w="940" w:type="dxa"/>
            <w:vAlign w:val="bottom"/>
          </w:tcPr>
          <w:p>
            <w:pPr>
              <w:jc w:val="right"/>
              <w:spacing w:after="0"/>
              <w:rPr>
                <w:sz w:val="20"/>
                <w:szCs w:val="20"/>
                <w:color w:val="auto"/>
              </w:rPr>
            </w:pPr>
            <w:r>
              <w:rPr>
                <w:rFonts w:ascii="Arial" w:cs="Arial" w:eastAsia="Arial" w:hAnsi="Arial"/>
                <w:sz w:val="18"/>
                <w:szCs w:val="18"/>
                <w:color w:val="3E3935"/>
              </w:rPr>
              <w:t>1,246,875</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3E3935"/>
              </w:rPr>
              <w:t>6,900,000</w:t>
            </w:r>
          </w:p>
        </w:tc>
        <w:tc>
          <w:tcPr>
            <w:tcW w:w="0" w:type="dxa"/>
            <w:vAlign w:val="bottom"/>
          </w:tcPr>
          <w:p>
            <w:pPr>
              <w:spacing w:after="0"/>
              <w:rPr>
                <w:sz w:val="1"/>
                <w:szCs w:val="1"/>
                <w:color w:val="auto"/>
              </w:rPr>
            </w:pPr>
          </w:p>
        </w:tc>
      </w:tr>
      <w:tr>
        <w:trPr>
          <w:trHeight w:val="54"/>
        </w:trPr>
        <w:tc>
          <w:tcPr>
            <w:tcW w:w="2260" w:type="dxa"/>
            <w:vAlign w:val="bottom"/>
            <w:tcBorders>
              <w:bottom w:val="single" w:sz="8" w:color="3E3935"/>
            </w:tcBorders>
          </w:tcPr>
          <w:p>
            <w:pPr>
              <w:spacing w:after="0"/>
              <w:rPr>
                <w:sz w:val="4"/>
                <w:szCs w:val="4"/>
                <w:color w:val="auto"/>
              </w:rPr>
            </w:pPr>
          </w:p>
        </w:tc>
        <w:tc>
          <w:tcPr>
            <w:tcW w:w="166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960" w:type="dxa"/>
            <w:vAlign w:val="bottom"/>
            <w:tcBorders>
              <w:bottom w:val="single" w:sz="8" w:color="3E3935"/>
            </w:tcBorders>
          </w:tcPr>
          <w:p>
            <w:pPr>
              <w:spacing w:after="0"/>
              <w:rPr>
                <w:sz w:val="4"/>
                <w:szCs w:val="4"/>
                <w:color w:val="auto"/>
              </w:rPr>
            </w:pPr>
          </w:p>
        </w:tc>
        <w:tc>
          <w:tcPr>
            <w:tcW w:w="1740" w:type="dxa"/>
            <w:vAlign w:val="bottom"/>
            <w:tcBorders>
              <w:bottom w:val="single" w:sz="8" w:color="3E3935"/>
            </w:tcBorders>
          </w:tcPr>
          <w:p>
            <w:pPr>
              <w:spacing w:after="0"/>
              <w:rPr>
                <w:sz w:val="4"/>
                <w:szCs w:val="4"/>
                <w:color w:val="auto"/>
              </w:rPr>
            </w:pPr>
          </w:p>
        </w:tc>
        <w:tc>
          <w:tcPr>
            <w:tcW w:w="11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56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260" w:type="dxa"/>
            <w:vAlign w:val="bottom"/>
          </w:tcPr>
          <w:p>
            <w:pPr>
              <w:ind w:left="100"/>
              <w:spacing w:after="0"/>
              <w:rPr>
                <w:sz w:val="20"/>
                <w:szCs w:val="20"/>
                <w:color w:val="auto"/>
              </w:rPr>
            </w:pPr>
            <w:r>
              <w:rPr>
                <w:rFonts w:ascii="Arial" w:cs="Arial" w:eastAsia="Arial" w:hAnsi="Arial"/>
                <w:sz w:val="18"/>
                <w:szCs w:val="18"/>
                <w:color w:val="3E3935"/>
              </w:rPr>
              <w:t>Stephen K. Carlisle</w:t>
            </w:r>
          </w:p>
        </w:tc>
        <w:tc>
          <w:tcPr>
            <w:tcW w:w="1660" w:type="dxa"/>
            <w:vAlign w:val="bottom"/>
          </w:tcPr>
          <w:p>
            <w:pPr>
              <w:jc w:val="right"/>
              <w:spacing w:after="0"/>
              <w:rPr>
                <w:sz w:val="20"/>
                <w:szCs w:val="20"/>
                <w:color w:val="auto"/>
              </w:rPr>
            </w:pPr>
            <w:r>
              <w:rPr>
                <w:rFonts w:ascii="Arial" w:cs="Arial" w:eastAsia="Arial" w:hAnsi="Arial"/>
                <w:sz w:val="18"/>
                <w:szCs w:val="18"/>
                <w:color w:val="3E3935"/>
              </w:rPr>
              <w:t>850,000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1,062,500</w:t>
            </w:r>
          </w:p>
        </w:tc>
        <w:tc>
          <w:tcPr>
            <w:tcW w:w="1740" w:type="dxa"/>
            <w:vAlign w:val="bottom"/>
          </w:tcPr>
          <w:p>
            <w:pPr>
              <w:jc w:val="right"/>
              <w:ind w:right="202"/>
              <w:spacing w:after="0"/>
              <w:rPr>
                <w:sz w:val="20"/>
                <w:szCs w:val="20"/>
                <w:color w:val="auto"/>
              </w:rPr>
            </w:pPr>
            <w:r>
              <w:rPr>
                <w:rFonts w:ascii="Arial" w:cs="Arial" w:eastAsia="Arial" w:hAnsi="Arial"/>
                <w:sz w:val="18"/>
                <w:szCs w:val="18"/>
                <w:b w:val="1"/>
                <w:bCs w:val="1"/>
                <w:color w:val="3E3935"/>
              </w:rPr>
              <w:t>1,912,500</w:t>
            </w:r>
          </w:p>
        </w:tc>
        <w:tc>
          <w:tcPr>
            <w:tcW w:w="1120" w:type="dxa"/>
            <w:vAlign w:val="bottom"/>
          </w:tcPr>
          <w:p>
            <w:pPr>
              <w:jc w:val="right"/>
              <w:ind w:right="14"/>
              <w:spacing w:after="0"/>
              <w:rPr>
                <w:sz w:val="20"/>
                <w:szCs w:val="20"/>
                <w:color w:val="auto"/>
              </w:rPr>
            </w:pPr>
            <w:r>
              <w:rPr>
                <w:rFonts w:ascii="Arial" w:cs="Arial" w:eastAsia="Arial" w:hAnsi="Arial"/>
                <w:sz w:val="18"/>
                <w:szCs w:val="18"/>
                <w:color w:val="3E3935"/>
              </w:rPr>
              <w:t>3,740,625</w:t>
            </w:r>
          </w:p>
        </w:tc>
        <w:tc>
          <w:tcPr>
            <w:tcW w:w="940" w:type="dxa"/>
            <w:vAlign w:val="bottom"/>
          </w:tcPr>
          <w:p>
            <w:pPr>
              <w:jc w:val="right"/>
              <w:spacing w:after="0"/>
              <w:rPr>
                <w:sz w:val="20"/>
                <w:szCs w:val="20"/>
                <w:color w:val="auto"/>
              </w:rPr>
            </w:pPr>
            <w:r>
              <w:rPr>
                <w:rFonts w:ascii="Arial" w:cs="Arial" w:eastAsia="Arial" w:hAnsi="Arial"/>
                <w:sz w:val="18"/>
                <w:szCs w:val="18"/>
                <w:color w:val="3E3935"/>
              </w:rPr>
              <w:t>1,246,875</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3E3935"/>
              </w:rPr>
              <w:t>6,900,000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1" w:lineRule="exact"/>
        <w:rPr>
          <w:sz w:val="20"/>
          <w:szCs w:val="20"/>
          <w:color w:val="auto"/>
        </w:rPr>
      </w:pPr>
    </w:p>
    <w:p>
      <w:pPr>
        <w:jc w:val="both"/>
        <w:ind w:left="600" w:hanging="433"/>
        <w:spacing w:after="0" w:line="247" w:lineRule="auto"/>
        <w:tabs>
          <w:tab w:leader="none" w:pos="600" w:val="left"/>
        </w:tabs>
        <w:numPr>
          <w:ilvl w:val="0"/>
          <w:numId w:val="89"/>
        </w:numPr>
        <w:rPr>
          <w:rFonts w:ascii="Arial" w:cs="Arial" w:eastAsia="Arial" w:hAnsi="Arial"/>
          <w:sz w:val="18"/>
          <w:szCs w:val="18"/>
          <w:i w:val="1"/>
          <w:iCs w:val="1"/>
          <w:color w:val="3E3935"/>
        </w:rPr>
      </w:pPr>
      <w:r>
        <w:rPr>
          <w:rFonts w:ascii="Arial" w:cs="Arial" w:eastAsia="Arial" w:hAnsi="Arial"/>
          <w:sz w:val="18"/>
          <w:szCs w:val="18"/>
          <w:i w:val="1"/>
          <w:iCs w:val="1"/>
          <w:color w:val="3E3935"/>
        </w:rPr>
        <w:t>The number of PSUs awarded is determined by using the target PSU value divided by the closing stock price on the date of grant. A portion of the PSU award with performance tied to Relative TSR is valued in the Summary Compensation Table using a Monte Carlo analysis resulting in amounts that may be higher or lower than target.</w:t>
      </w:r>
    </w:p>
    <w:p>
      <w:pPr>
        <w:spacing w:after="0" w:line="117"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Performance Measures</w:t>
      </w:r>
    </w:p>
    <w:p>
      <w:pPr>
        <w:spacing w:after="0" w:line="131" w:lineRule="exact"/>
        <w:rPr>
          <w:sz w:val="20"/>
          <w:szCs w:val="20"/>
          <w:color w:val="auto"/>
        </w:rPr>
      </w:pPr>
    </w:p>
    <w:p>
      <w:pPr>
        <w:ind w:left="700" w:hanging="533"/>
        <w:spacing w:after="0"/>
        <w:tabs>
          <w:tab w:leader="none" w:pos="700" w:val="left"/>
        </w:tabs>
        <w:numPr>
          <w:ilvl w:val="0"/>
          <w:numId w:val="90"/>
        </w:numPr>
        <w:rPr>
          <w:rFonts w:ascii="Times New Roman" w:cs="Times New Roman" w:eastAsia="Times New Roman" w:hAnsi="Times New Roman"/>
          <w:sz w:val="21"/>
          <w:szCs w:val="21"/>
          <w:color w:val="0071CE"/>
        </w:rPr>
      </w:pPr>
      <w:r>
        <w:rPr>
          <w:rFonts w:ascii="Arial" w:cs="Arial" w:eastAsia="Arial" w:hAnsi="Arial"/>
          <w:sz w:val="25"/>
          <w:szCs w:val="25"/>
          <w:color w:val="3E3935"/>
        </w:rPr>
        <w:t>How We Set Performance Targets</w:t>
      </w:r>
    </w:p>
    <w:p>
      <w:pPr>
        <w:spacing w:after="0" w:line="11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Compensation Committee approves the performance measures for the STIP and LTIP annually. The Compensation Committee reviews recommendations from management, receives input from its independent compensation consultant, evaluates the annual budget and mid-term business plan, and reviews prior year performance to approve value-creating goals tied to long-term shareholder value.</w:t>
      </w:r>
    </w:p>
    <w:p>
      <w:pPr>
        <w:spacing w:after="0" w:line="292" w:lineRule="exact"/>
        <w:rPr>
          <w:sz w:val="20"/>
          <w:szCs w:val="20"/>
          <w:color w:val="auto"/>
        </w:rPr>
      </w:pPr>
    </w:p>
    <w:p>
      <w:pPr>
        <w:ind w:left="700" w:hanging="533"/>
        <w:spacing w:after="0"/>
        <w:tabs>
          <w:tab w:leader="none" w:pos="700" w:val="left"/>
        </w:tabs>
        <w:numPr>
          <w:ilvl w:val="0"/>
          <w:numId w:val="91"/>
        </w:numPr>
        <w:rPr>
          <w:rFonts w:ascii="Times New Roman" w:cs="Times New Roman" w:eastAsia="Times New Roman" w:hAnsi="Times New Roman"/>
          <w:sz w:val="21"/>
          <w:szCs w:val="21"/>
          <w:color w:val="0071CE"/>
        </w:rPr>
      </w:pPr>
      <w:r>
        <w:rPr>
          <w:rFonts w:ascii="Arial" w:cs="Arial" w:eastAsia="Arial" w:hAnsi="Arial"/>
          <w:sz w:val="25"/>
          <w:szCs w:val="25"/>
          <w:color w:val="3E3935"/>
        </w:rPr>
        <w:t>2021 STIP Performance Measures</w:t>
      </w:r>
    </w:p>
    <w:p>
      <w:pPr>
        <w:spacing w:after="0" w:line="11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STIP performance measures are linked to the Company’s annual financial goals and strategic goals that drive our long-term strategy. The Compensation Committee annually reviews and approves STIP performance measures that align with shareholders’ interests.</w:t>
      </w:r>
    </w:p>
    <w:p>
      <w:pPr>
        <w:spacing w:after="0" w:line="10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Compensation Committee approves strategic goals that align to delivering on our long-term Company strategy and objectives. Strategic goals cover the following five areas:</w:t>
      </w:r>
    </w:p>
    <w:p>
      <w:pPr>
        <w:spacing w:after="0" w:line="52" w:lineRule="exact"/>
        <w:rPr>
          <w:sz w:val="20"/>
          <w:szCs w:val="20"/>
          <w:color w:val="auto"/>
        </w:rPr>
      </w:pPr>
    </w:p>
    <w:p>
      <w:pPr>
        <w:jc w:val="both"/>
        <w:ind w:left="720"/>
        <w:spacing w:after="0" w:line="239" w:lineRule="auto"/>
        <w:rPr>
          <w:sz w:val="20"/>
          <w:szCs w:val="20"/>
          <w:color w:val="auto"/>
        </w:rPr>
      </w:pPr>
      <w:r>
        <w:rPr>
          <w:rFonts w:ascii="Arial" w:cs="Arial" w:eastAsia="Arial" w:hAnsi="Arial"/>
          <w:sz w:val="20"/>
          <w:szCs w:val="20"/>
          <w:b w:val="1"/>
          <w:bCs w:val="1"/>
          <w:color w:val="0071CE"/>
        </w:rPr>
        <w:t xml:space="preserve">Our People </w:t>
      </w:r>
      <w:r>
        <w:rPr>
          <w:rFonts w:ascii="Arial" w:cs="Arial" w:eastAsia="Arial" w:hAnsi="Arial"/>
          <w:sz w:val="20"/>
          <w:szCs w:val="20"/>
          <w:color w:val="3E3935"/>
        </w:rPr>
        <w:t>– Attracting, retaining, and engaging our people by providing the best employee experience that supports</w:t>
      </w:r>
      <w:r>
        <w:rPr>
          <w:rFonts w:ascii="Arial" w:cs="Arial" w:eastAsia="Arial" w:hAnsi="Arial"/>
          <w:sz w:val="20"/>
          <w:szCs w:val="20"/>
          <w:b w:val="1"/>
          <w:bCs w:val="1"/>
          <w:color w:val="0071CE"/>
        </w:rPr>
        <w:t xml:space="preserve"> </w:t>
      </w:r>
      <w:r>
        <w:rPr>
          <w:rFonts w:ascii="Arial" w:cs="Arial" w:eastAsia="Arial" w:hAnsi="Arial"/>
          <w:sz w:val="20"/>
          <w:szCs w:val="20"/>
          <w:color w:val="3E3935"/>
        </w:rPr>
        <w:t>and invests in diversity, equity, and inclusion, while living values and behaviors that return people home safely every day.</w:t>
      </w:r>
    </w:p>
    <w:p>
      <w:pPr>
        <w:spacing w:after="0" w:line="62" w:lineRule="exact"/>
        <w:rPr>
          <w:sz w:val="20"/>
          <w:szCs w:val="20"/>
          <w:color w:val="auto"/>
        </w:rPr>
      </w:pPr>
    </w:p>
    <w:p>
      <w:pPr>
        <w:jc w:val="both"/>
        <w:ind w:left="720"/>
        <w:spacing w:after="0" w:line="254" w:lineRule="auto"/>
        <w:rPr>
          <w:sz w:val="20"/>
          <w:szCs w:val="20"/>
          <w:color w:val="auto"/>
        </w:rPr>
      </w:pPr>
      <w:r>
        <w:rPr>
          <w:rFonts w:ascii="Arial" w:cs="Arial" w:eastAsia="Arial" w:hAnsi="Arial"/>
          <w:sz w:val="20"/>
          <w:szCs w:val="20"/>
          <w:b w:val="1"/>
          <w:bCs w:val="1"/>
          <w:color w:val="0071CE"/>
        </w:rPr>
        <w:t xml:space="preserve">Products, Software, and Services </w:t>
      </w:r>
      <w:r>
        <w:rPr>
          <w:rFonts w:ascii="Arial" w:cs="Arial" w:eastAsia="Arial" w:hAnsi="Arial"/>
          <w:sz w:val="20"/>
          <w:szCs w:val="20"/>
          <w:color w:val="3E3935"/>
        </w:rPr>
        <w:t>– Creating leading technologies and innovations that deliver customer value and</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executing launch excellence with best-in-class product quality.</w:t>
      </w:r>
    </w:p>
    <w:p>
      <w:pPr>
        <w:spacing w:after="0" w:line="48" w:lineRule="exact"/>
        <w:rPr>
          <w:sz w:val="20"/>
          <w:szCs w:val="20"/>
          <w:color w:val="auto"/>
        </w:rPr>
      </w:pPr>
    </w:p>
    <w:p>
      <w:pPr>
        <w:jc w:val="both"/>
        <w:ind w:left="720"/>
        <w:spacing w:after="0" w:line="239" w:lineRule="auto"/>
        <w:rPr>
          <w:sz w:val="20"/>
          <w:szCs w:val="20"/>
          <w:color w:val="auto"/>
        </w:rPr>
      </w:pPr>
      <w:r>
        <w:rPr>
          <w:rFonts w:ascii="Arial" w:cs="Arial" w:eastAsia="Arial" w:hAnsi="Arial"/>
          <w:sz w:val="20"/>
          <w:szCs w:val="20"/>
          <w:b w:val="1"/>
          <w:bCs w:val="1"/>
          <w:color w:val="0071CE"/>
        </w:rPr>
        <w:t xml:space="preserve">Citizenship </w:t>
      </w:r>
      <w:r>
        <w:rPr>
          <w:rFonts w:ascii="Arial" w:cs="Arial" w:eastAsia="Arial" w:hAnsi="Arial"/>
          <w:sz w:val="20"/>
          <w:szCs w:val="20"/>
          <w:color w:val="3E3935"/>
        </w:rPr>
        <w:t>– Prioritizing actions that are inclusive for the communities in which we live and work, including</w:t>
      </w:r>
      <w:r>
        <w:rPr>
          <w:rFonts w:ascii="Arial" w:cs="Arial" w:eastAsia="Arial" w:hAnsi="Arial"/>
          <w:sz w:val="20"/>
          <w:szCs w:val="20"/>
          <w:b w:val="1"/>
          <w:bCs w:val="1"/>
          <w:color w:val="0071CE"/>
        </w:rPr>
        <w:t xml:space="preserve"> </w:t>
      </w:r>
      <w:r>
        <w:rPr>
          <w:rFonts w:ascii="Arial" w:cs="Arial" w:eastAsia="Arial" w:hAnsi="Arial"/>
          <w:sz w:val="20"/>
          <w:szCs w:val="20"/>
          <w:color w:val="3E3935"/>
        </w:rPr>
        <w:t>implementation of our plan to be carbon neutral in our global products and operations by 2040 and to eliminate tailpipe emissions from new light-duty vehicles globally by 2035.</w:t>
      </w:r>
    </w:p>
    <w:p>
      <w:pPr>
        <w:spacing w:after="0" w:line="62" w:lineRule="exact"/>
        <w:rPr>
          <w:sz w:val="20"/>
          <w:szCs w:val="20"/>
          <w:color w:val="auto"/>
        </w:rPr>
      </w:pPr>
    </w:p>
    <w:p>
      <w:pPr>
        <w:jc w:val="both"/>
        <w:ind w:left="720"/>
        <w:spacing w:after="0" w:line="254" w:lineRule="auto"/>
        <w:rPr>
          <w:sz w:val="20"/>
          <w:szCs w:val="20"/>
          <w:color w:val="auto"/>
        </w:rPr>
      </w:pPr>
      <w:r>
        <w:rPr>
          <w:rFonts w:ascii="Arial" w:cs="Arial" w:eastAsia="Arial" w:hAnsi="Arial"/>
          <w:sz w:val="20"/>
          <w:szCs w:val="20"/>
          <w:b w:val="1"/>
          <w:bCs w:val="1"/>
          <w:color w:val="0071CE"/>
        </w:rPr>
        <w:t xml:space="preserve">Enterprise </w:t>
      </w:r>
      <w:r>
        <w:rPr>
          <w:rFonts w:ascii="Arial" w:cs="Arial" w:eastAsia="Arial" w:hAnsi="Arial"/>
          <w:sz w:val="20"/>
          <w:szCs w:val="20"/>
          <w:color w:val="3E3935"/>
        </w:rPr>
        <w:t>– Maximizing our EV opportunity through scale and cost optimization by expanding manufacturing</w:t>
      </w:r>
      <w:r>
        <w:rPr>
          <w:rFonts w:ascii="Arial" w:cs="Arial" w:eastAsia="Arial" w:hAnsi="Arial"/>
          <w:sz w:val="20"/>
          <w:szCs w:val="20"/>
          <w:b w:val="1"/>
          <w:bCs w:val="1"/>
          <w:color w:val="0071CE"/>
        </w:rPr>
        <w:t xml:space="preserve"> </w:t>
      </w:r>
      <w:r>
        <w:rPr>
          <w:rFonts w:ascii="Arial" w:cs="Arial" w:eastAsia="Arial" w:hAnsi="Arial"/>
          <w:sz w:val="20"/>
          <w:szCs w:val="20"/>
          <w:color w:val="3E3935"/>
        </w:rPr>
        <w:t>capabilities and operational excellence, while exceeding our financial and structural cost objectives.</w:t>
      </w:r>
    </w:p>
    <w:p>
      <w:pPr>
        <w:spacing w:after="0" w:line="48" w:lineRule="exact"/>
        <w:rPr>
          <w:sz w:val="20"/>
          <w:szCs w:val="20"/>
          <w:color w:val="auto"/>
        </w:rPr>
      </w:pPr>
    </w:p>
    <w:p>
      <w:pPr>
        <w:jc w:val="both"/>
        <w:ind w:left="720"/>
        <w:spacing w:after="0" w:line="254" w:lineRule="auto"/>
        <w:rPr>
          <w:sz w:val="20"/>
          <w:szCs w:val="20"/>
          <w:color w:val="auto"/>
        </w:rPr>
      </w:pPr>
      <w:r>
        <w:rPr>
          <w:rFonts w:ascii="Arial" w:cs="Arial" w:eastAsia="Arial" w:hAnsi="Arial"/>
          <w:sz w:val="20"/>
          <w:szCs w:val="20"/>
          <w:b w:val="1"/>
          <w:bCs w:val="1"/>
          <w:color w:val="0071CE"/>
        </w:rPr>
        <w:t xml:space="preserve">Customer Experience </w:t>
      </w:r>
      <w:r>
        <w:rPr>
          <w:rFonts w:ascii="Arial" w:cs="Arial" w:eastAsia="Arial" w:hAnsi="Arial"/>
          <w:sz w:val="20"/>
          <w:szCs w:val="20"/>
          <w:color w:val="3E3935"/>
        </w:rPr>
        <w:t>– Reimagining the customer experience, while in pursuit of EV leadership and enhancing</w:t>
      </w:r>
      <w:r>
        <w:rPr>
          <w:rFonts w:ascii="Arial" w:cs="Arial" w:eastAsia="Arial" w:hAnsi="Arial"/>
          <w:sz w:val="20"/>
          <w:szCs w:val="20"/>
          <w:b w:val="1"/>
          <w:bCs w:val="1"/>
          <w:color w:val="0071CE"/>
        </w:rPr>
        <w:t xml:space="preserve"> </w:t>
      </w:r>
      <w:r>
        <w:rPr>
          <w:rFonts w:ascii="Arial" w:cs="Arial" w:eastAsia="Arial" w:hAnsi="Arial"/>
          <w:sz w:val="20"/>
          <w:szCs w:val="20"/>
          <w:color w:val="3E3935"/>
        </w:rPr>
        <w:t>human experiences across the GM ecosystem.</w:t>
      </w:r>
    </w:p>
    <w:p>
      <w:pPr>
        <w:spacing w:after="0" w:line="90"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Following the performance period, the Committee uses a scorecard to assess individual performance results to the strategic goals above and makes final compensation decisions as discussed beginning on page 61 of this Proxy Statement.</w:t>
      </w:r>
    </w:p>
    <w:p>
      <w:pPr>
        <w:spacing w:after="0" w:line="81"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STIP awards, if any, are determined based on final Company financial performance and the Compensation Committee’s assessment of performance to strategic goals for each NEO. 2021 STIP targets were aligned to the business plan and to the guidance provided in connection with our earnings release for the year ended December 31, 2020. The target for EBIT-adjusted was set above the prior year result and the target for AAFCF was set below the prior year result primarily due to expected increases in capital expenditures and a reduction in expected wholesale volumes because of the semiconductor shortage. The table below describes each STIP performance measure – its weighting, its target, and the leadership behavior each measure drives.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360" w:type="dxa"/>
            <w:vAlign w:val="bottom"/>
          </w:tcPr>
          <w:p>
            <w:pPr>
              <w:ind w:left="120"/>
              <w:spacing w:after="0"/>
              <w:rPr>
                <w:sz w:val="20"/>
                <w:szCs w:val="20"/>
                <w:color w:val="auto"/>
              </w:rPr>
            </w:pPr>
            <w:r>
              <w:rPr>
                <w:rFonts w:ascii="Arial" w:cs="Arial" w:eastAsia="Arial" w:hAnsi="Arial"/>
                <w:sz w:val="20"/>
                <w:szCs w:val="20"/>
                <w:b w:val="1"/>
                <w:bCs w:val="1"/>
                <w:color w:val="00C1DE"/>
              </w:rPr>
              <w:t>STIP Performance</w:t>
            </w:r>
          </w:p>
        </w:tc>
        <w:tc>
          <w:tcPr>
            <w:tcW w:w="1140" w:type="dxa"/>
            <w:vAlign w:val="bottom"/>
            <w:vMerge w:val="restart"/>
          </w:tcPr>
          <w:p>
            <w:pPr>
              <w:jc w:val="right"/>
              <w:ind w:right="42"/>
              <w:spacing w:after="0"/>
              <w:rPr>
                <w:sz w:val="20"/>
                <w:szCs w:val="20"/>
                <w:color w:val="auto"/>
              </w:rPr>
            </w:pPr>
            <w:r>
              <w:rPr>
                <w:rFonts w:ascii="Arial" w:cs="Arial" w:eastAsia="Arial" w:hAnsi="Arial"/>
                <w:sz w:val="20"/>
                <w:szCs w:val="20"/>
                <w:b w:val="1"/>
                <w:bCs w:val="1"/>
                <w:color w:val="00C1DE"/>
              </w:rPr>
              <w:t>Weight</w:t>
            </w:r>
          </w:p>
        </w:tc>
        <w:tc>
          <w:tcPr>
            <w:tcW w:w="800" w:type="dxa"/>
            <w:vAlign w:val="bottom"/>
            <w:vMerge w:val="restart"/>
          </w:tcPr>
          <w:p>
            <w:pPr>
              <w:jc w:val="right"/>
              <w:ind w:right="2"/>
              <w:spacing w:after="0"/>
              <w:rPr>
                <w:sz w:val="20"/>
                <w:szCs w:val="20"/>
                <w:color w:val="auto"/>
              </w:rPr>
            </w:pPr>
            <w:r>
              <w:rPr>
                <w:rFonts w:ascii="Arial" w:cs="Arial" w:eastAsia="Arial" w:hAnsi="Arial"/>
                <w:sz w:val="20"/>
                <w:szCs w:val="20"/>
                <w:b w:val="1"/>
                <w:bCs w:val="1"/>
                <w:color w:val="00C1DE"/>
              </w:rPr>
              <w:t>Target</w:t>
            </w:r>
          </w:p>
        </w:tc>
        <w:tc>
          <w:tcPr>
            <w:tcW w:w="6620" w:type="dxa"/>
            <w:vAlign w:val="bottom"/>
            <w:vMerge w:val="restart"/>
          </w:tcPr>
          <w:p>
            <w:pPr>
              <w:ind w:left="100"/>
              <w:spacing w:after="0"/>
              <w:rPr>
                <w:sz w:val="20"/>
                <w:szCs w:val="20"/>
                <w:color w:val="auto"/>
              </w:rPr>
            </w:pPr>
            <w:r>
              <w:rPr>
                <w:rFonts w:ascii="Arial" w:cs="Arial" w:eastAsia="Arial" w:hAnsi="Arial"/>
                <w:sz w:val="20"/>
                <w:szCs w:val="20"/>
                <w:b w:val="1"/>
                <w:bCs w:val="1"/>
                <w:color w:val="00C1DE"/>
              </w:rPr>
              <w:t>Leadership Behaviors</w:t>
            </w:r>
          </w:p>
        </w:tc>
        <w:tc>
          <w:tcPr>
            <w:tcW w:w="0" w:type="dxa"/>
            <w:vAlign w:val="bottom"/>
          </w:tcPr>
          <w:p>
            <w:pPr>
              <w:spacing w:after="0"/>
              <w:rPr>
                <w:sz w:val="1"/>
                <w:szCs w:val="1"/>
                <w:color w:val="auto"/>
              </w:rPr>
            </w:pPr>
          </w:p>
        </w:tc>
      </w:tr>
      <w:tr>
        <w:trPr>
          <w:trHeight w:val="269"/>
        </w:trPr>
        <w:tc>
          <w:tcPr>
            <w:tcW w:w="2360" w:type="dxa"/>
            <w:vAlign w:val="bottom"/>
          </w:tcPr>
          <w:p>
            <w:pPr>
              <w:ind w:left="120"/>
              <w:spacing w:after="0"/>
              <w:rPr>
                <w:sz w:val="20"/>
                <w:szCs w:val="20"/>
                <w:color w:val="auto"/>
              </w:rPr>
            </w:pPr>
            <w:r>
              <w:rPr>
                <w:rFonts w:ascii="Arial" w:cs="Arial" w:eastAsia="Arial" w:hAnsi="Arial"/>
                <w:sz w:val="20"/>
                <w:szCs w:val="20"/>
                <w:b w:val="1"/>
                <w:bCs w:val="1"/>
                <w:color w:val="00C1DE"/>
              </w:rPr>
              <w:t>Measure</w:t>
            </w:r>
          </w:p>
        </w:tc>
        <w:tc>
          <w:tcPr>
            <w:tcW w:w="114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360" w:type="dxa"/>
            <w:vAlign w:val="bottom"/>
            <w:tcBorders>
              <w:bottom w:val="single" w:sz="8" w:color="00C1DE"/>
            </w:tcBorders>
          </w:tcPr>
          <w:p>
            <w:pPr>
              <w:spacing w:after="0"/>
              <w:rPr>
                <w:sz w:val="4"/>
                <w:szCs w:val="4"/>
                <w:color w:val="auto"/>
              </w:rPr>
            </w:pPr>
          </w:p>
        </w:tc>
        <w:tc>
          <w:tcPr>
            <w:tcW w:w="1140" w:type="dxa"/>
            <w:vAlign w:val="bottom"/>
            <w:tcBorders>
              <w:bottom w:val="single" w:sz="8" w:color="00C1DE"/>
            </w:tcBorders>
          </w:tcPr>
          <w:p>
            <w:pPr>
              <w:spacing w:after="0"/>
              <w:rPr>
                <w:sz w:val="4"/>
                <w:szCs w:val="4"/>
                <w:color w:val="auto"/>
              </w:rPr>
            </w:pPr>
          </w:p>
        </w:tc>
        <w:tc>
          <w:tcPr>
            <w:tcW w:w="800" w:type="dxa"/>
            <w:vAlign w:val="bottom"/>
            <w:tcBorders>
              <w:bottom w:val="single" w:sz="8" w:color="00C1DE"/>
            </w:tcBorders>
          </w:tcPr>
          <w:p>
            <w:pPr>
              <w:spacing w:after="0"/>
              <w:rPr>
                <w:sz w:val="4"/>
                <w:szCs w:val="4"/>
                <w:color w:val="auto"/>
              </w:rPr>
            </w:pPr>
          </w:p>
        </w:tc>
        <w:tc>
          <w:tcPr>
            <w:tcW w:w="6620" w:type="dxa"/>
            <w:vAlign w:val="bottom"/>
            <w:tcBorders>
              <w:bottom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360" w:type="dxa"/>
            <w:vAlign w:val="bottom"/>
          </w:tcPr>
          <w:p>
            <w:pPr>
              <w:ind w:left="100"/>
              <w:spacing w:after="0"/>
              <w:rPr>
                <w:sz w:val="20"/>
                <w:szCs w:val="20"/>
                <w:color w:val="auto"/>
              </w:rPr>
            </w:pPr>
            <w:r>
              <w:rPr>
                <w:rFonts w:ascii="Arial" w:cs="Arial" w:eastAsia="Arial" w:hAnsi="Arial"/>
                <w:sz w:val="20"/>
                <w:szCs w:val="20"/>
                <w:color w:val="3E3935"/>
              </w:rPr>
              <w:t>EBIT-adjusted ($B)</w:t>
            </w:r>
            <w:r>
              <w:rPr>
                <w:rFonts w:ascii="Arial" w:cs="Arial" w:eastAsia="Arial" w:hAnsi="Arial"/>
                <w:sz w:val="16"/>
                <w:szCs w:val="16"/>
                <w:color w:val="3E3935"/>
              </w:rPr>
              <w:t>(1)</w:t>
            </w:r>
          </w:p>
        </w:tc>
        <w:tc>
          <w:tcPr>
            <w:tcW w:w="1140" w:type="dxa"/>
            <w:vAlign w:val="bottom"/>
          </w:tcPr>
          <w:p>
            <w:pPr>
              <w:jc w:val="right"/>
              <w:ind w:right="42"/>
              <w:spacing w:after="0"/>
              <w:rPr>
                <w:sz w:val="20"/>
                <w:szCs w:val="20"/>
                <w:color w:val="auto"/>
              </w:rPr>
            </w:pPr>
            <w:r>
              <w:rPr>
                <w:rFonts w:ascii="Arial" w:cs="Arial" w:eastAsia="Arial" w:hAnsi="Arial"/>
                <w:sz w:val="20"/>
                <w:szCs w:val="20"/>
                <w:color w:val="3E3935"/>
              </w:rPr>
              <w:t>50%</w:t>
            </w:r>
          </w:p>
        </w:tc>
        <w:tc>
          <w:tcPr>
            <w:tcW w:w="800" w:type="dxa"/>
            <w:vAlign w:val="bottom"/>
          </w:tcPr>
          <w:p>
            <w:pPr>
              <w:jc w:val="right"/>
              <w:ind w:right="2"/>
              <w:spacing w:after="0"/>
              <w:rPr>
                <w:sz w:val="20"/>
                <w:szCs w:val="20"/>
                <w:color w:val="auto"/>
              </w:rPr>
            </w:pPr>
            <w:r>
              <w:rPr>
                <w:rFonts w:ascii="Arial" w:cs="Arial" w:eastAsia="Arial" w:hAnsi="Arial"/>
                <w:sz w:val="20"/>
                <w:szCs w:val="20"/>
                <w:color w:val="3E3935"/>
              </w:rPr>
              <w:t>$11.0</w:t>
            </w:r>
          </w:p>
        </w:tc>
        <w:tc>
          <w:tcPr>
            <w:tcW w:w="6620" w:type="dxa"/>
            <w:vAlign w:val="bottom"/>
          </w:tcPr>
          <w:p>
            <w:pPr>
              <w:ind w:left="100"/>
              <w:spacing w:after="0"/>
              <w:rPr>
                <w:sz w:val="20"/>
                <w:szCs w:val="20"/>
                <w:color w:val="auto"/>
              </w:rPr>
            </w:pPr>
            <w:r>
              <w:rPr>
                <w:rFonts w:ascii="Arial" w:cs="Arial" w:eastAsia="Arial" w:hAnsi="Arial"/>
                <w:sz w:val="20"/>
                <w:szCs w:val="20"/>
                <w:color w:val="3E3935"/>
              </w:rPr>
              <w:t>Focus on operating profit and driving strong profitability</w:t>
            </w:r>
          </w:p>
        </w:tc>
        <w:tc>
          <w:tcPr>
            <w:tcW w:w="0" w:type="dxa"/>
            <w:vAlign w:val="bottom"/>
          </w:tcPr>
          <w:p>
            <w:pPr>
              <w:spacing w:after="0"/>
              <w:rPr>
                <w:sz w:val="1"/>
                <w:szCs w:val="1"/>
                <w:color w:val="auto"/>
              </w:rPr>
            </w:pPr>
          </w:p>
        </w:tc>
      </w:tr>
      <w:tr>
        <w:trPr>
          <w:trHeight w:val="58"/>
        </w:trPr>
        <w:tc>
          <w:tcPr>
            <w:tcW w:w="2360" w:type="dxa"/>
            <w:vAlign w:val="bottom"/>
            <w:tcBorders>
              <w:bottom w:val="single" w:sz="8" w:color="3E3935"/>
            </w:tcBorders>
          </w:tcPr>
          <w:p>
            <w:pPr>
              <w:spacing w:after="0"/>
              <w:rPr>
                <w:sz w:val="5"/>
                <w:szCs w:val="5"/>
                <w:color w:val="auto"/>
              </w:rPr>
            </w:pPr>
          </w:p>
        </w:tc>
        <w:tc>
          <w:tcPr>
            <w:tcW w:w="114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360" w:type="dxa"/>
            <w:vAlign w:val="bottom"/>
          </w:tcPr>
          <w:p>
            <w:pPr>
              <w:ind w:left="100"/>
              <w:spacing w:after="0"/>
              <w:rPr>
                <w:sz w:val="20"/>
                <w:szCs w:val="20"/>
                <w:color w:val="auto"/>
              </w:rPr>
            </w:pPr>
            <w:r>
              <w:rPr>
                <w:rFonts w:ascii="Arial" w:cs="Arial" w:eastAsia="Arial" w:hAnsi="Arial"/>
                <w:sz w:val="20"/>
                <w:szCs w:val="20"/>
                <w:color w:val="3E3935"/>
              </w:rPr>
              <w:t>AAFCF ($B)</w:t>
            </w:r>
            <w:r>
              <w:rPr>
                <w:rFonts w:ascii="Arial" w:cs="Arial" w:eastAsia="Arial" w:hAnsi="Arial"/>
                <w:sz w:val="16"/>
                <w:szCs w:val="16"/>
                <w:color w:val="3E3935"/>
              </w:rPr>
              <w:t>(2)</w:t>
            </w:r>
          </w:p>
        </w:tc>
        <w:tc>
          <w:tcPr>
            <w:tcW w:w="1140" w:type="dxa"/>
            <w:vAlign w:val="bottom"/>
          </w:tcPr>
          <w:p>
            <w:pPr>
              <w:jc w:val="right"/>
              <w:ind w:right="42"/>
              <w:spacing w:after="0"/>
              <w:rPr>
                <w:sz w:val="20"/>
                <w:szCs w:val="20"/>
                <w:color w:val="auto"/>
              </w:rPr>
            </w:pPr>
            <w:r>
              <w:rPr>
                <w:rFonts w:ascii="Arial" w:cs="Arial" w:eastAsia="Arial" w:hAnsi="Arial"/>
                <w:sz w:val="20"/>
                <w:szCs w:val="20"/>
                <w:color w:val="3E3935"/>
              </w:rPr>
              <w:t>25%</w:t>
            </w:r>
          </w:p>
        </w:tc>
        <w:tc>
          <w:tcPr>
            <w:tcW w:w="800" w:type="dxa"/>
            <w:vAlign w:val="bottom"/>
          </w:tcPr>
          <w:p>
            <w:pPr>
              <w:jc w:val="right"/>
              <w:ind w:right="2"/>
              <w:spacing w:after="0"/>
              <w:rPr>
                <w:sz w:val="20"/>
                <w:szCs w:val="20"/>
                <w:color w:val="auto"/>
              </w:rPr>
            </w:pPr>
            <w:r>
              <w:rPr>
                <w:rFonts w:ascii="Arial" w:cs="Arial" w:eastAsia="Arial" w:hAnsi="Arial"/>
                <w:sz w:val="20"/>
                <w:szCs w:val="20"/>
                <w:color w:val="3E3935"/>
              </w:rPr>
              <w:t>$1.3</w:t>
            </w:r>
          </w:p>
        </w:tc>
        <w:tc>
          <w:tcPr>
            <w:tcW w:w="6620" w:type="dxa"/>
            <w:vAlign w:val="bottom"/>
          </w:tcPr>
          <w:p>
            <w:pPr>
              <w:ind w:left="100"/>
              <w:spacing w:after="0"/>
              <w:rPr>
                <w:sz w:val="20"/>
                <w:szCs w:val="20"/>
                <w:color w:val="auto"/>
              </w:rPr>
            </w:pPr>
            <w:r>
              <w:rPr>
                <w:rFonts w:ascii="Arial" w:cs="Arial" w:eastAsia="Arial" w:hAnsi="Arial"/>
                <w:sz w:val="20"/>
                <w:szCs w:val="20"/>
                <w:color w:val="3E3935"/>
              </w:rPr>
              <w:t>Focus on driving strong cash flow to invest in the business</w:t>
            </w:r>
          </w:p>
        </w:tc>
        <w:tc>
          <w:tcPr>
            <w:tcW w:w="0" w:type="dxa"/>
            <w:vAlign w:val="bottom"/>
          </w:tcPr>
          <w:p>
            <w:pPr>
              <w:spacing w:after="0"/>
              <w:rPr>
                <w:sz w:val="1"/>
                <w:szCs w:val="1"/>
                <w:color w:val="auto"/>
              </w:rPr>
            </w:pPr>
          </w:p>
        </w:tc>
      </w:tr>
      <w:tr>
        <w:trPr>
          <w:trHeight w:val="58"/>
        </w:trPr>
        <w:tc>
          <w:tcPr>
            <w:tcW w:w="2360" w:type="dxa"/>
            <w:vAlign w:val="bottom"/>
            <w:tcBorders>
              <w:bottom w:val="single" w:sz="8" w:color="3E3935"/>
            </w:tcBorders>
          </w:tcPr>
          <w:p>
            <w:pPr>
              <w:spacing w:after="0"/>
              <w:rPr>
                <w:sz w:val="5"/>
                <w:szCs w:val="5"/>
                <w:color w:val="auto"/>
              </w:rPr>
            </w:pPr>
          </w:p>
        </w:tc>
        <w:tc>
          <w:tcPr>
            <w:tcW w:w="114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41"/>
        </w:trPr>
        <w:tc>
          <w:tcPr>
            <w:tcW w:w="2360" w:type="dxa"/>
            <w:vAlign w:val="bottom"/>
          </w:tcPr>
          <w:p>
            <w:pPr>
              <w:ind w:left="100"/>
              <w:spacing w:after="0"/>
              <w:rPr>
                <w:sz w:val="20"/>
                <w:szCs w:val="20"/>
                <w:color w:val="auto"/>
              </w:rPr>
            </w:pPr>
            <w:r>
              <w:rPr>
                <w:rFonts w:ascii="Arial" w:cs="Arial" w:eastAsia="Arial" w:hAnsi="Arial"/>
                <w:sz w:val="20"/>
                <w:szCs w:val="20"/>
                <w:color w:val="3E3935"/>
              </w:rPr>
              <w:t>Strategic Goals</w:t>
            </w:r>
          </w:p>
        </w:tc>
        <w:tc>
          <w:tcPr>
            <w:tcW w:w="1140" w:type="dxa"/>
            <w:vAlign w:val="bottom"/>
          </w:tcPr>
          <w:p>
            <w:pPr>
              <w:jc w:val="right"/>
              <w:ind w:right="42"/>
              <w:spacing w:after="0"/>
              <w:rPr>
                <w:sz w:val="20"/>
                <w:szCs w:val="20"/>
                <w:color w:val="auto"/>
              </w:rPr>
            </w:pPr>
            <w:r>
              <w:rPr>
                <w:rFonts w:ascii="Arial" w:cs="Arial" w:eastAsia="Arial" w:hAnsi="Arial"/>
                <w:sz w:val="20"/>
                <w:szCs w:val="20"/>
                <w:color w:val="3E3935"/>
              </w:rPr>
              <w:t>25%</w:t>
            </w:r>
          </w:p>
        </w:tc>
        <w:tc>
          <w:tcPr>
            <w:tcW w:w="800" w:type="dxa"/>
            <w:vAlign w:val="bottom"/>
          </w:tcPr>
          <w:p>
            <w:pPr>
              <w:jc w:val="right"/>
              <w:ind w:right="2"/>
              <w:spacing w:after="0"/>
              <w:rPr>
                <w:sz w:val="20"/>
                <w:szCs w:val="20"/>
                <w:color w:val="auto"/>
              </w:rPr>
            </w:pPr>
            <w:r>
              <w:rPr>
                <w:rFonts w:ascii="Arial" w:cs="Arial" w:eastAsia="Arial" w:hAnsi="Arial"/>
                <w:sz w:val="20"/>
                <w:szCs w:val="20"/>
                <w:color w:val="3E3935"/>
              </w:rPr>
              <w:t>25 pts.</w:t>
            </w:r>
          </w:p>
        </w:tc>
        <w:tc>
          <w:tcPr>
            <w:tcW w:w="6620" w:type="dxa"/>
            <w:vAlign w:val="bottom"/>
          </w:tcPr>
          <w:p>
            <w:pPr>
              <w:ind w:left="100"/>
              <w:spacing w:after="0"/>
              <w:rPr>
                <w:sz w:val="20"/>
                <w:szCs w:val="20"/>
                <w:color w:val="auto"/>
              </w:rPr>
            </w:pPr>
            <w:r>
              <w:rPr>
                <w:rFonts w:ascii="Arial" w:cs="Arial" w:eastAsia="Arial" w:hAnsi="Arial"/>
                <w:sz w:val="20"/>
                <w:szCs w:val="20"/>
                <w:color w:val="3E3935"/>
              </w:rPr>
              <w:t>Focus on performance that aligns to the Company vision and drives</w:t>
            </w:r>
          </w:p>
        </w:tc>
        <w:tc>
          <w:tcPr>
            <w:tcW w:w="0" w:type="dxa"/>
            <w:vAlign w:val="bottom"/>
          </w:tcPr>
          <w:p>
            <w:pPr>
              <w:spacing w:after="0"/>
              <w:rPr>
                <w:sz w:val="1"/>
                <w:szCs w:val="1"/>
                <w:color w:val="auto"/>
              </w:rPr>
            </w:pPr>
          </w:p>
        </w:tc>
      </w:tr>
      <w:tr>
        <w:trPr>
          <w:trHeight w:val="257"/>
        </w:trPr>
        <w:tc>
          <w:tcPr>
            <w:tcW w:w="2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20" w:type="dxa"/>
            <w:vAlign w:val="bottom"/>
          </w:tcPr>
          <w:p>
            <w:pPr>
              <w:ind w:left="100"/>
              <w:spacing w:after="0"/>
              <w:rPr>
                <w:sz w:val="20"/>
                <w:szCs w:val="20"/>
                <w:color w:val="auto"/>
              </w:rPr>
            </w:pPr>
            <w:r>
              <w:rPr>
                <w:rFonts w:ascii="Arial" w:cs="Arial" w:eastAsia="Arial" w:hAnsi="Arial"/>
                <w:sz w:val="20"/>
                <w:szCs w:val="20"/>
                <w:color w:val="3E3935"/>
              </w:rPr>
              <w:t>business results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-18415</wp:posOffset>
            </wp:positionV>
            <wp:extent cx="69297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600" w:hanging="433"/>
        <w:spacing w:after="0" w:line="263" w:lineRule="auto"/>
        <w:tabs>
          <w:tab w:leader="none" w:pos="600" w:val="left"/>
        </w:tabs>
        <w:numPr>
          <w:ilvl w:val="0"/>
          <w:numId w:val="92"/>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the impact of Cruise. For a description of how EBIT-adjusted is calculated, see Appendix A of this Proxy Statement.</w:t>
      </w:r>
    </w:p>
    <w:p>
      <w:pPr>
        <w:spacing w:after="0" w:line="27"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92"/>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payments related to certain recall-related expenses attributable to events occurring in 2014. For a description of how AAFCF is calculated, see Appendix A of this Proxy Statement.</w:t>
      </w:r>
    </w:p>
    <w:p>
      <w:pPr>
        <w:spacing w:after="0" w:line="10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potential payouts for each Company performance measure ranges from 0 to 200 percent of target based on actual Company performance. The payout for threshold performance is 25 percent for both EBIT-adjusted and AAFCF; performance below threshold results in a 0 percent payout. Final STIP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139700</wp:posOffset>
            </wp:positionV>
            <wp:extent cx="5146675" cy="17665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667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00" w:hanging="533"/>
        <w:spacing w:after="0"/>
        <w:tabs>
          <w:tab w:leader="none" w:pos="700" w:val="left"/>
        </w:tabs>
        <w:numPr>
          <w:ilvl w:val="0"/>
          <w:numId w:val="93"/>
        </w:numPr>
        <w:rPr>
          <w:rFonts w:ascii="Times New Roman" w:cs="Times New Roman" w:eastAsia="Times New Roman" w:hAnsi="Times New Roman"/>
          <w:sz w:val="21"/>
          <w:szCs w:val="21"/>
          <w:color w:val="0071CE"/>
        </w:rPr>
      </w:pPr>
      <w:r>
        <w:rPr>
          <w:rFonts w:ascii="Arial" w:cs="Arial" w:eastAsia="Arial" w:hAnsi="Arial"/>
          <w:sz w:val="25"/>
          <w:szCs w:val="25"/>
          <w:color w:val="3E3935"/>
        </w:rPr>
        <w:t>2021–2023 LTIP Performance Measures</w:t>
      </w:r>
    </w:p>
    <w:p>
      <w:pPr>
        <w:spacing w:after="0" w:line="155" w:lineRule="exact"/>
        <w:rPr>
          <w:sz w:val="20"/>
          <w:szCs w:val="20"/>
          <w:color w:val="auto"/>
        </w:rPr>
      </w:pPr>
    </w:p>
    <w:p>
      <w:pPr>
        <w:jc w:val="both"/>
        <w:ind w:left="160"/>
        <w:spacing w:after="0" w:line="245" w:lineRule="auto"/>
        <w:rPr>
          <w:sz w:val="20"/>
          <w:szCs w:val="20"/>
          <w:color w:val="auto"/>
        </w:rPr>
      </w:pPr>
      <w:r>
        <w:rPr>
          <w:rFonts w:ascii="Arial" w:cs="Arial" w:eastAsia="Arial" w:hAnsi="Arial"/>
          <w:sz w:val="19"/>
          <w:szCs w:val="19"/>
          <w:color w:val="3E3935"/>
        </w:rPr>
        <w:t>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input provided by its independent compensation consultant. The structure includes 75 percent PSUs and 25 percent Stock Options. PSUs cliff-vest following a three-year performance period, and Stock Options vest ratably over three years.</w:t>
      </w:r>
    </w:p>
    <w:p>
      <w:pPr>
        <w:spacing w:after="0" w:line="10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PSUs are based on Relative ROIC-adjusted and Relative TSR performance against our OEM peer group shown on page 52 of this Proxy Statement. Continuing for 2021, PSUs are equally weighted for Relative ROIC-adjusted and Relative TSR, and both measures are subject to performance caps. The PSU performance measures promote the efficient use of capital for long-term growth in shareholder value with an increased focus on stock price appreciation. The table below describes each PSU performance measure — its weighting, the leadership behavior each measure drives, and its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140335</wp:posOffset>
            </wp:positionV>
            <wp:extent cx="5868035" cy="17157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68035"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0" w:hanging="433"/>
        <w:spacing w:after="0" w:line="263" w:lineRule="auto"/>
        <w:tabs>
          <w:tab w:leader="none" w:pos="600" w:val="left"/>
        </w:tabs>
        <w:numPr>
          <w:ilvl w:val="0"/>
          <w:numId w:val="94"/>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 and Relative TSR is capped at target if GM’s TSR is negative over the performance period.</w:t>
      </w:r>
    </w:p>
    <w:p>
      <w:pPr>
        <w:spacing w:after="0" w:line="249"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2021–2023 PSUs vest and are awarded and delivered following the completion of the three-year performance period beginning January 1, 2021, and may be earned at a level between 0 and 200 percent of target based on actual Company results relative to the OEM peer group.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139700</wp:posOffset>
            </wp:positionV>
            <wp:extent cx="4696460" cy="17665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9646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00" w:hanging="533"/>
        <w:spacing w:after="0"/>
        <w:tabs>
          <w:tab w:leader="none" w:pos="700" w:val="left"/>
        </w:tabs>
        <w:numPr>
          <w:ilvl w:val="0"/>
          <w:numId w:val="95"/>
        </w:numPr>
        <w:rPr>
          <w:rFonts w:ascii="Times New Roman" w:cs="Times New Roman" w:eastAsia="Times New Roman" w:hAnsi="Times New Roman"/>
          <w:sz w:val="21"/>
          <w:szCs w:val="21"/>
          <w:color w:val="0071CE"/>
        </w:rPr>
      </w:pPr>
      <w:r>
        <w:rPr>
          <w:rFonts w:ascii="Arial" w:cs="Arial" w:eastAsia="Arial" w:hAnsi="Arial"/>
          <w:sz w:val="25"/>
          <w:szCs w:val="25"/>
          <w:color w:val="3E3935"/>
        </w:rPr>
        <w:t>Summary of Outstanding Performance Awards</w:t>
      </w:r>
    </w:p>
    <w:p>
      <w:pPr>
        <w:spacing w:after="0" w:line="15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Each PSU award features a three-year performance period resulting in overlapping awards that, in aggregate, cover a five-year period. The potential payout for each PSU award ranges from 0 to 200 percent. The table below illustrates the performance period for the three outstanding PSU awards as of the filing date of this Proxy Statement, and the corresponding performance measures and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140335</wp:posOffset>
            </wp:positionV>
            <wp:extent cx="5868035" cy="19450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68035" cy="194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0" w:hanging="433"/>
        <w:spacing w:after="0"/>
        <w:tabs>
          <w:tab w:leader="none" w:pos="600" w:val="left"/>
        </w:tabs>
        <w:numPr>
          <w:ilvl w:val="0"/>
          <w:numId w:val="96"/>
        </w:numPr>
        <w:rPr>
          <w:rFonts w:ascii="Arial" w:cs="Arial" w:eastAsia="Arial" w:hAnsi="Arial"/>
          <w:sz w:val="18"/>
          <w:szCs w:val="18"/>
          <w:i w:val="1"/>
          <w:iCs w:val="1"/>
          <w:color w:val="3E3935"/>
        </w:rPr>
      </w:pPr>
      <w:r>
        <w:rPr>
          <w:rFonts w:ascii="Arial" w:cs="Arial" w:eastAsia="Arial" w:hAnsi="Arial"/>
          <w:sz w:val="18"/>
          <w:szCs w:val="18"/>
          <w:i w:val="1"/>
          <w:iCs w:val="1"/>
          <w:color w:val="3E3935"/>
        </w:rPr>
        <w:t>The performance of each PSU award will be measured and determined at the end of the performance period.</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96"/>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96"/>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TSR is capped at target if GM’s TSR is negative over the performance period.</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96"/>
        </w:numPr>
        <w:rPr>
          <w:rFonts w:ascii="Arial" w:cs="Arial" w:eastAsia="Arial" w:hAnsi="Arial"/>
          <w:sz w:val="18"/>
          <w:szCs w:val="18"/>
          <w:i w:val="1"/>
          <w:iCs w:val="1"/>
          <w:color w:val="3E3935"/>
        </w:rPr>
      </w:pPr>
      <w:r>
        <w:rPr>
          <w:rFonts w:ascii="Arial" w:cs="Arial" w:eastAsia="Arial" w:hAnsi="Arial"/>
          <w:sz w:val="18"/>
          <w:szCs w:val="18"/>
          <w:i w:val="1"/>
          <w:iCs w:val="1"/>
          <w:color w:val="3E3935"/>
        </w:rPr>
        <w:t>EV Measures are comprised of GMNA EV Volume, GMNA EV Launch Timing, and GMNA EV Launch Quality (modifier).</w:t>
      </w:r>
    </w:p>
    <w:p>
      <w:pPr>
        <w:spacing w:after="0" w:line="200" w:lineRule="exact"/>
        <w:rPr>
          <w:sz w:val="20"/>
          <w:szCs w:val="20"/>
          <w:color w:val="auto"/>
        </w:rPr>
      </w:pPr>
    </w:p>
    <w:p>
      <w:pPr>
        <w:spacing w:after="0" w:line="309"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Performance Results and Compensation Decisions</w:t>
      </w:r>
    </w:p>
    <w:p>
      <w:pPr>
        <w:spacing w:after="0" w:line="161" w:lineRule="exact"/>
        <w:rPr>
          <w:sz w:val="20"/>
          <w:szCs w:val="20"/>
          <w:color w:val="auto"/>
        </w:rPr>
      </w:pPr>
    </w:p>
    <w:p>
      <w:pPr>
        <w:ind w:left="700" w:hanging="533"/>
        <w:spacing w:after="0"/>
        <w:tabs>
          <w:tab w:leader="none" w:pos="700" w:val="left"/>
        </w:tabs>
        <w:numPr>
          <w:ilvl w:val="0"/>
          <w:numId w:val="97"/>
        </w:numPr>
        <w:rPr>
          <w:rFonts w:ascii="Times New Roman" w:cs="Times New Roman" w:eastAsia="Times New Roman" w:hAnsi="Times New Roman"/>
          <w:sz w:val="21"/>
          <w:szCs w:val="21"/>
          <w:color w:val="0071CE"/>
        </w:rPr>
      </w:pPr>
      <w:r>
        <w:rPr>
          <w:rFonts w:ascii="Arial" w:cs="Arial" w:eastAsia="Arial" w:hAnsi="Arial"/>
          <w:sz w:val="25"/>
          <w:szCs w:val="25"/>
          <w:color w:val="3E3935"/>
        </w:rPr>
        <w:t>2021 STIP Results</w:t>
      </w:r>
    </w:p>
    <w:p>
      <w:pPr>
        <w:spacing w:after="0" w:line="15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Company financial performance portion of the 2021 STIP award was calculated based on the Company’s achievement of EBIT-adjusted and AAFCF performance measures. Target goals were set in consideration of the significant business disruption caused by the global semiconductor shortage and continued effects of the global pandemic, which adversely affected numerous elements of the supply chain and our business operations. Despite these challenges, the Company achieved record EBIT-adjusted through extensive work in the areas of purchasing, engineering, sales, and manufacturing, where we prioritized production of our highest demand products. The Company also delivered other strong 2021 financial results and key business highlights as detailed in the “Our Company Performance” section on page 47 of this Proxy Statement. In addition to Company financial measures, a portion of each NEO’s STIP evaluates his or her performance against pre-established strategic goals.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Final STIP performance approved by the Compensation Committee is displayed below.</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3040" w:type="dxa"/>
            <w:vAlign w:val="bottom"/>
            <w:tcBorders>
              <w:top w:val="single" w:sz="8" w:color="00C1DE"/>
            </w:tcBorders>
          </w:tcPr>
          <w:p>
            <w:pPr>
              <w:spacing w:after="0"/>
              <w:rPr>
                <w:sz w:val="18"/>
                <w:szCs w:val="18"/>
                <w:color w:val="auto"/>
              </w:rPr>
            </w:pPr>
          </w:p>
        </w:tc>
        <w:tc>
          <w:tcPr>
            <w:tcW w:w="2020" w:type="dxa"/>
            <w:vAlign w:val="bottom"/>
            <w:tcBorders>
              <w:top w:val="single" w:sz="8" w:color="00C1DE"/>
            </w:tcBorders>
          </w:tcPr>
          <w:p>
            <w:pPr>
              <w:spacing w:after="0"/>
              <w:rPr>
                <w:sz w:val="18"/>
                <w:szCs w:val="18"/>
                <w:color w:val="auto"/>
              </w:rPr>
            </w:pPr>
          </w:p>
        </w:tc>
        <w:tc>
          <w:tcPr>
            <w:tcW w:w="1620" w:type="dxa"/>
            <w:vAlign w:val="bottom"/>
            <w:tcBorders>
              <w:top w:val="single" w:sz="8" w:color="00C1DE"/>
            </w:tcBorders>
          </w:tcPr>
          <w:p>
            <w:pPr>
              <w:spacing w:after="0"/>
              <w:rPr>
                <w:sz w:val="18"/>
                <w:szCs w:val="18"/>
                <w:color w:val="auto"/>
              </w:rPr>
            </w:pPr>
          </w:p>
        </w:tc>
        <w:tc>
          <w:tcPr>
            <w:tcW w:w="1280" w:type="dxa"/>
            <w:vAlign w:val="bottom"/>
            <w:tcBorders>
              <w:top w:val="single" w:sz="8" w:color="00C1DE"/>
            </w:tcBorders>
          </w:tcPr>
          <w:p>
            <w:pPr>
              <w:spacing w:after="0"/>
              <w:rPr>
                <w:sz w:val="18"/>
                <w:szCs w:val="18"/>
                <w:color w:val="auto"/>
              </w:rPr>
            </w:pPr>
          </w:p>
        </w:tc>
        <w:tc>
          <w:tcPr>
            <w:tcW w:w="1460" w:type="dxa"/>
            <w:vAlign w:val="bottom"/>
            <w:tcBorders>
              <w:top w:val="single" w:sz="8" w:color="00C1DE"/>
            </w:tcBorders>
          </w:tcPr>
          <w:p>
            <w:pPr>
              <w:spacing w:after="0"/>
              <w:rPr>
                <w:sz w:val="18"/>
                <w:szCs w:val="18"/>
                <w:color w:val="auto"/>
              </w:rPr>
            </w:pPr>
          </w:p>
        </w:tc>
        <w:tc>
          <w:tcPr>
            <w:tcW w:w="1500" w:type="dxa"/>
            <w:vAlign w:val="bottom"/>
            <w:tcBorders>
              <w:top w:val="single" w:sz="8" w:color="00C1DE"/>
            </w:tcBorders>
          </w:tcPr>
          <w:p>
            <w:pPr>
              <w:jc w:val="right"/>
              <w:spacing w:after="0" w:line="217" w:lineRule="exact"/>
              <w:rPr>
                <w:sz w:val="20"/>
                <w:szCs w:val="20"/>
                <w:color w:val="auto"/>
              </w:rPr>
            </w:pPr>
            <w:r>
              <w:rPr>
                <w:rFonts w:ascii="Arial" w:cs="Arial" w:eastAsia="Arial" w:hAnsi="Arial"/>
                <w:sz w:val="20"/>
                <w:szCs w:val="20"/>
                <w:b w:val="1"/>
                <w:bCs w:val="1"/>
                <w:color w:val="00C1DE"/>
              </w:rPr>
              <w:t>Performance</w:t>
            </w:r>
          </w:p>
        </w:tc>
      </w:tr>
      <w:tr>
        <w:trPr>
          <w:trHeight w:val="283"/>
        </w:trPr>
        <w:tc>
          <w:tcPr>
            <w:tcW w:w="3040" w:type="dxa"/>
            <w:vAlign w:val="bottom"/>
          </w:tcPr>
          <w:p>
            <w:pPr>
              <w:ind w:left="120"/>
              <w:spacing w:after="0"/>
              <w:rPr>
                <w:sz w:val="20"/>
                <w:szCs w:val="20"/>
                <w:color w:val="auto"/>
              </w:rPr>
            </w:pPr>
            <w:r>
              <w:rPr>
                <w:rFonts w:ascii="Arial" w:cs="Arial" w:eastAsia="Arial" w:hAnsi="Arial"/>
                <w:sz w:val="20"/>
                <w:szCs w:val="20"/>
                <w:b w:val="1"/>
                <w:bCs w:val="1"/>
                <w:color w:val="00C1DE"/>
              </w:rPr>
              <w:t>STIP Measure</w:t>
            </w:r>
          </w:p>
        </w:tc>
        <w:tc>
          <w:tcPr>
            <w:tcW w:w="2020" w:type="dxa"/>
            <w:vAlign w:val="bottom"/>
          </w:tcPr>
          <w:p>
            <w:pPr>
              <w:jc w:val="right"/>
              <w:ind w:right="222"/>
              <w:spacing w:after="0"/>
              <w:rPr>
                <w:sz w:val="20"/>
                <w:szCs w:val="20"/>
                <w:color w:val="auto"/>
              </w:rPr>
            </w:pPr>
            <w:r>
              <w:rPr>
                <w:rFonts w:ascii="Arial" w:cs="Arial" w:eastAsia="Arial" w:hAnsi="Arial"/>
                <w:sz w:val="20"/>
                <w:szCs w:val="20"/>
                <w:b w:val="1"/>
                <w:bCs w:val="1"/>
                <w:color w:val="00C1DE"/>
              </w:rPr>
              <w:t>Weight</w:t>
            </w:r>
          </w:p>
        </w:tc>
        <w:tc>
          <w:tcPr>
            <w:tcW w:w="1620" w:type="dxa"/>
            <w:vAlign w:val="bottom"/>
          </w:tcPr>
          <w:p>
            <w:pPr>
              <w:jc w:val="right"/>
              <w:ind w:right="242"/>
              <w:spacing w:after="0"/>
              <w:rPr>
                <w:sz w:val="20"/>
                <w:szCs w:val="20"/>
                <w:color w:val="auto"/>
              </w:rPr>
            </w:pPr>
            <w:r>
              <w:rPr>
                <w:rFonts w:ascii="Arial" w:cs="Arial" w:eastAsia="Arial" w:hAnsi="Arial"/>
                <w:sz w:val="20"/>
                <w:szCs w:val="20"/>
                <w:b w:val="1"/>
                <w:bCs w:val="1"/>
                <w:color w:val="00C1DE"/>
              </w:rPr>
              <w:t>Threshold</w:t>
            </w:r>
          </w:p>
        </w:tc>
        <w:tc>
          <w:tcPr>
            <w:tcW w:w="1280" w:type="dxa"/>
            <w:vAlign w:val="bottom"/>
          </w:tcPr>
          <w:p>
            <w:pPr>
              <w:jc w:val="right"/>
              <w:ind w:right="222"/>
              <w:spacing w:after="0"/>
              <w:rPr>
                <w:sz w:val="20"/>
                <w:szCs w:val="20"/>
                <w:color w:val="auto"/>
              </w:rPr>
            </w:pPr>
            <w:r>
              <w:rPr>
                <w:rFonts w:ascii="Arial" w:cs="Arial" w:eastAsia="Arial" w:hAnsi="Arial"/>
                <w:sz w:val="20"/>
                <w:szCs w:val="20"/>
                <w:b w:val="1"/>
                <w:bCs w:val="1"/>
                <w:color w:val="00C1DE"/>
              </w:rPr>
              <w:t>Target</w:t>
            </w:r>
          </w:p>
        </w:tc>
        <w:tc>
          <w:tcPr>
            <w:tcW w:w="1460" w:type="dxa"/>
            <w:vAlign w:val="bottom"/>
          </w:tcPr>
          <w:p>
            <w:pPr>
              <w:jc w:val="right"/>
              <w:ind w:right="142"/>
              <w:spacing w:after="0"/>
              <w:rPr>
                <w:sz w:val="20"/>
                <w:szCs w:val="20"/>
                <w:color w:val="auto"/>
              </w:rPr>
            </w:pPr>
            <w:r>
              <w:rPr>
                <w:rFonts w:ascii="Arial" w:cs="Arial" w:eastAsia="Arial" w:hAnsi="Arial"/>
                <w:sz w:val="20"/>
                <w:szCs w:val="20"/>
                <w:b w:val="1"/>
                <w:bCs w:val="1"/>
                <w:color w:val="00C1DE"/>
              </w:rPr>
              <w:t>Maximum</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00C1DE"/>
              </w:rPr>
              <w:t>Result</w:t>
            </w:r>
          </w:p>
        </w:tc>
      </w:tr>
      <w:tr>
        <w:trPr>
          <w:trHeight w:val="48"/>
        </w:trPr>
        <w:tc>
          <w:tcPr>
            <w:tcW w:w="3040" w:type="dxa"/>
            <w:vAlign w:val="bottom"/>
            <w:tcBorders>
              <w:bottom w:val="single" w:sz="8" w:color="00C1DE"/>
            </w:tcBorders>
          </w:tcPr>
          <w:p>
            <w:pPr>
              <w:spacing w:after="0"/>
              <w:rPr>
                <w:sz w:val="4"/>
                <w:szCs w:val="4"/>
                <w:color w:val="auto"/>
              </w:rPr>
            </w:pPr>
          </w:p>
        </w:tc>
        <w:tc>
          <w:tcPr>
            <w:tcW w:w="2020" w:type="dxa"/>
            <w:vAlign w:val="bottom"/>
            <w:tcBorders>
              <w:bottom w:val="single" w:sz="8" w:color="00C1DE"/>
            </w:tcBorders>
          </w:tcPr>
          <w:p>
            <w:pPr>
              <w:spacing w:after="0"/>
              <w:rPr>
                <w:sz w:val="4"/>
                <w:szCs w:val="4"/>
                <w:color w:val="auto"/>
              </w:rPr>
            </w:pPr>
          </w:p>
        </w:tc>
        <w:tc>
          <w:tcPr>
            <w:tcW w:w="1620" w:type="dxa"/>
            <w:vAlign w:val="bottom"/>
            <w:tcBorders>
              <w:bottom w:val="single" w:sz="8" w:color="00C1DE"/>
            </w:tcBorders>
          </w:tcPr>
          <w:p>
            <w:pPr>
              <w:spacing w:after="0"/>
              <w:rPr>
                <w:sz w:val="4"/>
                <w:szCs w:val="4"/>
                <w:color w:val="auto"/>
              </w:rPr>
            </w:pPr>
          </w:p>
        </w:tc>
        <w:tc>
          <w:tcPr>
            <w:tcW w:w="1280" w:type="dxa"/>
            <w:vAlign w:val="bottom"/>
            <w:tcBorders>
              <w:bottom w:val="single" w:sz="8" w:color="00C1DE"/>
            </w:tcBorders>
          </w:tcPr>
          <w:p>
            <w:pPr>
              <w:spacing w:after="0"/>
              <w:rPr>
                <w:sz w:val="4"/>
                <w:szCs w:val="4"/>
                <w:color w:val="auto"/>
              </w:rPr>
            </w:pPr>
          </w:p>
        </w:tc>
        <w:tc>
          <w:tcPr>
            <w:tcW w:w="1460" w:type="dxa"/>
            <w:vAlign w:val="bottom"/>
            <w:tcBorders>
              <w:bottom w:val="single" w:sz="8" w:color="00C1DE"/>
            </w:tcBorders>
          </w:tcPr>
          <w:p>
            <w:pPr>
              <w:spacing w:after="0"/>
              <w:rPr>
                <w:sz w:val="4"/>
                <w:szCs w:val="4"/>
                <w:color w:val="auto"/>
              </w:rPr>
            </w:pPr>
          </w:p>
        </w:tc>
        <w:tc>
          <w:tcPr>
            <w:tcW w:w="1500" w:type="dxa"/>
            <w:vAlign w:val="bottom"/>
            <w:tcBorders>
              <w:bottom w:val="single" w:sz="8" w:color="00C1DE"/>
            </w:tcBorders>
          </w:tcPr>
          <w:p>
            <w:pPr>
              <w:spacing w:after="0"/>
              <w:rPr>
                <w:sz w:val="4"/>
                <w:szCs w:val="4"/>
                <w:color w:val="auto"/>
              </w:rPr>
            </w:pPr>
          </w:p>
        </w:tc>
      </w:tr>
      <w:tr>
        <w:trPr>
          <w:trHeight w:val="296"/>
        </w:trPr>
        <w:tc>
          <w:tcPr>
            <w:tcW w:w="3040" w:type="dxa"/>
            <w:vAlign w:val="bottom"/>
          </w:tcPr>
          <w:p>
            <w:pPr>
              <w:ind w:left="100"/>
              <w:spacing w:after="0"/>
              <w:rPr>
                <w:sz w:val="20"/>
                <w:szCs w:val="20"/>
                <w:color w:val="auto"/>
              </w:rPr>
            </w:pPr>
            <w:r>
              <w:rPr>
                <w:rFonts w:ascii="Arial" w:cs="Arial" w:eastAsia="Arial" w:hAnsi="Arial"/>
                <w:sz w:val="20"/>
                <w:szCs w:val="20"/>
                <w:color w:val="3E3935"/>
              </w:rPr>
              <w:t>EBIT-adjusted ($B)</w:t>
            </w:r>
            <w:r>
              <w:rPr>
                <w:rFonts w:ascii="Arial" w:cs="Arial" w:eastAsia="Arial" w:hAnsi="Arial"/>
                <w:sz w:val="16"/>
                <w:szCs w:val="16"/>
                <w:color w:val="3E3935"/>
              </w:rPr>
              <w:t>(1)</w:t>
            </w:r>
          </w:p>
        </w:tc>
        <w:tc>
          <w:tcPr>
            <w:tcW w:w="2020" w:type="dxa"/>
            <w:vAlign w:val="bottom"/>
          </w:tcPr>
          <w:p>
            <w:pPr>
              <w:jc w:val="right"/>
              <w:ind w:right="222"/>
              <w:spacing w:after="0"/>
              <w:rPr>
                <w:sz w:val="20"/>
                <w:szCs w:val="20"/>
                <w:color w:val="auto"/>
              </w:rPr>
            </w:pPr>
            <w:r>
              <w:rPr>
                <w:rFonts w:ascii="Arial" w:cs="Arial" w:eastAsia="Arial" w:hAnsi="Arial"/>
                <w:sz w:val="20"/>
                <w:szCs w:val="20"/>
                <w:color w:val="3E3935"/>
              </w:rPr>
              <w:t>50%</w:t>
            </w:r>
          </w:p>
        </w:tc>
        <w:tc>
          <w:tcPr>
            <w:tcW w:w="1620" w:type="dxa"/>
            <w:vAlign w:val="bottom"/>
          </w:tcPr>
          <w:p>
            <w:pPr>
              <w:jc w:val="right"/>
              <w:ind w:right="242"/>
              <w:spacing w:after="0"/>
              <w:rPr>
                <w:sz w:val="20"/>
                <w:szCs w:val="20"/>
                <w:color w:val="auto"/>
              </w:rPr>
            </w:pPr>
            <w:r>
              <w:rPr>
                <w:rFonts w:ascii="Arial" w:cs="Arial" w:eastAsia="Arial" w:hAnsi="Arial"/>
                <w:sz w:val="20"/>
                <w:szCs w:val="20"/>
                <w:color w:val="3E3935"/>
              </w:rPr>
              <w:t>$5.1</w:t>
            </w:r>
          </w:p>
        </w:tc>
        <w:tc>
          <w:tcPr>
            <w:tcW w:w="1280" w:type="dxa"/>
            <w:vAlign w:val="bottom"/>
          </w:tcPr>
          <w:p>
            <w:pPr>
              <w:jc w:val="right"/>
              <w:ind w:right="222"/>
              <w:spacing w:after="0"/>
              <w:rPr>
                <w:sz w:val="20"/>
                <w:szCs w:val="20"/>
                <w:color w:val="auto"/>
              </w:rPr>
            </w:pPr>
            <w:r>
              <w:rPr>
                <w:rFonts w:ascii="Arial" w:cs="Arial" w:eastAsia="Arial" w:hAnsi="Arial"/>
                <w:sz w:val="20"/>
                <w:szCs w:val="20"/>
                <w:color w:val="3E3935"/>
              </w:rPr>
              <w:t>$11.0</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$12.0</w:t>
            </w:r>
          </w:p>
        </w:tc>
        <w:tc>
          <w:tcPr>
            <w:tcW w:w="1500" w:type="dxa"/>
            <w:vAlign w:val="bottom"/>
          </w:tcPr>
          <w:p>
            <w:pPr>
              <w:jc w:val="right"/>
              <w:spacing w:after="0"/>
              <w:rPr>
                <w:sz w:val="20"/>
                <w:szCs w:val="20"/>
                <w:color w:val="auto"/>
              </w:rPr>
            </w:pPr>
            <w:r>
              <w:rPr>
                <w:rFonts w:ascii="Arial" w:cs="Arial" w:eastAsia="Arial" w:hAnsi="Arial"/>
                <w:sz w:val="20"/>
                <w:szCs w:val="20"/>
                <w:color w:val="3E3935"/>
              </w:rPr>
              <w:t>$15.5</w:t>
            </w:r>
          </w:p>
        </w:tc>
      </w:tr>
      <w:tr>
        <w:trPr>
          <w:trHeight w:val="58"/>
        </w:trPr>
        <w:tc>
          <w:tcPr>
            <w:tcW w:w="304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16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146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r>
      <w:tr>
        <w:trPr>
          <w:trHeight w:val="296"/>
        </w:trPr>
        <w:tc>
          <w:tcPr>
            <w:tcW w:w="3040" w:type="dxa"/>
            <w:vAlign w:val="bottom"/>
          </w:tcPr>
          <w:p>
            <w:pPr>
              <w:ind w:left="100"/>
              <w:spacing w:after="0"/>
              <w:rPr>
                <w:sz w:val="20"/>
                <w:szCs w:val="20"/>
                <w:color w:val="auto"/>
              </w:rPr>
            </w:pPr>
            <w:r>
              <w:rPr>
                <w:rFonts w:ascii="Arial" w:cs="Arial" w:eastAsia="Arial" w:hAnsi="Arial"/>
                <w:sz w:val="20"/>
                <w:szCs w:val="20"/>
                <w:color w:val="3E3935"/>
              </w:rPr>
              <w:t>AAFCF ($B)</w:t>
            </w:r>
            <w:r>
              <w:rPr>
                <w:rFonts w:ascii="Arial" w:cs="Arial" w:eastAsia="Arial" w:hAnsi="Arial"/>
                <w:sz w:val="16"/>
                <w:szCs w:val="16"/>
                <w:color w:val="3E3935"/>
              </w:rPr>
              <w:t>(2)</w:t>
            </w:r>
          </w:p>
        </w:tc>
        <w:tc>
          <w:tcPr>
            <w:tcW w:w="2020" w:type="dxa"/>
            <w:vAlign w:val="bottom"/>
          </w:tcPr>
          <w:p>
            <w:pPr>
              <w:jc w:val="right"/>
              <w:ind w:right="222"/>
              <w:spacing w:after="0"/>
              <w:rPr>
                <w:sz w:val="20"/>
                <w:szCs w:val="20"/>
                <w:color w:val="auto"/>
              </w:rPr>
            </w:pPr>
            <w:r>
              <w:rPr>
                <w:rFonts w:ascii="Arial" w:cs="Arial" w:eastAsia="Arial" w:hAnsi="Arial"/>
                <w:sz w:val="20"/>
                <w:szCs w:val="20"/>
                <w:color w:val="3E3935"/>
              </w:rPr>
              <w:t>25%</w:t>
            </w:r>
          </w:p>
        </w:tc>
        <w:tc>
          <w:tcPr>
            <w:tcW w:w="1620" w:type="dxa"/>
            <w:vAlign w:val="bottom"/>
          </w:tcPr>
          <w:p>
            <w:pPr>
              <w:jc w:val="right"/>
              <w:ind w:right="242"/>
              <w:spacing w:after="0"/>
              <w:rPr>
                <w:sz w:val="20"/>
                <w:szCs w:val="20"/>
                <w:color w:val="auto"/>
              </w:rPr>
            </w:pPr>
            <w:r>
              <w:rPr>
                <w:rFonts w:ascii="Arial" w:cs="Arial" w:eastAsia="Arial" w:hAnsi="Arial"/>
                <w:sz w:val="20"/>
                <w:szCs w:val="20"/>
                <w:color w:val="3E3935"/>
              </w:rPr>
              <w:t>$(4.6)</w:t>
            </w:r>
          </w:p>
        </w:tc>
        <w:tc>
          <w:tcPr>
            <w:tcW w:w="1280" w:type="dxa"/>
            <w:vAlign w:val="bottom"/>
          </w:tcPr>
          <w:p>
            <w:pPr>
              <w:jc w:val="right"/>
              <w:ind w:right="222"/>
              <w:spacing w:after="0"/>
              <w:rPr>
                <w:sz w:val="20"/>
                <w:szCs w:val="20"/>
                <w:color w:val="auto"/>
              </w:rPr>
            </w:pPr>
            <w:r>
              <w:rPr>
                <w:rFonts w:ascii="Arial" w:cs="Arial" w:eastAsia="Arial" w:hAnsi="Arial"/>
                <w:sz w:val="20"/>
                <w:szCs w:val="20"/>
                <w:color w:val="3E3935"/>
              </w:rPr>
              <w:t>$1.3</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$2.3</w:t>
            </w:r>
          </w:p>
        </w:tc>
        <w:tc>
          <w:tcPr>
            <w:tcW w:w="1500" w:type="dxa"/>
            <w:vAlign w:val="bottom"/>
          </w:tcPr>
          <w:p>
            <w:pPr>
              <w:jc w:val="right"/>
              <w:spacing w:after="0"/>
              <w:rPr>
                <w:sz w:val="20"/>
                <w:szCs w:val="20"/>
                <w:color w:val="auto"/>
              </w:rPr>
            </w:pPr>
            <w:r>
              <w:rPr>
                <w:rFonts w:ascii="Arial" w:cs="Arial" w:eastAsia="Arial" w:hAnsi="Arial"/>
                <w:sz w:val="20"/>
                <w:szCs w:val="20"/>
                <w:color w:val="3E3935"/>
              </w:rPr>
              <w:t>$2.8</w:t>
            </w:r>
          </w:p>
        </w:tc>
      </w:tr>
      <w:tr>
        <w:trPr>
          <w:trHeight w:val="58"/>
        </w:trPr>
        <w:tc>
          <w:tcPr>
            <w:tcW w:w="304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16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146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r>
      <w:tr>
        <w:trPr>
          <w:trHeight w:val="296"/>
        </w:trPr>
        <w:tc>
          <w:tcPr>
            <w:tcW w:w="3040" w:type="dxa"/>
            <w:vAlign w:val="bottom"/>
          </w:tcPr>
          <w:p>
            <w:pPr>
              <w:ind w:left="100"/>
              <w:spacing w:after="0"/>
              <w:rPr>
                <w:sz w:val="20"/>
                <w:szCs w:val="20"/>
                <w:color w:val="auto"/>
              </w:rPr>
            </w:pPr>
            <w:r>
              <w:rPr>
                <w:rFonts w:ascii="Arial" w:cs="Arial" w:eastAsia="Arial" w:hAnsi="Arial"/>
                <w:sz w:val="20"/>
                <w:szCs w:val="20"/>
                <w:color w:val="3E3935"/>
              </w:rPr>
              <w:t>Strategic Goals</w:t>
            </w:r>
            <w:r>
              <w:rPr>
                <w:rFonts w:ascii="Arial" w:cs="Arial" w:eastAsia="Arial" w:hAnsi="Arial"/>
                <w:sz w:val="16"/>
                <w:szCs w:val="16"/>
                <w:color w:val="3E3935"/>
              </w:rPr>
              <w:t>(3)</w:t>
            </w:r>
          </w:p>
        </w:tc>
        <w:tc>
          <w:tcPr>
            <w:tcW w:w="2020" w:type="dxa"/>
            <w:vAlign w:val="bottom"/>
          </w:tcPr>
          <w:p>
            <w:pPr>
              <w:jc w:val="right"/>
              <w:ind w:right="222"/>
              <w:spacing w:after="0"/>
              <w:rPr>
                <w:sz w:val="20"/>
                <w:szCs w:val="20"/>
                <w:color w:val="auto"/>
              </w:rPr>
            </w:pPr>
            <w:r>
              <w:rPr>
                <w:rFonts w:ascii="Arial" w:cs="Arial" w:eastAsia="Arial" w:hAnsi="Arial"/>
                <w:sz w:val="20"/>
                <w:szCs w:val="20"/>
                <w:color w:val="3E3935"/>
              </w:rPr>
              <w:t>25%</w:t>
            </w:r>
          </w:p>
        </w:tc>
        <w:tc>
          <w:tcPr>
            <w:tcW w:w="1620" w:type="dxa"/>
            <w:vAlign w:val="bottom"/>
          </w:tcPr>
          <w:p>
            <w:pPr>
              <w:jc w:val="right"/>
              <w:ind w:right="242"/>
              <w:spacing w:after="0"/>
              <w:rPr>
                <w:sz w:val="20"/>
                <w:szCs w:val="20"/>
                <w:color w:val="auto"/>
              </w:rPr>
            </w:pPr>
            <w:r>
              <w:rPr>
                <w:rFonts w:ascii="Arial" w:cs="Arial" w:eastAsia="Arial" w:hAnsi="Arial"/>
                <w:sz w:val="20"/>
                <w:szCs w:val="20"/>
                <w:color w:val="3E3935"/>
              </w:rPr>
              <w:t>0 pts.</w:t>
            </w:r>
          </w:p>
        </w:tc>
        <w:tc>
          <w:tcPr>
            <w:tcW w:w="1280" w:type="dxa"/>
            <w:vAlign w:val="bottom"/>
          </w:tcPr>
          <w:p>
            <w:pPr>
              <w:jc w:val="right"/>
              <w:ind w:right="222"/>
              <w:spacing w:after="0"/>
              <w:rPr>
                <w:sz w:val="20"/>
                <w:szCs w:val="20"/>
                <w:color w:val="auto"/>
              </w:rPr>
            </w:pPr>
            <w:r>
              <w:rPr>
                <w:rFonts w:ascii="Arial" w:cs="Arial" w:eastAsia="Arial" w:hAnsi="Arial"/>
                <w:sz w:val="20"/>
                <w:szCs w:val="20"/>
                <w:color w:val="3E3935"/>
              </w:rPr>
              <w:t>25 pts.</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50 pts.</w:t>
            </w:r>
          </w:p>
        </w:tc>
        <w:tc>
          <w:tcPr>
            <w:tcW w:w="1500" w:type="dxa"/>
            <w:vAlign w:val="bottom"/>
          </w:tcPr>
          <w:p>
            <w:pPr>
              <w:jc w:val="right"/>
              <w:spacing w:after="0"/>
              <w:rPr>
                <w:sz w:val="20"/>
                <w:szCs w:val="20"/>
                <w:color w:val="auto"/>
              </w:rPr>
            </w:pPr>
            <w:r>
              <w:rPr>
                <w:rFonts w:ascii="Arial" w:cs="Arial" w:eastAsia="Arial" w:hAnsi="Arial"/>
                <w:sz w:val="20"/>
                <w:szCs w:val="20"/>
                <w:color w:val="3E3935"/>
              </w:rPr>
              <w:t>30-37 pts.</w:t>
            </w:r>
          </w:p>
        </w:tc>
      </w:tr>
      <w:tr>
        <w:trPr>
          <w:trHeight w:val="58"/>
        </w:trPr>
        <w:tc>
          <w:tcPr>
            <w:tcW w:w="304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16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2960" w:type="dxa"/>
            <w:vAlign w:val="bottom"/>
            <w:tcBorders>
              <w:bottom w:val="single" w:sz="8" w:color="3E3935"/>
            </w:tcBorders>
            <w:gridSpan w:val="2"/>
          </w:tcPr>
          <w:p>
            <w:pPr>
              <w:spacing w:after="0"/>
              <w:rPr>
                <w:sz w:val="5"/>
                <w:szCs w:val="5"/>
                <w:color w:val="auto"/>
              </w:rPr>
            </w:pPr>
          </w:p>
        </w:tc>
      </w:tr>
      <w:tr>
        <w:trPr>
          <w:trHeight w:val="306"/>
        </w:trPr>
        <w:tc>
          <w:tcPr>
            <w:tcW w:w="3040" w:type="dxa"/>
            <w:vAlign w:val="bottom"/>
          </w:tcPr>
          <w:p>
            <w:pPr>
              <w:ind w:left="100"/>
              <w:spacing w:after="0"/>
              <w:rPr>
                <w:sz w:val="20"/>
                <w:szCs w:val="20"/>
                <w:color w:val="auto"/>
              </w:rPr>
            </w:pPr>
            <w:r>
              <w:rPr>
                <w:rFonts w:ascii="Arial" w:cs="Arial" w:eastAsia="Arial" w:hAnsi="Arial"/>
                <w:sz w:val="20"/>
                <w:szCs w:val="20"/>
                <w:b w:val="1"/>
                <w:bCs w:val="1"/>
                <w:color w:val="0071CE"/>
              </w:rPr>
              <w:t>Performance Payout</w:t>
            </w: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60" w:type="dxa"/>
            <w:vAlign w:val="bottom"/>
            <w:gridSpan w:val="2"/>
          </w:tcPr>
          <w:p>
            <w:pPr>
              <w:jc w:val="right"/>
              <w:spacing w:after="0"/>
              <w:rPr>
                <w:sz w:val="20"/>
                <w:szCs w:val="20"/>
                <w:color w:val="auto"/>
              </w:rPr>
            </w:pPr>
            <w:r>
              <w:rPr>
                <w:rFonts w:ascii="Arial" w:cs="Arial" w:eastAsia="Arial" w:hAnsi="Arial"/>
                <w:sz w:val="20"/>
                <w:szCs w:val="20"/>
                <w:b w:val="1"/>
                <w:bCs w:val="1"/>
                <w:color w:val="0071CE"/>
              </w:rPr>
              <w:t>180%—187%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p>
      <w:pPr>
        <w:ind w:left="600" w:hanging="433"/>
        <w:spacing w:after="0" w:line="263" w:lineRule="auto"/>
        <w:tabs>
          <w:tab w:leader="none" w:pos="600" w:val="left"/>
        </w:tabs>
        <w:numPr>
          <w:ilvl w:val="0"/>
          <w:numId w:val="98"/>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the impact of Cruise. For a description of how EBIT-adjusted is calculated, see Appendix A of this Proxy Statement.</w:t>
      </w:r>
    </w:p>
    <w:p>
      <w:pPr>
        <w:spacing w:after="0" w:line="27"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98"/>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payments related to certain recall-related expenses attributable to events occurring in 2014. For a description of how AAFCF is calculated, see Appendix A of this Proxy Statement.</w:t>
      </w:r>
    </w:p>
    <w:p>
      <w:pPr>
        <w:spacing w:after="0" w:line="2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98"/>
        </w:numPr>
        <w:rPr>
          <w:rFonts w:ascii="Arial" w:cs="Arial" w:eastAsia="Arial" w:hAnsi="Arial"/>
          <w:sz w:val="18"/>
          <w:szCs w:val="18"/>
          <w:i w:val="1"/>
          <w:iCs w:val="1"/>
          <w:color w:val="3E3935"/>
        </w:rPr>
      </w:pPr>
      <w:r>
        <w:rPr>
          <w:rFonts w:ascii="Arial" w:cs="Arial" w:eastAsia="Arial" w:hAnsi="Arial"/>
          <w:sz w:val="18"/>
          <w:szCs w:val="18"/>
          <w:i w:val="1"/>
          <w:iCs w:val="1"/>
          <w:color w:val="3E3935"/>
        </w:rPr>
        <w:t>Performance results to strategic goals are discussed beginning on page 61 of this Proxy Statement.</w:t>
      </w:r>
    </w:p>
    <w:p>
      <w:pPr>
        <w:spacing w:after="0" w:line="322" w:lineRule="exact"/>
        <w:rPr>
          <w:sz w:val="20"/>
          <w:szCs w:val="20"/>
          <w:color w:val="auto"/>
        </w:rPr>
      </w:pPr>
    </w:p>
    <w:p>
      <w:pPr>
        <w:ind w:left="700" w:hanging="533"/>
        <w:spacing w:after="0"/>
        <w:tabs>
          <w:tab w:leader="none" w:pos="700" w:val="left"/>
        </w:tabs>
        <w:numPr>
          <w:ilvl w:val="0"/>
          <w:numId w:val="99"/>
        </w:numPr>
        <w:rPr>
          <w:rFonts w:ascii="Times New Roman" w:cs="Times New Roman" w:eastAsia="Times New Roman" w:hAnsi="Times New Roman"/>
          <w:sz w:val="21"/>
          <w:szCs w:val="21"/>
          <w:color w:val="0071CE"/>
        </w:rPr>
      </w:pPr>
      <w:r>
        <w:rPr>
          <w:rFonts w:ascii="Arial" w:cs="Arial" w:eastAsia="Arial" w:hAnsi="Arial"/>
          <w:sz w:val="25"/>
          <w:szCs w:val="25"/>
          <w:color w:val="3E3935"/>
        </w:rPr>
        <w:t>2019–2021 LTIP Results</w:t>
      </w:r>
    </w:p>
    <w:p>
      <w:pPr>
        <w:spacing w:after="0" w:line="15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2019-2021 PSUs vested on February 13, 2022, based on Company performance for the three-year performance period beginning January 1, 2019, against pre-established performance targets for Relative ROIC-adjusted and Relative TSR. Final LTIP performance approved by the Compensation Committee is displayed below.</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2680" w:type="dxa"/>
            <w:vAlign w:val="bottom"/>
            <w:tcBorders>
              <w:top w:val="single" w:sz="8" w:color="00C1DE"/>
            </w:tcBorders>
          </w:tcPr>
          <w:p>
            <w:pPr>
              <w:spacing w:after="0"/>
              <w:rPr>
                <w:sz w:val="24"/>
                <w:szCs w:val="24"/>
                <w:color w:val="auto"/>
              </w:rPr>
            </w:pPr>
          </w:p>
        </w:tc>
        <w:tc>
          <w:tcPr>
            <w:tcW w:w="1400" w:type="dxa"/>
            <w:vAlign w:val="bottom"/>
            <w:tcBorders>
              <w:top w:val="single" w:sz="8" w:color="00C1DE"/>
            </w:tcBorders>
          </w:tcPr>
          <w:p>
            <w:pPr>
              <w:spacing w:after="0"/>
              <w:rPr>
                <w:sz w:val="24"/>
                <w:szCs w:val="24"/>
                <w:color w:val="auto"/>
              </w:rPr>
            </w:pPr>
          </w:p>
        </w:tc>
        <w:tc>
          <w:tcPr>
            <w:tcW w:w="2020" w:type="dxa"/>
            <w:vAlign w:val="bottom"/>
            <w:tcBorders>
              <w:top w:val="single" w:sz="8" w:color="00C1DE"/>
            </w:tcBorders>
          </w:tcPr>
          <w:p>
            <w:pPr>
              <w:spacing w:after="0"/>
              <w:rPr>
                <w:sz w:val="24"/>
                <w:szCs w:val="24"/>
                <w:color w:val="auto"/>
              </w:rPr>
            </w:pPr>
          </w:p>
        </w:tc>
        <w:tc>
          <w:tcPr>
            <w:tcW w:w="1500" w:type="dxa"/>
            <w:vAlign w:val="bottom"/>
            <w:tcBorders>
              <w:top w:val="single" w:sz="8" w:color="00C1DE"/>
            </w:tcBorders>
          </w:tcPr>
          <w:p>
            <w:pPr>
              <w:jc w:val="right"/>
              <w:ind w:right="202"/>
              <w:spacing w:after="0"/>
              <w:rPr>
                <w:sz w:val="20"/>
                <w:szCs w:val="20"/>
                <w:color w:val="auto"/>
              </w:rPr>
            </w:pPr>
            <w:r>
              <w:rPr>
                <w:rFonts w:ascii="Arial" w:cs="Arial" w:eastAsia="Arial" w:hAnsi="Arial"/>
                <w:sz w:val="20"/>
                <w:szCs w:val="20"/>
                <w:b w:val="1"/>
                <w:bCs w:val="1"/>
                <w:color w:val="00C1DE"/>
              </w:rPr>
              <w:t>Percentile</w:t>
            </w:r>
          </w:p>
        </w:tc>
        <w:tc>
          <w:tcPr>
            <w:tcW w:w="1260" w:type="dxa"/>
            <w:vAlign w:val="bottom"/>
            <w:tcBorders>
              <w:top w:val="single" w:sz="8" w:color="00C1DE"/>
            </w:tcBorders>
          </w:tcPr>
          <w:p>
            <w:pPr>
              <w:spacing w:after="0"/>
              <w:rPr>
                <w:sz w:val="24"/>
                <w:szCs w:val="24"/>
                <w:color w:val="auto"/>
              </w:rPr>
            </w:pPr>
          </w:p>
        </w:tc>
        <w:tc>
          <w:tcPr>
            <w:tcW w:w="2060" w:type="dxa"/>
            <w:vAlign w:val="bottom"/>
            <w:tcBorders>
              <w:top w:val="single" w:sz="8" w:color="00C1DE"/>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20" w:type="dxa"/>
            <w:vAlign w:val="bottom"/>
            <w:tcBorders>
              <w:bottom w:val="single" w:sz="8" w:color="00C1DE"/>
            </w:tcBorders>
          </w:tcPr>
          <w:p>
            <w:pPr>
              <w:spacing w:after="0"/>
              <w:rPr>
                <w:sz w:val="3"/>
                <w:szCs w:val="3"/>
                <w:color w:val="auto"/>
              </w:rPr>
            </w:pPr>
          </w:p>
        </w:tc>
        <w:tc>
          <w:tcPr>
            <w:tcW w:w="1500" w:type="dxa"/>
            <w:vAlign w:val="bottom"/>
            <w:tcBorders>
              <w:bottom w:val="single" w:sz="8" w:color="00C1DE"/>
            </w:tcBorders>
          </w:tcPr>
          <w:p>
            <w:pPr>
              <w:spacing w:after="0"/>
              <w:rPr>
                <w:sz w:val="3"/>
                <w:szCs w:val="3"/>
                <w:color w:val="auto"/>
              </w:rPr>
            </w:pPr>
          </w:p>
        </w:tc>
        <w:tc>
          <w:tcPr>
            <w:tcW w:w="1260" w:type="dxa"/>
            <w:vAlign w:val="bottom"/>
            <w:tcBorders>
              <w:bottom w:val="single" w:sz="8" w:color="00C1DE"/>
            </w:tcBorders>
          </w:tcPr>
          <w:p>
            <w:pPr>
              <w:spacing w:after="0"/>
              <w:rPr>
                <w:sz w:val="3"/>
                <w:szCs w:val="3"/>
                <w:color w:val="auto"/>
              </w:rPr>
            </w:pPr>
          </w:p>
        </w:tc>
        <w:tc>
          <w:tcPr>
            <w:tcW w:w="206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Performance</w:t>
            </w:r>
          </w:p>
        </w:tc>
        <w:tc>
          <w:tcPr>
            <w:tcW w:w="0" w:type="dxa"/>
            <w:vAlign w:val="bottom"/>
          </w:tcPr>
          <w:p>
            <w:pPr>
              <w:spacing w:after="0"/>
              <w:rPr>
                <w:sz w:val="1"/>
                <w:szCs w:val="1"/>
                <w:color w:val="auto"/>
              </w:rPr>
            </w:pPr>
          </w:p>
        </w:tc>
      </w:tr>
      <w:tr>
        <w:trPr>
          <w:trHeight w:val="184"/>
        </w:trPr>
        <w:tc>
          <w:tcPr>
            <w:tcW w:w="2680" w:type="dxa"/>
            <w:vAlign w:val="bottom"/>
            <w:vMerge w:val="restart"/>
          </w:tcPr>
          <w:p>
            <w:pPr>
              <w:ind w:left="120"/>
              <w:spacing w:after="0"/>
              <w:rPr>
                <w:sz w:val="20"/>
                <w:szCs w:val="20"/>
                <w:color w:val="auto"/>
              </w:rPr>
            </w:pPr>
            <w:r>
              <w:rPr>
                <w:rFonts w:ascii="Arial" w:cs="Arial" w:eastAsia="Arial" w:hAnsi="Arial"/>
                <w:sz w:val="20"/>
                <w:szCs w:val="20"/>
                <w:b w:val="1"/>
                <w:bCs w:val="1"/>
                <w:color w:val="00C1DE"/>
              </w:rPr>
              <w:t>LTIP Measure</w:t>
            </w:r>
          </w:p>
        </w:tc>
        <w:tc>
          <w:tcPr>
            <w:tcW w:w="1400" w:type="dxa"/>
            <w:vAlign w:val="bottom"/>
            <w:vMerge w:val="restart"/>
          </w:tcPr>
          <w:p>
            <w:pPr>
              <w:jc w:val="right"/>
              <w:ind w:right="142"/>
              <w:spacing w:after="0"/>
              <w:rPr>
                <w:sz w:val="20"/>
                <w:szCs w:val="20"/>
                <w:color w:val="auto"/>
              </w:rPr>
            </w:pPr>
            <w:r>
              <w:rPr>
                <w:rFonts w:ascii="Arial" w:cs="Arial" w:eastAsia="Arial" w:hAnsi="Arial"/>
                <w:sz w:val="20"/>
                <w:szCs w:val="20"/>
                <w:b w:val="1"/>
                <w:bCs w:val="1"/>
                <w:color w:val="00C1DE"/>
              </w:rPr>
              <w:t>Weight</w:t>
            </w:r>
          </w:p>
        </w:tc>
        <w:tc>
          <w:tcPr>
            <w:tcW w:w="202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00C1DE"/>
              </w:rPr>
              <w:t>Threshold</w:t>
            </w:r>
          </w:p>
        </w:tc>
        <w:tc>
          <w:tcPr>
            <w:tcW w:w="1500" w:type="dxa"/>
            <w:vAlign w:val="bottom"/>
            <w:vMerge w:val="restart"/>
          </w:tcPr>
          <w:p>
            <w:pPr>
              <w:jc w:val="right"/>
              <w:ind w:right="362"/>
              <w:spacing w:after="0"/>
              <w:rPr>
                <w:sz w:val="20"/>
                <w:szCs w:val="20"/>
                <w:color w:val="auto"/>
              </w:rPr>
            </w:pPr>
            <w:r>
              <w:rPr>
                <w:rFonts w:ascii="Arial" w:cs="Arial" w:eastAsia="Arial" w:hAnsi="Arial"/>
                <w:sz w:val="20"/>
                <w:szCs w:val="20"/>
                <w:b w:val="1"/>
                <w:bCs w:val="1"/>
                <w:color w:val="00C1DE"/>
              </w:rPr>
              <w:t>Target</w:t>
            </w: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Maximum</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68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b w:val="1"/>
                <w:bCs w:val="1"/>
                <w:color w:val="00C1DE"/>
              </w:rPr>
              <w:t>Result</w:t>
            </w:r>
          </w:p>
        </w:tc>
        <w:tc>
          <w:tcPr>
            <w:tcW w:w="0" w:type="dxa"/>
            <w:vAlign w:val="bottom"/>
          </w:tcPr>
          <w:p>
            <w:pPr>
              <w:spacing w:after="0"/>
              <w:rPr>
                <w:sz w:val="1"/>
                <w:szCs w:val="1"/>
                <w:color w:val="auto"/>
              </w:rPr>
            </w:pPr>
          </w:p>
        </w:tc>
      </w:tr>
      <w:tr>
        <w:trPr>
          <w:trHeight w:val="48"/>
        </w:trPr>
        <w:tc>
          <w:tcPr>
            <w:tcW w:w="2680" w:type="dxa"/>
            <w:vAlign w:val="bottom"/>
            <w:tcBorders>
              <w:bottom w:val="single" w:sz="8" w:color="00C1DE"/>
            </w:tcBorders>
          </w:tcPr>
          <w:p>
            <w:pPr>
              <w:spacing w:after="0"/>
              <w:rPr>
                <w:sz w:val="4"/>
                <w:szCs w:val="4"/>
                <w:color w:val="auto"/>
              </w:rPr>
            </w:pPr>
          </w:p>
        </w:tc>
        <w:tc>
          <w:tcPr>
            <w:tcW w:w="1400" w:type="dxa"/>
            <w:vAlign w:val="bottom"/>
            <w:tcBorders>
              <w:bottom w:val="single" w:sz="8" w:color="00C1DE"/>
            </w:tcBorders>
          </w:tcPr>
          <w:p>
            <w:pPr>
              <w:spacing w:after="0"/>
              <w:rPr>
                <w:sz w:val="4"/>
                <w:szCs w:val="4"/>
                <w:color w:val="auto"/>
              </w:rPr>
            </w:pPr>
          </w:p>
        </w:tc>
        <w:tc>
          <w:tcPr>
            <w:tcW w:w="2020" w:type="dxa"/>
            <w:vAlign w:val="bottom"/>
            <w:tcBorders>
              <w:bottom w:val="single" w:sz="8" w:color="00C1DE"/>
            </w:tcBorders>
          </w:tcPr>
          <w:p>
            <w:pPr>
              <w:spacing w:after="0"/>
              <w:rPr>
                <w:sz w:val="4"/>
                <w:szCs w:val="4"/>
                <w:color w:val="auto"/>
              </w:rPr>
            </w:pPr>
          </w:p>
        </w:tc>
        <w:tc>
          <w:tcPr>
            <w:tcW w:w="1500" w:type="dxa"/>
            <w:vAlign w:val="bottom"/>
            <w:tcBorders>
              <w:bottom w:val="single" w:sz="8" w:color="00C1DE"/>
            </w:tcBorders>
          </w:tcPr>
          <w:p>
            <w:pPr>
              <w:spacing w:after="0"/>
              <w:rPr>
                <w:sz w:val="4"/>
                <w:szCs w:val="4"/>
                <w:color w:val="auto"/>
              </w:rPr>
            </w:pPr>
          </w:p>
        </w:tc>
        <w:tc>
          <w:tcPr>
            <w:tcW w:w="1260" w:type="dxa"/>
            <w:vAlign w:val="bottom"/>
            <w:tcBorders>
              <w:bottom w:val="single" w:sz="8" w:color="00C1DE"/>
            </w:tcBorders>
          </w:tcPr>
          <w:p>
            <w:pPr>
              <w:spacing w:after="0"/>
              <w:rPr>
                <w:sz w:val="4"/>
                <w:szCs w:val="4"/>
                <w:color w:val="auto"/>
              </w:rPr>
            </w:pPr>
          </w:p>
        </w:tc>
        <w:tc>
          <w:tcPr>
            <w:tcW w:w="2060" w:type="dxa"/>
            <w:vAlign w:val="bottom"/>
            <w:tcBorders>
              <w:bottom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680" w:type="dxa"/>
            <w:vAlign w:val="bottom"/>
          </w:tcPr>
          <w:p>
            <w:pPr>
              <w:ind w:left="100"/>
              <w:spacing w:after="0"/>
              <w:rPr>
                <w:sz w:val="20"/>
                <w:szCs w:val="20"/>
                <w:color w:val="auto"/>
              </w:rPr>
            </w:pPr>
            <w:r>
              <w:rPr>
                <w:rFonts w:ascii="Arial" w:cs="Arial" w:eastAsia="Arial" w:hAnsi="Arial"/>
                <w:sz w:val="20"/>
                <w:szCs w:val="20"/>
                <w:color w:val="3E3935"/>
              </w:rPr>
              <w:t>Relative ROIC-adjusted</w:t>
            </w:r>
          </w:p>
        </w:tc>
        <w:tc>
          <w:tcPr>
            <w:tcW w:w="1400" w:type="dxa"/>
            <w:vAlign w:val="bottom"/>
          </w:tcPr>
          <w:p>
            <w:pPr>
              <w:jc w:val="right"/>
              <w:ind w:right="142"/>
              <w:spacing w:after="0"/>
              <w:rPr>
                <w:sz w:val="20"/>
                <w:szCs w:val="20"/>
                <w:color w:val="auto"/>
              </w:rPr>
            </w:pPr>
            <w:r>
              <w:rPr>
                <w:rFonts w:ascii="Arial" w:cs="Arial" w:eastAsia="Arial" w:hAnsi="Arial"/>
                <w:sz w:val="20"/>
                <w:szCs w:val="20"/>
                <w:color w:val="3E3935"/>
              </w:rPr>
              <w:t>67%</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35</w:t>
            </w:r>
            <w:r>
              <w:rPr>
                <w:rFonts w:ascii="Arial" w:cs="Arial" w:eastAsia="Arial" w:hAnsi="Arial"/>
                <w:sz w:val="16"/>
                <w:szCs w:val="16"/>
                <w:color w:val="3E3935"/>
              </w:rPr>
              <w:t>th</w:t>
            </w:r>
          </w:p>
        </w:tc>
        <w:tc>
          <w:tcPr>
            <w:tcW w:w="1500" w:type="dxa"/>
            <w:vAlign w:val="bottom"/>
          </w:tcPr>
          <w:p>
            <w:pPr>
              <w:jc w:val="right"/>
              <w:ind w:right="362"/>
              <w:spacing w:after="0"/>
              <w:rPr>
                <w:sz w:val="20"/>
                <w:szCs w:val="20"/>
                <w:color w:val="auto"/>
              </w:rPr>
            </w:pPr>
            <w:r>
              <w:rPr>
                <w:rFonts w:ascii="Arial" w:cs="Arial" w:eastAsia="Arial" w:hAnsi="Arial"/>
                <w:sz w:val="20"/>
                <w:szCs w:val="20"/>
                <w:color w:val="3E3935"/>
              </w:rPr>
              <w:t>60</w:t>
            </w:r>
            <w:r>
              <w:rPr>
                <w:rFonts w:ascii="Arial" w:cs="Arial" w:eastAsia="Arial" w:hAnsi="Arial"/>
                <w:sz w:val="16"/>
                <w:szCs w:val="16"/>
                <w:color w:val="3E3935"/>
              </w:rPr>
              <w:t>th</w:t>
            </w:r>
          </w:p>
        </w:tc>
        <w:tc>
          <w:tcPr>
            <w:tcW w:w="1260" w:type="dxa"/>
            <w:vAlign w:val="bottom"/>
          </w:tcPr>
          <w:p>
            <w:pPr>
              <w:jc w:val="right"/>
              <w:spacing w:after="0"/>
              <w:rPr>
                <w:sz w:val="20"/>
                <w:szCs w:val="20"/>
                <w:color w:val="auto"/>
              </w:rPr>
            </w:pPr>
            <w:r>
              <w:rPr>
                <w:rFonts w:ascii="Arial" w:cs="Arial" w:eastAsia="Arial" w:hAnsi="Arial"/>
                <w:sz w:val="20"/>
                <w:szCs w:val="20"/>
                <w:color w:val="3E3935"/>
              </w:rPr>
              <w:t>100</w:t>
            </w:r>
            <w:r>
              <w:rPr>
                <w:rFonts w:ascii="Arial" w:cs="Arial" w:eastAsia="Arial" w:hAnsi="Arial"/>
                <w:sz w:val="16"/>
                <w:szCs w:val="16"/>
                <w:color w:val="3E3935"/>
              </w:rPr>
              <w:t>th</w:t>
            </w:r>
          </w:p>
        </w:tc>
        <w:tc>
          <w:tcPr>
            <w:tcW w:w="2060" w:type="dxa"/>
            <w:vAlign w:val="bottom"/>
          </w:tcPr>
          <w:p>
            <w:pPr>
              <w:jc w:val="right"/>
              <w:spacing w:after="0"/>
              <w:rPr>
                <w:sz w:val="20"/>
                <w:szCs w:val="20"/>
                <w:color w:val="auto"/>
              </w:rPr>
            </w:pPr>
            <w:r>
              <w:rPr>
                <w:rFonts w:ascii="Arial" w:cs="Arial" w:eastAsia="Arial" w:hAnsi="Arial"/>
                <w:sz w:val="20"/>
                <w:szCs w:val="20"/>
                <w:color w:val="3E3935"/>
              </w:rPr>
              <w:t>100</w:t>
            </w:r>
            <w:r>
              <w:rPr>
                <w:rFonts w:ascii="Arial" w:cs="Arial" w:eastAsia="Arial" w:hAnsi="Arial"/>
                <w:sz w:val="16"/>
                <w:szCs w:val="16"/>
                <w:color w:val="3E3935"/>
              </w:rPr>
              <w:t>th</w:t>
            </w:r>
            <w:r>
              <w:rPr>
                <w:rFonts w:ascii="Arial" w:cs="Arial" w:eastAsia="Arial" w:hAnsi="Arial"/>
                <w:sz w:val="20"/>
                <w:szCs w:val="20"/>
                <w:color w:val="3E3935"/>
              </w:rPr>
              <w:t xml:space="preserve"> Percentile</w:t>
            </w:r>
          </w:p>
        </w:tc>
        <w:tc>
          <w:tcPr>
            <w:tcW w:w="0" w:type="dxa"/>
            <w:vAlign w:val="bottom"/>
          </w:tcPr>
          <w:p>
            <w:pPr>
              <w:spacing w:after="0"/>
              <w:rPr>
                <w:sz w:val="1"/>
                <w:szCs w:val="1"/>
                <w:color w:val="auto"/>
              </w:rPr>
            </w:pPr>
          </w:p>
        </w:tc>
      </w:tr>
      <w:tr>
        <w:trPr>
          <w:trHeight w:val="58"/>
        </w:trPr>
        <w:tc>
          <w:tcPr>
            <w:tcW w:w="2680" w:type="dxa"/>
            <w:vAlign w:val="bottom"/>
            <w:tcBorders>
              <w:bottom w:val="single" w:sz="8" w:color="3E3935"/>
            </w:tcBorders>
          </w:tcPr>
          <w:p>
            <w:pPr>
              <w:spacing w:after="0"/>
              <w:rPr>
                <w:sz w:val="5"/>
                <w:szCs w:val="5"/>
                <w:color w:val="auto"/>
              </w:rPr>
            </w:pPr>
          </w:p>
        </w:tc>
        <w:tc>
          <w:tcPr>
            <w:tcW w:w="14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206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680" w:type="dxa"/>
            <w:vAlign w:val="bottom"/>
          </w:tcPr>
          <w:p>
            <w:pPr>
              <w:ind w:left="100"/>
              <w:spacing w:after="0"/>
              <w:rPr>
                <w:sz w:val="20"/>
                <w:szCs w:val="20"/>
                <w:color w:val="auto"/>
              </w:rPr>
            </w:pPr>
            <w:r>
              <w:rPr>
                <w:rFonts w:ascii="Arial" w:cs="Arial" w:eastAsia="Arial" w:hAnsi="Arial"/>
                <w:sz w:val="20"/>
                <w:szCs w:val="20"/>
                <w:color w:val="3E3935"/>
              </w:rPr>
              <w:t>Relative TSR</w:t>
            </w:r>
          </w:p>
        </w:tc>
        <w:tc>
          <w:tcPr>
            <w:tcW w:w="1400" w:type="dxa"/>
            <w:vAlign w:val="bottom"/>
          </w:tcPr>
          <w:p>
            <w:pPr>
              <w:jc w:val="right"/>
              <w:ind w:right="142"/>
              <w:spacing w:after="0"/>
              <w:rPr>
                <w:sz w:val="20"/>
                <w:szCs w:val="20"/>
                <w:color w:val="auto"/>
              </w:rPr>
            </w:pPr>
            <w:r>
              <w:rPr>
                <w:rFonts w:ascii="Arial" w:cs="Arial" w:eastAsia="Arial" w:hAnsi="Arial"/>
                <w:sz w:val="20"/>
                <w:szCs w:val="20"/>
                <w:color w:val="3E3935"/>
              </w:rPr>
              <w:t>33%</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25</w:t>
            </w:r>
            <w:r>
              <w:rPr>
                <w:rFonts w:ascii="Arial" w:cs="Arial" w:eastAsia="Arial" w:hAnsi="Arial"/>
                <w:sz w:val="16"/>
                <w:szCs w:val="16"/>
                <w:color w:val="3E3935"/>
              </w:rPr>
              <w:t>th</w:t>
            </w:r>
          </w:p>
        </w:tc>
        <w:tc>
          <w:tcPr>
            <w:tcW w:w="1500" w:type="dxa"/>
            <w:vAlign w:val="bottom"/>
          </w:tcPr>
          <w:p>
            <w:pPr>
              <w:jc w:val="right"/>
              <w:ind w:right="362"/>
              <w:spacing w:after="0"/>
              <w:rPr>
                <w:sz w:val="20"/>
                <w:szCs w:val="20"/>
                <w:color w:val="auto"/>
              </w:rPr>
            </w:pPr>
            <w:r>
              <w:rPr>
                <w:rFonts w:ascii="Arial" w:cs="Arial" w:eastAsia="Arial" w:hAnsi="Arial"/>
                <w:sz w:val="20"/>
                <w:szCs w:val="20"/>
                <w:color w:val="3E3935"/>
              </w:rPr>
              <w:t>50</w:t>
            </w:r>
            <w:r>
              <w:rPr>
                <w:rFonts w:ascii="Arial" w:cs="Arial" w:eastAsia="Arial" w:hAnsi="Arial"/>
                <w:sz w:val="16"/>
                <w:szCs w:val="16"/>
                <w:color w:val="3E3935"/>
              </w:rPr>
              <w:t>th</w:t>
            </w:r>
          </w:p>
        </w:tc>
        <w:tc>
          <w:tcPr>
            <w:tcW w:w="1260" w:type="dxa"/>
            <w:vAlign w:val="bottom"/>
          </w:tcPr>
          <w:p>
            <w:pPr>
              <w:jc w:val="right"/>
              <w:spacing w:after="0"/>
              <w:rPr>
                <w:sz w:val="20"/>
                <w:szCs w:val="20"/>
                <w:color w:val="auto"/>
              </w:rPr>
            </w:pPr>
            <w:r>
              <w:rPr>
                <w:rFonts w:ascii="Arial" w:cs="Arial" w:eastAsia="Arial" w:hAnsi="Arial"/>
                <w:sz w:val="20"/>
                <w:szCs w:val="20"/>
                <w:color w:val="3E3935"/>
              </w:rPr>
              <w:t>75</w:t>
            </w:r>
            <w:r>
              <w:rPr>
                <w:rFonts w:ascii="Arial" w:cs="Arial" w:eastAsia="Arial" w:hAnsi="Arial"/>
                <w:sz w:val="16"/>
                <w:szCs w:val="16"/>
                <w:color w:val="3E3935"/>
              </w:rPr>
              <w:t>th</w:t>
            </w:r>
          </w:p>
        </w:tc>
        <w:tc>
          <w:tcPr>
            <w:tcW w:w="2060" w:type="dxa"/>
            <w:vAlign w:val="bottom"/>
          </w:tcPr>
          <w:p>
            <w:pPr>
              <w:jc w:val="right"/>
              <w:spacing w:after="0"/>
              <w:rPr>
                <w:sz w:val="20"/>
                <w:szCs w:val="20"/>
                <w:color w:val="auto"/>
              </w:rPr>
            </w:pPr>
            <w:r>
              <w:rPr>
                <w:rFonts w:ascii="Arial" w:cs="Arial" w:eastAsia="Arial" w:hAnsi="Arial"/>
                <w:sz w:val="20"/>
                <w:szCs w:val="20"/>
                <w:color w:val="3E3935"/>
              </w:rPr>
              <w:t>64</w:t>
            </w:r>
            <w:r>
              <w:rPr>
                <w:rFonts w:ascii="Arial" w:cs="Arial" w:eastAsia="Arial" w:hAnsi="Arial"/>
                <w:sz w:val="16"/>
                <w:szCs w:val="16"/>
                <w:color w:val="3E3935"/>
              </w:rPr>
              <w:t>th</w:t>
            </w:r>
            <w:r>
              <w:rPr>
                <w:rFonts w:ascii="Arial" w:cs="Arial" w:eastAsia="Arial" w:hAnsi="Arial"/>
                <w:sz w:val="20"/>
                <w:szCs w:val="20"/>
                <w:color w:val="3E3935"/>
              </w:rPr>
              <w:t xml:space="preserve"> Percentile</w:t>
            </w:r>
          </w:p>
        </w:tc>
        <w:tc>
          <w:tcPr>
            <w:tcW w:w="0" w:type="dxa"/>
            <w:vAlign w:val="bottom"/>
          </w:tcPr>
          <w:p>
            <w:pPr>
              <w:spacing w:after="0"/>
              <w:rPr>
                <w:sz w:val="1"/>
                <w:szCs w:val="1"/>
                <w:color w:val="auto"/>
              </w:rPr>
            </w:pPr>
          </w:p>
        </w:tc>
      </w:tr>
      <w:tr>
        <w:trPr>
          <w:trHeight w:val="58"/>
        </w:trPr>
        <w:tc>
          <w:tcPr>
            <w:tcW w:w="2680" w:type="dxa"/>
            <w:vAlign w:val="bottom"/>
            <w:tcBorders>
              <w:bottom w:val="single" w:sz="8" w:color="3E3935"/>
            </w:tcBorders>
          </w:tcPr>
          <w:p>
            <w:pPr>
              <w:spacing w:after="0"/>
              <w:rPr>
                <w:sz w:val="5"/>
                <w:szCs w:val="5"/>
                <w:color w:val="auto"/>
              </w:rPr>
            </w:pPr>
          </w:p>
        </w:tc>
        <w:tc>
          <w:tcPr>
            <w:tcW w:w="14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206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2680" w:type="dxa"/>
            <w:vAlign w:val="bottom"/>
          </w:tcPr>
          <w:p>
            <w:pPr>
              <w:ind w:left="100"/>
              <w:spacing w:after="0"/>
              <w:rPr>
                <w:sz w:val="20"/>
                <w:szCs w:val="20"/>
                <w:color w:val="auto"/>
              </w:rPr>
            </w:pPr>
            <w:r>
              <w:rPr>
                <w:rFonts w:ascii="Arial" w:cs="Arial" w:eastAsia="Arial" w:hAnsi="Arial"/>
                <w:sz w:val="20"/>
                <w:szCs w:val="20"/>
                <w:b w:val="1"/>
                <w:bCs w:val="1"/>
                <w:color w:val="0071CE"/>
              </w:rPr>
              <w:t>Performance Payout</w:t>
            </w: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b w:val="1"/>
                <w:bCs w:val="1"/>
                <w:color w:val="0071CE"/>
              </w:rPr>
              <w:t>186% of Target</w:t>
            </w:r>
          </w:p>
        </w:tc>
        <w:tc>
          <w:tcPr>
            <w:tcW w:w="0" w:type="dxa"/>
            <w:vAlign w:val="bottom"/>
          </w:tcPr>
          <w:p>
            <w:pPr>
              <w:spacing w:after="0"/>
              <w:rPr>
                <w:sz w:val="1"/>
                <w:szCs w:val="1"/>
                <w:color w:val="auto"/>
              </w:rPr>
            </w:pPr>
          </w:p>
        </w:tc>
      </w:tr>
      <w:tr>
        <w:trPr>
          <w:trHeight w:val="48"/>
        </w:trPr>
        <w:tc>
          <w:tcPr>
            <w:tcW w:w="2680" w:type="dxa"/>
            <w:vAlign w:val="bottom"/>
            <w:tcBorders>
              <w:bottom w:val="single" w:sz="8" w:color="0071CE"/>
            </w:tcBorders>
          </w:tcPr>
          <w:p>
            <w:pPr>
              <w:spacing w:after="0"/>
              <w:rPr>
                <w:sz w:val="4"/>
                <w:szCs w:val="4"/>
                <w:color w:val="auto"/>
              </w:rPr>
            </w:pPr>
          </w:p>
        </w:tc>
        <w:tc>
          <w:tcPr>
            <w:tcW w:w="1400" w:type="dxa"/>
            <w:vAlign w:val="bottom"/>
            <w:tcBorders>
              <w:bottom w:val="single" w:sz="8" w:color="0071CE"/>
            </w:tcBorders>
          </w:tcPr>
          <w:p>
            <w:pPr>
              <w:spacing w:after="0"/>
              <w:rPr>
                <w:sz w:val="4"/>
                <w:szCs w:val="4"/>
                <w:color w:val="auto"/>
              </w:rPr>
            </w:pPr>
          </w:p>
        </w:tc>
        <w:tc>
          <w:tcPr>
            <w:tcW w:w="2020" w:type="dxa"/>
            <w:vAlign w:val="bottom"/>
            <w:tcBorders>
              <w:bottom w:val="single" w:sz="8" w:color="0071CE"/>
            </w:tcBorders>
          </w:tcPr>
          <w:p>
            <w:pPr>
              <w:spacing w:after="0"/>
              <w:rPr>
                <w:sz w:val="4"/>
                <w:szCs w:val="4"/>
                <w:color w:val="auto"/>
              </w:rPr>
            </w:pPr>
          </w:p>
        </w:tc>
        <w:tc>
          <w:tcPr>
            <w:tcW w:w="1500" w:type="dxa"/>
            <w:vAlign w:val="bottom"/>
            <w:tcBorders>
              <w:bottom w:val="single" w:sz="8" w:color="0071CE"/>
            </w:tcBorders>
          </w:tcPr>
          <w:p>
            <w:pPr>
              <w:spacing w:after="0"/>
              <w:rPr>
                <w:sz w:val="4"/>
                <w:szCs w:val="4"/>
                <w:color w:val="auto"/>
              </w:rPr>
            </w:pPr>
          </w:p>
        </w:tc>
        <w:tc>
          <w:tcPr>
            <w:tcW w:w="1260" w:type="dxa"/>
            <w:vAlign w:val="bottom"/>
            <w:tcBorders>
              <w:bottom w:val="single" w:sz="8" w:color="0071CE"/>
            </w:tcBorders>
          </w:tcPr>
          <w:p>
            <w:pPr>
              <w:spacing w:after="0"/>
              <w:rPr>
                <w:sz w:val="4"/>
                <w:szCs w:val="4"/>
                <w:color w:val="auto"/>
              </w:rPr>
            </w:pPr>
          </w:p>
        </w:tc>
        <w:tc>
          <w:tcPr>
            <w:tcW w:w="2060" w:type="dxa"/>
            <w:vAlign w:val="bottom"/>
            <w:tcBorders>
              <w:bottom w:val="single" w:sz="8" w:color="0071CE"/>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Company continues to focus on ROIC and delivering best results among the OEMs, while driving TSR performance with a focus on the long-term interest of our shareholders. We continue to prioritize and focus on investing in new and existing businesses, including opportunities in EV, AV, and connected services to achieve strong, profitable growth with solid return on investment.</w:t>
      </w:r>
    </w:p>
    <w:p>
      <w:pPr>
        <w:spacing w:after="0" w:line="11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52" w:lineRule="exact"/>
        <w:rPr>
          <w:sz w:val="20"/>
          <w:szCs w:val="20"/>
          <w:color w:val="auto"/>
        </w:rPr>
      </w:pPr>
    </w:p>
    <w:p>
      <w:pPr>
        <w:ind w:left="600" w:hanging="433"/>
        <w:spacing w:after="0"/>
        <w:tabs>
          <w:tab w:leader="none" w:pos="600" w:val="left"/>
        </w:tabs>
        <w:numPr>
          <w:ilvl w:val="0"/>
          <w:numId w:val="100"/>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Decisions for Mary T. Barra</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3E3935"/>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450088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500880" cy="17145"/>
                    </a:xfrm>
                    <a:prstGeom prst="rect">
                      <a:avLst/>
                    </a:prstGeom>
                    <a:noFill/>
                  </pic:spPr>
                </pic:pic>
              </a:graphicData>
            </a:graphic>
          </wp:anchor>
        </w:drawing>
      </w:r>
    </w:p>
    <w:p>
      <w:pPr>
        <w:spacing w:after="0" w:line="107"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Held base salary at $2,100,000.</w:t>
      </w:r>
    </w:p>
    <w:p>
      <w:pPr>
        <w:spacing w:after="0" w:line="11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In addition to the Company’s record EBIT-adjusted and strong AAFCF</w:t>
      </w:r>
      <w:r>
        <w:rPr>
          <w:rFonts w:ascii="Arial" w:cs="Arial" w:eastAsia="Arial" w:hAnsi="Arial"/>
          <w:sz w:val="16"/>
          <w:szCs w:val="16"/>
          <w:b w:val="1"/>
          <w:bCs w:val="1"/>
          <w:color w:val="0071CE"/>
        </w:rPr>
        <w:t xml:space="preserve"> </w:t>
      </w:r>
      <w:r>
        <w:rPr>
          <w:rFonts w:ascii="Arial" w:cs="Arial" w:eastAsia="Arial" w:hAnsi="Arial"/>
          <w:sz w:val="16"/>
          <w:szCs w:val="16"/>
          <w:color w:val="3E3935"/>
        </w:rPr>
        <w:t>performance (discussed on page 60 of this Proxy Statement), Ms. Barra was awarded 32 points out of a 25-point target and 50-point maximum for the strategic goals portion for the 2021 STIP performance year. In determining the number of points earned, the Committee considered these results for Ms. Barra:</w:t>
      </w:r>
    </w:p>
    <w:p>
      <w:pPr>
        <w:spacing w:after="0" w:line="98" w:lineRule="exact"/>
        <w:rPr>
          <w:sz w:val="20"/>
          <w:szCs w:val="20"/>
          <w:color w:val="auto"/>
        </w:rPr>
      </w:pPr>
    </w:p>
    <w:p>
      <w:pPr>
        <w:ind w:left="400" w:hanging="233"/>
        <w:spacing w:after="0" w:line="181" w:lineRule="auto"/>
        <w:tabs>
          <w:tab w:leader="none" w:pos="400" w:val="left"/>
        </w:tabs>
        <w:numPr>
          <w:ilvl w:val="0"/>
          <w:numId w:val="101"/>
        </w:numPr>
        <w:rPr>
          <w:rFonts w:ascii="Arial" w:cs="Arial" w:eastAsia="Arial" w:hAnsi="Arial"/>
          <w:sz w:val="31"/>
          <w:szCs w:val="31"/>
          <w:color w:val="0071CE"/>
          <w:vertAlign w:val="subscript"/>
        </w:rPr>
      </w:pPr>
      <w:r>
        <w:rPr>
          <w:rFonts w:ascii="Arial" w:cs="Arial" w:eastAsia="Arial" w:hAnsi="Arial"/>
          <w:sz w:val="14"/>
          <w:szCs w:val="14"/>
          <w:color w:val="3E3935"/>
        </w:rPr>
        <w:t>Accelerated our EV investments and portfolio including delivering, in record time, our first GMC HUMMER EVs and BrightDrop Zevo 600 electric delivery vans;</w:t>
      </w:r>
    </w:p>
    <w:p>
      <w:pPr>
        <w:ind w:left="400" w:hanging="233"/>
        <w:spacing w:after="0" w:line="181" w:lineRule="auto"/>
        <w:tabs>
          <w:tab w:leader="none" w:pos="400" w:val="left"/>
        </w:tabs>
        <w:numPr>
          <w:ilvl w:val="0"/>
          <w:numId w:val="101"/>
        </w:numPr>
        <w:rPr>
          <w:rFonts w:ascii="Arial" w:cs="Arial" w:eastAsia="Arial" w:hAnsi="Arial"/>
          <w:sz w:val="30"/>
          <w:szCs w:val="30"/>
          <w:color w:val="0071CE"/>
          <w:vertAlign w:val="subscript"/>
        </w:rPr>
      </w:pPr>
      <w:r>
        <w:rPr>
          <w:rFonts w:ascii="Arial" w:cs="Arial" w:eastAsia="Arial" w:hAnsi="Arial"/>
          <w:sz w:val="13"/>
          <w:szCs w:val="13"/>
          <w:color w:val="3E3935"/>
        </w:rPr>
        <w:t>Generated a record $10 billion in net income and $14.3 billion in EBIT-adjusted by mitigating the effects of the semiconductor shortage; and</w:t>
      </w:r>
    </w:p>
    <w:p>
      <w:pPr>
        <w:spacing w:after="0" w:line="1" w:lineRule="exact"/>
        <w:rPr>
          <w:rFonts w:ascii="Arial" w:cs="Arial" w:eastAsia="Arial" w:hAnsi="Arial"/>
          <w:sz w:val="30"/>
          <w:szCs w:val="30"/>
          <w:color w:val="0071CE"/>
          <w:vertAlign w:val="subscript"/>
        </w:rPr>
      </w:pPr>
    </w:p>
    <w:p>
      <w:pPr>
        <w:jc w:val="both"/>
        <w:ind w:left="400" w:right="20" w:hanging="233"/>
        <w:spacing w:after="0" w:line="185" w:lineRule="auto"/>
        <w:tabs>
          <w:tab w:leader="none" w:pos="400" w:val="left"/>
        </w:tabs>
        <w:numPr>
          <w:ilvl w:val="0"/>
          <w:numId w:val="101"/>
        </w:numPr>
        <w:rPr>
          <w:rFonts w:ascii="Arial" w:cs="Arial" w:eastAsia="Arial" w:hAnsi="Arial"/>
          <w:sz w:val="36"/>
          <w:szCs w:val="36"/>
          <w:color w:val="0071CE"/>
          <w:vertAlign w:val="subscript"/>
        </w:rPr>
      </w:pPr>
      <w:r>
        <w:rPr>
          <w:rFonts w:ascii="Arial" w:cs="Arial" w:eastAsia="Arial" w:hAnsi="Arial"/>
          <w:sz w:val="14"/>
          <w:szCs w:val="14"/>
          <w:color w:val="3E3935"/>
        </w:rPr>
        <w:t>Demonstrated strong leadership in the transition to EVs by prioritizing infrastructure and climate equity through creation of a $25 million Climate Equity Fund and pledging an additional $25 million, for a total of $50 million, as well as other highlights below.</w:t>
      </w:r>
    </w:p>
    <w:p>
      <w:pPr>
        <w:spacing w:after="0" w:line="143"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Our People</w:t>
      </w:r>
    </w:p>
    <w:p>
      <w:pPr>
        <w:spacing w:after="0" w:line="34" w:lineRule="exact"/>
        <w:rPr>
          <w:rFonts w:ascii="Arial" w:cs="Arial" w:eastAsia="Arial" w:hAnsi="Arial"/>
          <w:sz w:val="36"/>
          <w:szCs w:val="36"/>
          <w:color w:val="0071CE"/>
          <w:vertAlign w:val="subscript"/>
        </w:rPr>
      </w:pPr>
    </w:p>
    <w:p>
      <w:pPr>
        <w:ind w:left="400"/>
        <w:spacing w:after="0" w:line="237"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 Continued to prioritize our safety culture through multiple initiatives </w:t>
      </w:r>
      <w:r>
        <w:rPr>
          <w:rFonts w:ascii="Arial" w:cs="Arial" w:eastAsia="Arial" w:hAnsi="Arial"/>
          <w:sz w:val="1"/>
          <w:szCs w:val="1"/>
          <w:color w:val="0071CE"/>
          <w:vertAlign w:val="subscript"/>
        </w:rPr>
        <w:drawing>
          <wp:inline distT="0" distB="0" distL="0" distR="0">
            <wp:extent cx="76200" cy="762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200"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 Introduced Work Appropriately, a new approach to the future of work that allows employees to work</w:t>
      </w:r>
      <w:r>
        <w:rPr>
          <w:rFonts w:ascii="Arial" w:cs="Arial" w:eastAsia="Arial" w:hAnsi="Arial"/>
          <w:sz w:val="23"/>
          <w:szCs w:val="23"/>
          <w:color w:val="00C1DE"/>
        </w:rPr>
        <w:t xml:space="preserve"> </w:t>
      </w:r>
      <w:r>
        <w:rPr>
          <w:rFonts w:ascii="Arial" w:cs="Arial" w:eastAsia="Arial" w:hAnsi="Arial"/>
          <w:sz w:val="14"/>
          <w:szCs w:val="14"/>
          <w:color w:val="3E3935"/>
        </w:rPr>
        <w:t xml:space="preserve">where they can have the greatest impact on achieving our goals </w:t>
      </w:r>
      <w:r>
        <w:rPr>
          <w:rFonts w:ascii="Arial" w:cs="Arial" w:eastAsia="Arial" w:hAnsi="Arial"/>
          <w:sz w:val="1"/>
          <w:szCs w:val="1"/>
          <w:color w:val="0071CE"/>
          <w:vertAlign w:val="subscript"/>
        </w:rPr>
        <w:drawing>
          <wp:inline distT="0" distB="0" distL="0" distR="0">
            <wp:extent cx="76200" cy="7620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204"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 Exceeded by 100 percent our hiring commitment to OneTen, a coalition aiming to upskill, hire, and</w:t>
      </w:r>
      <w:r>
        <w:rPr>
          <w:rFonts w:ascii="Arial" w:cs="Arial" w:eastAsia="Arial" w:hAnsi="Arial"/>
          <w:sz w:val="23"/>
          <w:szCs w:val="23"/>
          <w:color w:val="00C1DE"/>
        </w:rPr>
        <w:t xml:space="preserve"> </w:t>
      </w:r>
      <w:r>
        <w:rPr>
          <w:rFonts w:ascii="Arial" w:cs="Arial" w:eastAsia="Arial" w:hAnsi="Arial"/>
          <w:sz w:val="14"/>
          <w:szCs w:val="14"/>
          <w:color w:val="3E3935"/>
        </w:rPr>
        <w:t xml:space="preserve">advance 1 million Black Americans over the next decade into family-sustaining jobs with opportunities for advancement </w:t>
      </w:r>
      <w:r>
        <w:rPr>
          <w:rFonts w:ascii="Arial" w:cs="Arial" w:eastAsia="Arial" w:hAnsi="Arial"/>
          <w:sz w:val="1"/>
          <w:szCs w:val="1"/>
          <w:color w:val="0071CE"/>
          <w:vertAlign w:val="subscript"/>
        </w:rPr>
        <w:drawing>
          <wp:inline distT="0" distB="0" distL="0" distR="0">
            <wp:extent cx="76200" cy="762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0"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Products, Software, and Services</w:t>
      </w:r>
    </w:p>
    <w:p>
      <w:pPr>
        <w:spacing w:after="0" w:line="34" w:lineRule="exact"/>
        <w:rPr>
          <w:rFonts w:ascii="Arial" w:cs="Arial" w:eastAsia="Arial" w:hAnsi="Arial"/>
          <w:sz w:val="36"/>
          <w:szCs w:val="36"/>
          <w:color w:val="0071CE"/>
          <w:vertAlign w:val="subscript"/>
        </w:rPr>
      </w:pPr>
    </w:p>
    <w:p>
      <w:pPr>
        <w:ind w:left="620" w:right="200" w:hanging="214"/>
        <w:spacing w:after="0" w:line="238"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Ultra Cruise, an all-new, advanced driver-assistance technology designed to enable</w:t>
      </w:r>
      <w:r>
        <w:rPr>
          <w:rFonts w:ascii="Arial" w:cs="Arial" w:eastAsia="Arial" w:hAnsi="Arial"/>
          <w:sz w:val="23"/>
          <w:szCs w:val="23"/>
          <w:color w:val="00C1DE"/>
        </w:rPr>
        <w:t xml:space="preserve"> </w:t>
      </w:r>
      <w:r>
        <w:rPr>
          <w:rFonts w:ascii="Arial" w:cs="Arial" w:eastAsia="Arial" w:hAnsi="Arial"/>
          <w:sz w:val="14"/>
          <w:szCs w:val="14"/>
          <w:color w:val="3E3935"/>
        </w:rPr>
        <w:t>hands-free driving in 95 percent of all driving scenarios</w:t>
      </w:r>
    </w:p>
    <w:p>
      <w:pPr>
        <w:ind w:left="620" w:right="200" w:hanging="214"/>
        <w:spacing w:after="0" w:line="204"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 Accelerated our EV investments to grow an all-electric portfolio that is unmatched in depth and range,</w:t>
      </w:r>
      <w:r>
        <w:rPr>
          <w:rFonts w:ascii="Arial" w:cs="Arial" w:eastAsia="Arial" w:hAnsi="Arial"/>
          <w:sz w:val="23"/>
          <w:szCs w:val="23"/>
          <w:color w:val="00C1DE"/>
        </w:rPr>
        <w:t xml:space="preserve"> </w:t>
      </w:r>
      <w:r>
        <w:rPr>
          <w:rFonts w:ascii="Arial" w:cs="Arial" w:eastAsia="Arial" w:hAnsi="Arial"/>
          <w:sz w:val="14"/>
          <w:szCs w:val="14"/>
          <w:color w:val="3E3935"/>
        </w:rPr>
        <w:t xml:space="preserve">including: BrightDrop electric delivery vans, Chevrolet Silverado EV, Equinox EV, Blazer EV, Bolt EV and EUV, along with GMC Sierra EV, HUMMER EVs, and Cadillac LYRIQ and CELESTIQ </w:t>
      </w:r>
      <w:r>
        <w:rPr>
          <w:rFonts w:ascii="Arial" w:cs="Arial" w:eastAsia="Arial" w:hAnsi="Arial"/>
          <w:sz w:val="1"/>
          <w:szCs w:val="1"/>
          <w:color w:val="0071CE"/>
          <w:vertAlign w:val="subscript"/>
        </w:rPr>
        <w:drawing>
          <wp:inline distT="0" distB="0" distL="0" distR="0">
            <wp:extent cx="76200" cy="7620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0"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Citizenship</w:t>
      </w:r>
    </w:p>
    <w:p>
      <w:pPr>
        <w:spacing w:after="0" w:line="34" w:lineRule="exact"/>
        <w:rPr>
          <w:rFonts w:ascii="Arial" w:cs="Arial" w:eastAsia="Arial" w:hAnsi="Arial"/>
          <w:sz w:val="36"/>
          <w:szCs w:val="36"/>
          <w:color w:val="0071CE"/>
          <w:vertAlign w:val="subscript"/>
        </w:rPr>
      </w:pPr>
    </w:p>
    <w:p>
      <w:pPr>
        <w:ind w:left="620" w:right="200" w:hanging="214"/>
        <w:spacing w:after="0" w:line="202"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 Set SBTi-validated, science-based targets to achieve carbon neutrality and committed to become</w:t>
      </w:r>
      <w:r>
        <w:rPr>
          <w:rFonts w:ascii="Arial" w:cs="Arial" w:eastAsia="Arial" w:hAnsi="Arial"/>
          <w:sz w:val="23"/>
          <w:szCs w:val="23"/>
          <w:color w:val="00C1DE"/>
        </w:rPr>
        <w:t xml:space="preserve"> </w:t>
      </w:r>
      <w:r>
        <w:rPr>
          <w:rFonts w:ascii="Arial" w:cs="Arial" w:eastAsia="Arial" w:hAnsi="Arial"/>
          <w:sz w:val="14"/>
          <w:szCs w:val="14"/>
          <w:color w:val="3E3935"/>
        </w:rPr>
        <w:t xml:space="preserve">carbon neutral in global products and operations by 2040, 10 years ahead of the goals set forth in the Paris Agreement on climate change </w:t>
      </w:r>
      <w:r>
        <w:rPr>
          <w:rFonts w:ascii="Arial" w:cs="Arial" w:eastAsia="Arial" w:hAnsi="Arial"/>
          <w:sz w:val="1"/>
          <w:szCs w:val="1"/>
          <w:color w:val="0071CE"/>
          <w:vertAlign w:val="subscript"/>
        </w:rPr>
        <w:drawing>
          <wp:inline distT="0" distB="0" distL="0" distR="0">
            <wp:extent cx="76200" cy="7620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 Named as one of America’s Most Responsible Companies for 2022 by Newsweek </w:t>
      </w:r>
      <w:r>
        <w:rPr>
          <w:rFonts w:ascii="Arial" w:cs="Arial" w:eastAsia="Arial" w:hAnsi="Arial"/>
          <w:sz w:val="1"/>
          <w:szCs w:val="1"/>
          <w:color w:val="0071CE"/>
          <w:vertAlign w:val="subscript"/>
        </w:rPr>
        <w:drawing>
          <wp:inline distT="0" distB="0" distL="0" distR="0">
            <wp:extent cx="76200" cy="762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 w:lineRule="exact"/>
        <w:rPr>
          <w:rFonts w:ascii="Arial" w:cs="Arial" w:eastAsia="Arial" w:hAnsi="Arial"/>
          <w:sz w:val="36"/>
          <w:szCs w:val="36"/>
          <w:color w:val="0071CE"/>
          <w:vertAlign w:val="subscript"/>
        </w:rPr>
      </w:pPr>
    </w:p>
    <w:p>
      <w:pPr>
        <w:ind w:left="620" w:right="200" w:hanging="214"/>
        <w:spacing w:after="0" w:line="201"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 Received 2021 ENERGY STAR Partner of the Year – Sustained Excellence Award from U.S. EPA and</w:t>
      </w:r>
      <w:r>
        <w:rPr>
          <w:rFonts w:ascii="Arial" w:cs="Arial" w:eastAsia="Arial" w:hAnsi="Arial"/>
          <w:sz w:val="23"/>
          <w:szCs w:val="23"/>
          <w:color w:val="00C1DE"/>
        </w:rPr>
        <w:t xml:space="preserve"> </w:t>
      </w:r>
      <w:r>
        <w:rPr>
          <w:rFonts w:ascii="Arial" w:cs="Arial" w:eastAsia="Arial" w:hAnsi="Arial"/>
          <w:sz w:val="14"/>
          <w:szCs w:val="14"/>
          <w:color w:val="3E3935"/>
        </w:rPr>
        <w:t>U.S. Department of Energy for the 10</w:t>
      </w:r>
      <w:r>
        <w:rPr>
          <w:rFonts w:ascii="Arial" w:cs="Arial" w:eastAsia="Arial" w:hAnsi="Arial"/>
          <w:sz w:val="24"/>
          <w:szCs w:val="24"/>
          <w:color w:val="3E3935"/>
          <w:vertAlign w:val="superscript"/>
        </w:rPr>
        <w:t>th</w:t>
      </w:r>
      <w:r>
        <w:rPr>
          <w:rFonts w:ascii="Arial" w:cs="Arial" w:eastAsia="Arial" w:hAnsi="Arial"/>
          <w:sz w:val="14"/>
          <w:szCs w:val="14"/>
          <w:color w:val="3E3935"/>
        </w:rPr>
        <w:t xml:space="preserve"> year for GM’s commitment to fighting climate change and protecting public health </w:t>
      </w:r>
      <w:r>
        <w:rPr>
          <w:rFonts w:ascii="Arial" w:cs="Arial" w:eastAsia="Arial" w:hAnsi="Arial"/>
          <w:sz w:val="1"/>
          <w:szCs w:val="1"/>
          <w:color w:val="0071CE"/>
          <w:vertAlign w:val="subscript"/>
        </w:rPr>
        <w:drawing>
          <wp:inline distT="0" distB="0" distL="0" distR="0">
            <wp:extent cx="76200" cy="7620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9"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Enterprise</w:t>
      </w:r>
    </w:p>
    <w:p>
      <w:pPr>
        <w:spacing w:after="0" w:line="34" w:lineRule="exact"/>
        <w:rPr>
          <w:rFonts w:ascii="Arial" w:cs="Arial" w:eastAsia="Arial" w:hAnsi="Arial"/>
          <w:sz w:val="36"/>
          <w:szCs w:val="36"/>
          <w:color w:val="0071CE"/>
          <w:vertAlign w:val="subscript"/>
        </w:rPr>
      </w:pPr>
    </w:p>
    <w:p>
      <w:pPr>
        <w:ind w:left="400"/>
        <w:spacing w:after="0" w:line="224"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 Achieved record GM Financial EBT-adjusted of $5.0 billion and $3.5 billion in dividends paid back to</w:t>
      </w:r>
    </w:p>
    <w:p>
      <w:pPr>
        <w:ind w:left="620"/>
        <w:spacing w:after="0"/>
        <w:rPr>
          <w:rFonts w:ascii="Arial" w:cs="Arial" w:eastAsia="Arial" w:hAnsi="Arial"/>
          <w:sz w:val="36"/>
          <w:szCs w:val="36"/>
          <w:color w:val="0071CE"/>
          <w:vertAlign w:val="subscript"/>
        </w:rPr>
      </w:pPr>
      <w:r>
        <w:rPr>
          <w:rFonts w:ascii="Arial" w:cs="Arial" w:eastAsia="Arial" w:hAnsi="Arial"/>
          <w:sz w:val="14"/>
          <w:szCs w:val="14"/>
          <w:color w:val="3E3935"/>
        </w:rPr>
        <w:t>GM</w:t>
      </w:r>
    </w:p>
    <w:p>
      <w:pPr>
        <w:spacing w:after="0" w:line="14"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 Elected as the first woman to serve as the Chair of the Business Roundtable </w:t>
      </w:r>
      <w:r>
        <w:rPr>
          <w:rFonts w:ascii="Arial" w:cs="Arial" w:eastAsia="Arial" w:hAnsi="Arial"/>
          <w:sz w:val="1"/>
          <w:szCs w:val="1"/>
          <w:color w:val="0071CE"/>
          <w:vertAlign w:val="subscript"/>
        </w:rPr>
        <w:drawing>
          <wp:inline distT="0" distB="0" distL="0" distR="0">
            <wp:extent cx="76200" cy="7620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1" w:lineRule="exact"/>
        <w:rPr>
          <w:rFonts w:ascii="Arial" w:cs="Arial" w:eastAsia="Arial" w:hAnsi="Arial"/>
          <w:sz w:val="36"/>
          <w:szCs w:val="36"/>
          <w:color w:val="0071CE"/>
          <w:vertAlign w:val="subscript"/>
        </w:rPr>
      </w:pPr>
    </w:p>
    <w:p>
      <w:pPr>
        <w:ind w:left="40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Customer Experience</w:t>
      </w:r>
    </w:p>
    <w:p>
      <w:pPr>
        <w:spacing w:after="0" w:line="34" w:lineRule="exact"/>
        <w:rPr>
          <w:rFonts w:ascii="Arial" w:cs="Arial" w:eastAsia="Arial" w:hAnsi="Arial"/>
          <w:sz w:val="36"/>
          <w:szCs w:val="36"/>
          <w:color w:val="0071CE"/>
          <w:vertAlign w:val="subscript"/>
        </w:rPr>
      </w:pPr>
    </w:p>
    <w:p>
      <w:pPr>
        <w:ind w:left="620" w:right="220" w:hanging="214"/>
        <w:spacing w:after="0" w:line="238"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 Introduced Ultium Charge 360, a holistic charging approach integrating charging networks, GM</w:t>
      </w:r>
      <w:r>
        <w:rPr>
          <w:rFonts w:ascii="Arial" w:cs="Arial" w:eastAsia="Arial" w:hAnsi="Arial"/>
          <w:sz w:val="23"/>
          <w:szCs w:val="23"/>
          <w:color w:val="00C1DE"/>
        </w:rPr>
        <w:t xml:space="preserve"> </w:t>
      </w:r>
      <w:r>
        <w:rPr>
          <w:rFonts w:ascii="Arial" w:cs="Arial" w:eastAsia="Arial" w:hAnsi="Arial"/>
          <w:sz w:val="14"/>
          <w:szCs w:val="14"/>
          <w:color w:val="3E3935"/>
        </w:rPr>
        <w:t xml:space="preserve">vehicle mobile apps, and other products and services, to simplify and improve GM EV owners’ overall charging experience </w:t>
      </w:r>
      <w:r>
        <w:rPr>
          <w:rFonts w:ascii="Arial" w:cs="Arial" w:eastAsia="Arial" w:hAnsi="Arial"/>
          <w:sz w:val="1"/>
          <w:szCs w:val="1"/>
          <w:color w:val="0071CE"/>
          <w:vertAlign w:val="subscript"/>
        </w:rPr>
        <w:drawing>
          <wp:inline distT="0" distB="0" distL="0" distR="0">
            <wp:extent cx="76200" cy="7620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194"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Ultifi, an end-to-end software platform designed to unlock new vehicle experiences and</w:t>
      </w:r>
      <w:r>
        <w:rPr>
          <w:rFonts w:ascii="Arial" w:cs="Arial" w:eastAsia="Arial" w:hAnsi="Arial"/>
          <w:sz w:val="23"/>
          <w:szCs w:val="23"/>
          <w:color w:val="00C1DE"/>
        </w:rPr>
        <w:t xml:space="preserve"> </w:t>
      </w:r>
      <w:r>
        <w:rPr>
          <w:rFonts w:ascii="Arial" w:cs="Arial" w:eastAsia="Arial" w:hAnsi="Arial"/>
          <w:sz w:val="14"/>
          <w:szCs w:val="14"/>
          <w:color w:val="3E3935"/>
        </w:rPr>
        <w:t>connect customers’ digital lives</w:t>
      </w:r>
    </w:p>
    <w:p>
      <w:pPr>
        <w:ind w:left="620" w:right="200" w:hanging="214"/>
        <w:spacing w:after="0" w:line="194" w:lineRule="auto"/>
        <w:rPr>
          <w:rFonts w:ascii="Arial" w:cs="Arial" w:eastAsia="Arial" w:hAnsi="Arial"/>
          <w:sz w:val="36"/>
          <w:szCs w:val="36"/>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 Launched OnStar Insurance, one of the fastest nationwide rollouts of an auto insurance product in the</w:t>
      </w:r>
      <w:r>
        <w:rPr>
          <w:rFonts w:ascii="Arial" w:cs="Arial" w:eastAsia="Arial" w:hAnsi="Arial"/>
          <w:sz w:val="23"/>
          <w:szCs w:val="23"/>
          <w:color w:val="00C1DE"/>
        </w:rPr>
        <w:t xml:space="preserve"> </w:t>
      </w:r>
      <w:r>
        <w:rPr>
          <w:rFonts w:ascii="Arial" w:cs="Arial" w:eastAsia="Arial" w:hAnsi="Arial"/>
          <w:sz w:val="14"/>
          <w:szCs w:val="14"/>
          <w:color w:val="3E3935"/>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-4461510</wp:posOffset>
            </wp:positionV>
            <wp:extent cx="4500880" cy="45097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500880" cy="4509770"/>
                    </a:xfrm>
                    <a:prstGeom prst="rect">
                      <a:avLst/>
                    </a:prstGeom>
                    <a:noFill/>
                  </pic:spPr>
                </pic:pic>
              </a:graphicData>
            </a:graphic>
          </wp:anchor>
        </w:drawing>
      </w:r>
    </w:p>
    <w:p>
      <w:pPr>
        <w:spacing w:after="0" w:line="148"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2021, awarded an annual LTIP grant of $15.75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E3935"/>
        </w:rPr>
        <w:t>Total awarded compensation for 2021,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45008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1500" w:type="dxa"/>
            <w:vAlign w:val="bottom"/>
            <w:tcBorders>
              <w:bottom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bottom w:val="single" w:sz="8" w:color="00C1DE"/>
            </w:tcBorders>
          </w:tcPr>
          <w:p>
            <w:pPr>
              <w:ind w:left="400"/>
              <w:spacing w:after="0"/>
              <w:rPr>
                <w:sz w:val="20"/>
                <w:szCs w:val="20"/>
                <w:color w:val="auto"/>
              </w:rPr>
            </w:pPr>
            <w:r>
              <w:rPr>
                <w:rFonts w:ascii="Arial" w:cs="Arial" w:eastAsia="Arial" w:hAnsi="Arial"/>
                <w:sz w:val="16"/>
                <w:szCs w:val="16"/>
                <w:b w:val="1"/>
                <w:bCs w:val="1"/>
                <w:color w:val="00C1DE"/>
              </w:rPr>
              <w:t>Majority of Pay Is At-Risk</w:t>
            </w:r>
          </w:p>
        </w:tc>
        <w:tc>
          <w:tcPr>
            <w:tcW w:w="178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1"/>
        </w:trPr>
        <w:tc>
          <w:tcPr>
            <w:tcW w:w="150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400"/>
              <w:spacing w:after="0"/>
              <w:rPr>
                <w:sz w:val="20"/>
                <w:szCs w:val="20"/>
                <w:color w:val="auto"/>
              </w:rPr>
            </w:pPr>
            <w:r>
              <w:rPr>
                <w:rFonts w:ascii="Arial" w:cs="Arial" w:eastAsia="Arial" w:hAnsi="Arial"/>
                <w:sz w:val="16"/>
                <w:szCs w:val="16"/>
                <w:color w:val="3E3935"/>
              </w:rPr>
              <w:t>Only Fixed Pay Element</w:t>
            </w:r>
          </w:p>
        </w:tc>
        <w:tc>
          <w:tcPr>
            <w:tcW w:w="1780" w:type="dxa"/>
            <w:vAlign w:val="bottom"/>
          </w:tcPr>
          <w:p>
            <w:pPr>
              <w:jc w:val="right"/>
              <w:spacing w:after="0"/>
              <w:rPr>
                <w:sz w:val="20"/>
                <w:szCs w:val="20"/>
                <w:color w:val="auto"/>
              </w:rPr>
            </w:pPr>
            <w:r>
              <w:rPr>
                <w:rFonts w:ascii="Arial" w:cs="Arial" w:eastAsia="Arial" w:hAnsi="Arial"/>
                <w:sz w:val="16"/>
                <w:szCs w:val="16"/>
                <w:color w:val="3E3935"/>
              </w:rPr>
              <w:t>$2,100,000</w:t>
            </w:r>
          </w:p>
        </w:tc>
      </w:tr>
      <w:tr>
        <w:trPr>
          <w:trHeight w:val="44"/>
        </w:trPr>
        <w:tc>
          <w:tcPr>
            <w:tcW w:w="150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57"/>
        </w:trPr>
        <w:tc>
          <w:tcPr>
            <w:tcW w:w="150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400"/>
              <w:spacing w:after="0"/>
              <w:rPr>
                <w:sz w:val="20"/>
                <w:szCs w:val="20"/>
                <w:color w:val="auto"/>
              </w:rPr>
            </w:pPr>
            <w:r>
              <w:rPr>
                <w:rFonts w:ascii="Arial" w:cs="Arial" w:eastAsia="Arial" w:hAnsi="Arial"/>
                <w:sz w:val="16"/>
                <w:szCs w:val="16"/>
                <w:color w:val="3E3935"/>
              </w:rPr>
              <w:t>Performance to Metrics</w:t>
            </w:r>
          </w:p>
        </w:tc>
        <w:tc>
          <w:tcPr>
            <w:tcW w:w="1780" w:type="dxa"/>
            <w:vAlign w:val="bottom"/>
          </w:tcPr>
          <w:p>
            <w:pPr>
              <w:jc w:val="right"/>
              <w:spacing w:after="0"/>
              <w:rPr>
                <w:sz w:val="20"/>
                <w:szCs w:val="20"/>
                <w:color w:val="auto"/>
              </w:rPr>
            </w:pPr>
            <w:r>
              <w:rPr>
                <w:rFonts w:ascii="Arial" w:cs="Arial" w:eastAsia="Arial" w:hAnsi="Arial"/>
                <w:sz w:val="16"/>
                <w:szCs w:val="16"/>
                <w:color w:val="3E3935"/>
              </w:rPr>
              <w:t>$7,644,000</w:t>
            </w:r>
          </w:p>
        </w:tc>
      </w:tr>
      <w:tr>
        <w:trPr>
          <w:trHeight w:val="44"/>
        </w:trPr>
        <w:tc>
          <w:tcPr>
            <w:tcW w:w="150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301"/>
        </w:trPr>
        <w:tc>
          <w:tcPr>
            <w:tcW w:w="1500" w:type="dxa"/>
            <w:vAlign w:val="bottom"/>
            <w:tcBorders>
              <w:bottom w:val="single" w:sz="8" w:color="3E3935"/>
            </w:tcBorders>
          </w:tcPr>
          <w:p>
            <w:pPr>
              <w:ind w:left="100"/>
              <w:spacing w:after="0" w:line="301" w:lineRule="exact"/>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400"/>
              <w:spacing w:after="0"/>
              <w:rPr>
                <w:sz w:val="20"/>
                <w:szCs w:val="20"/>
                <w:color w:val="auto"/>
              </w:rPr>
            </w:pPr>
            <w:r>
              <w:rPr>
                <w:rFonts w:ascii="Arial" w:cs="Arial" w:eastAsia="Arial" w:hAnsi="Arial"/>
                <w:sz w:val="16"/>
                <w:szCs w:val="16"/>
                <w:color w:val="3E3935"/>
              </w:rPr>
              <w:t>Performance to Metrics and Stock Price</w:t>
            </w:r>
          </w:p>
        </w:tc>
        <w:tc>
          <w:tcPr>
            <w:tcW w:w="17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$14,582,198</w:t>
            </w:r>
          </w:p>
        </w:tc>
      </w:tr>
      <w:tr>
        <w:trPr>
          <w:trHeight w:val="257"/>
        </w:trPr>
        <w:tc>
          <w:tcPr>
            <w:tcW w:w="150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400"/>
              <w:spacing w:after="0"/>
              <w:rPr>
                <w:sz w:val="20"/>
                <w:szCs w:val="20"/>
                <w:color w:val="auto"/>
              </w:rPr>
            </w:pPr>
            <w:r>
              <w:rPr>
                <w:rFonts w:ascii="Arial" w:cs="Arial" w:eastAsia="Arial" w:hAnsi="Arial"/>
                <w:sz w:val="16"/>
                <w:szCs w:val="16"/>
                <w:color w:val="3E3935"/>
              </w:rPr>
              <w:t>Performance to Stock Price</w:t>
            </w:r>
          </w:p>
        </w:tc>
        <w:tc>
          <w:tcPr>
            <w:tcW w:w="1780" w:type="dxa"/>
            <w:vAlign w:val="bottom"/>
          </w:tcPr>
          <w:p>
            <w:pPr>
              <w:jc w:val="right"/>
              <w:spacing w:after="0"/>
              <w:rPr>
                <w:sz w:val="20"/>
                <w:szCs w:val="20"/>
                <w:color w:val="auto"/>
              </w:rPr>
            </w:pPr>
            <w:r>
              <w:rPr>
                <w:rFonts w:ascii="Arial" w:cs="Arial" w:eastAsia="Arial" w:hAnsi="Arial"/>
                <w:sz w:val="16"/>
                <w:szCs w:val="16"/>
                <w:color w:val="3E3935"/>
              </w:rPr>
              <w:t>$3,937,507</w:t>
            </w:r>
          </w:p>
        </w:tc>
      </w:tr>
      <w:tr>
        <w:trPr>
          <w:trHeight w:val="44"/>
        </w:trPr>
        <w:tc>
          <w:tcPr>
            <w:tcW w:w="150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67"/>
        </w:trPr>
        <w:tc>
          <w:tcPr>
            <w:tcW w:w="150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71CE"/>
              </w:rPr>
              <w:t>$28,263,705</w:t>
            </w:r>
          </w:p>
        </w:tc>
      </w:tr>
      <w:tr>
        <w:trPr>
          <w:trHeight w:val="34"/>
        </w:trPr>
        <w:tc>
          <w:tcPr>
            <w:tcW w:w="1500" w:type="dxa"/>
            <w:vAlign w:val="bottom"/>
            <w:tcBorders>
              <w:bottom w:val="single" w:sz="8" w:color="0071CE"/>
            </w:tcBorders>
          </w:tcPr>
          <w:p>
            <w:pPr>
              <w:spacing w:after="0"/>
              <w:rPr>
                <w:sz w:val="2"/>
                <w:szCs w:val="2"/>
                <w:color w:val="auto"/>
              </w:rPr>
            </w:pPr>
          </w:p>
        </w:tc>
        <w:tc>
          <w:tcPr>
            <w:tcW w:w="3820" w:type="dxa"/>
            <w:vAlign w:val="bottom"/>
            <w:tcBorders>
              <w:bottom w:val="single" w:sz="8" w:color="0071CE"/>
            </w:tcBorders>
          </w:tcPr>
          <w:p>
            <w:pPr>
              <w:spacing w:after="0"/>
              <w:rPr>
                <w:sz w:val="2"/>
                <w:szCs w:val="2"/>
                <w:color w:val="auto"/>
              </w:rPr>
            </w:pPr>
          </w:p>
        </w:tc>
        <w:tc>
          <w:tcPr>
            <w:tcW w:w="1780" w:type="dxa"/>
            <w:vAlign w:val="bottom"/>
            <w:tcBorders>
              <w:bottom w:val="single" w:sz="8" w:color="0071CE"/>
            </w:tcBorders>
          </w:tcPr>
          <w:p>
            <w:pPr>
              <w:spacing w:after="0"/>
              <w:rPr>
                <w:sz w:val="2"/>
                <w:szCs w:val="2"/>
                <w:color w:val="auto"/>
              </w:rPr>
            </w:pPr>
          </w:p>
        </w:tc>
      </w:tr>
    </w:tbl>
    <w:p>
      <w:pPr>
        <w:spacing w:after="0" w:line="73" w:lineRule="exact"/>
        <w:rPr>
          <w:sz w:val="20"/>
          <w:szCs w:val="20"/>
          <w:color w:val="auto"/>
        </w:rPr>
      </w:pPr>
    </w:p>
    <w:p>
      <w:pPr>
        <w:ind w:left="440" w:hanging="273"/>
        <w:spacing w:after="0" w:line="278" w:lineRule="auto"/>
        <w:tabs>
          <w:tab w:leader="none" w:pos="440" w:val="left"/>
        </w:tabs>
        <w:numPr>
          <w:ilvl w:val="0"/>
          <w:numId w:val="102"/>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149860</wp:posOffset>
            </wp:positionV>
            <wp:extent cx="5927725" cy="1016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-5233035</wp:posOffset>
            </wp:positionV>
            <wp:extent cx="1741170" cy="48406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41170"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00" w:lineRule="exact"/>
        <w:rPr>
          <w:sz w:val="20"/>
          <w:szCs w:val="20"/>
          <w:color w:val="auto"/>
        </w:rPr>
      </w:pPr>
    </w:p>
    <w:p>
      <w:pPr>
        <w:spacing w:after="0" w:line="350" w:lineRule="exact"/>
        <w:rPr>
          <w:sz w:val="20"/>
          <w:szCs w:val="20"/>
          <w:color w:val="auto"/>
        </w:rPr>
      </w:pPr>
    </w:p>
    <w:p>
      <w:pPr>
        <w:ind w:left="3020"/>
        <w:spacing w:after="0"/>
        <w:rPr>
          <w:sz w:val="20"/>
          <w:szCs w:val="20"/>
          <w:color w:val="auto"/>
        </w:rPr>
      </w:pPr>
      <w:r>
        <w:rPr>
          <w:rFonts w:ascii="Arial" w:cs="Arial" w:eastAsia="Arial" w:hAnsi="Arial"/>
          <w:sz w:val="14"/>
          <w:szCs w:val="14"/>
          <w:color w:val="0071CE"/>
        </w:rPr>
        <w:t>61</w:t>
      </w:r>
    </w:p>
    <w:p>
      <w:pPr>
        <w:sectPr>
          <w:pgSz w:w="11900" w:h="16838" w:orient="portrait"/>
          <w:cols w:equalWidth="0" w:num="2">
            <w:col w:w="7260" w:space="320"/>
            <w:col w:w="3500"/>
          </w:cols>
          <w:pgMar w:left="320" w:top="454" w:right="499" w:bottom="495"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52" w:lineRule="exact"/>
        <w:rPr>
          <w:sz w:val="20"/>
          <w:szCs w:val="20"/>
          <w:color w:val="auto"/>
        </w:rPr>
      </w:pPr>
    </w:p>
    <w:p>
      <w:pPr>
        <w:ind w:left="600" w:hanging="433"/>
        <w:spacing w:after="0"/>
        <w:tabs>
          <w:tab w:leader="none" w:pos="600" w:val="left"/>
        </w:tabs>
        <w:numPr>
          <w:ilvl w:val="0"/>
          <w:numId w:val="103"/>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Decisions for Paul A. Jacobson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3E3935"/>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450088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00880" cy="17145"/>
                    </a:xfrm>
                    <a:prstGeom prst="rect">
                      <a:avLst/>
                    </a:prstGeom>
                    <a:noFill/>
                  </pic:spPr>
                </pic:pic>
              </a:graphicData>
            </a:graphic>
          </wp:anchor>
        </w:drawing>
      </w:r>
    </w:p>
    <w:p>
      <w:pPr>
        <w:spacing w:after="0" w:line="10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3E3935"/>
        </w:rPr>
        <w:t>The Compensation Committee made the following pay decisions based on performance, competitive market data, and feedback from its independent compensation consultant and management:</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1CE"/>
        </w:rPr>
        <w:t xml:space="preserve">Base Salary </w:t>
      </w:r>
      <w:r>
        <w:rPr>
          <w:rFonts w:ascii="Arial" w:cs="Arial" w:eastAsia="Arial" w:hAnsi="Arial"/>
          <w:sz w:val="18"/>
          <w:szCs w:val="18"/>
          <w:color w:val="3E3935"/>
        </w:rPr>
        <w:t>– Held base salary at $1,000,000.</w:t>
      </w:r>
    </w:p>
    <w:p>
      <w:pPr>
        <w:spacing w:after="0" w:line="101" w:lineRule="exact"/>
        <w:rPr>
          <w:sz w:val="20"/>
          <w:szCs w:val="20"/>
          <w:color w:val="auto"/>
        </w:rPr>
      </w:pPr>
    </w:p>
    <w:p>
      <w:pPr>
        <w:jc w:val="both"/>
        <w:ind w:left="160"/>
        <w:spacing w:after="0"/>
        <w:rPr>
          <w:sz w:val="20"/>
          <w:szCs w:val="20"/>
          <w:color w:val="auto"/>
        </w:rPr>
      </w:pPr>
      <w:r>
        <w:rPr>
          <w:rFonts w:ascii="Arial" w:cs="Arial" w:eastAsia="Arial" w:hAnsi="Arial"/>
          <w:sz w:val="18"/>
          <w:szCs w:val="18"/>
          <w:b w:val="1"/>
          <w:bCs w:val="1"/>
          <w:color w:val="0071CE"/>
        </w:rPr>
        <w:t xml:space="preserve">Short-Term Incentive </w:t>
      </w:r>
      <w:r>
        <w:rPr>
          <w:rFonts w:ascii="Arial" w:cs="Arial" w:eastAsia="Arial" w:hAnsi="Arial"/>
          <w:sz w:val="18"/>
          <w:szCs w:val="18"/>
          <w:color w:val="3E3935"/>
        </w:rPr>
        <w:t>– In addition to the Company’s record EBIT-adjusted and strong</w:t>
      </w:r>
      <w:r>
        <w:rPr>
          <w:rFonts w:ascii="Arial" w:cs="Arial" w:eastAsia="Arial" w:hAnsi="Arial"/>
          <w:sz w:val="18"/>
          <w:szCs w:val="18"/>
          <w:b w:val="1"/>
          <w:bCs w:val="1"/>
          <w:color w:val="0071CE"/>
        </w:rPr>
        <w:t xml:space="preserve"> </w:t>
      </w:r>
      <w:r>
        <w:rPr>
          <w:rFonts w:ascii="Arial" w:cs="Arial" w:eastAsia="Arial" w:hAnsi="Arial"/>
          <w:sz w:val="18"/>
          <w:szCs w:val="18"/>
          <w:color w:val="3E3935"/>
        </w:rPr>
        <w:t>AAFCF performance (discussed on page 60 of this Proxy Statement), Mr. Jacobson was awarded 30 points out of a 25-point target and 50-point maximum for the strategic goals portion for the 2021 STIP performance year. In determining the number of points earned, the Committee considered these results for Mr. Jacobson:</w:t>
      </w:r>
    </w:p>
    <w:p>
      <w:pPr>
        <w:spacing w:after="0" w:line="59" w:lineRule="exact"/>
        <w:rPr>
          <w:sz w:val="20"/>
          <w:szCs w:val="20"/>
          <w:color w:val="auto"/>
        </w:rPr>
      </w:pPr>
    </w:p>
    <w:p>
      <w:pPr>
        <w:ind w:left="440" w:hanging="273"/>
        <w:spacing w:after="0"/>
        <w:tabs>
          <w:tab w:leader="none" w:pos="440" w:val="left"/>
        </w:tabs>
        <w:numPr>
          <w:ilvl w:val="0"/>
          <w:numId w:val="104"/>
        </w:numPr>
        <w:rPr>
          <w:rFonts w:ascii="Arial" w:cs="Arial" w:eastAsia="Arial" w:hAnsi="Arial"/>
          <w:sz w:val="23"/>
          <w:szCs w:val="23"/>
          <w:color w:val="0071CE"/>
        </w:rPr>
      </w:pPr>
      <w:r>
        <w:rPr>
          <w:rFonts w:ascii="Arial" w:cs="Arial" w:eastAsia="Arial" w:hAnsi="Arial"/>
          <w:sz w:val="18"/>
          <w:szCs w:val="18"/>
          <w:color w:val="3E3935"/>
        </w:rPr>
        <w:t>Accelerated our EV and AV investments by $8 billion;</w:t>
      </w:r>
    </w:p>
    <w:p>
      <w:pPr>
        <w:spacing w:after="0" w:line="50" w:lineRule="exact"/>
        <w:rPr>
          <w:rFonts w:ascii="Arial" w:cs="Arial" w:eastAsia="Arial" w:hAnsi="Arial"/>
          <w:sz w:val="23"/>
          <w:szCs w:val="23"/>
          <w:color w:val="0071CE"/>
        </w:rPr>
      </w:pPr>
    </w:p>
    <w:p>
      <w:pPr>
        <w:ind w:left="440" w:hanging="273"/>
        <w:spacing w:after="0" w:line="204" w:lineRule="auto"/>
        <w:tabs>
          <w:tab w:leader="none" w:pos="440" w:val="left"/>
        </w:tabs>
        <w:numPr>
          <w:ilvl w:val="0"/>
          <w:numId w:val="104"/>
        </w:numPr>
        <w:rPr>
          <w:rFonts w:ascii="Arial" w:cs="Arial" w:eastAsia="Arial" w:hAnsi="Arial"/>
          <w:sz w:val="23"/>
          <w:szCs w:val="23"/>
          <w:color w:val="0071CE"/>
        </w:rPr>
      </w:pPr>
      <w:r>
        <w:rPr>
          <w:rFonts w:ascii="Arial" w:cs="Arial" w:eastAsia="Arial" w:hAnsi="Arial"/>
          <w:sz w:val="18"/>
          <w:szCs w:val="18"/>
          <w:color w:val="3E3935"/>
        </w:rPr>
        <w:t>Achieved record GM Financial EBT-adjusted of $5.0 billion and $3.5 billion in dividends paid back to GM; and</w:t>
      </w:r>
    </w:p>
    <w:p>
      <w:pPr>
        <w:ind w:left="440" w:hanging="273"/>
        <w:spacing w:after="0"/>
        <w:tabs>
          <w:tab w:leader="none" w:pos="440" w:val="left"/>
        </w:tabs>
        <w:numPr>
          <w:ilvl w:val="0"/>
          <w:numId w:val="104"/>
        </w:numPr>
        <w:rPr>
          <w:rFonts w:ascii="Arial" w:cs="Arial" w:eastAsia="Arial" w:hAnsi="Arial"/>
          <w:sz w:val="22"/>
          <w:szCs w:val="22"/>
          <w:color w:val="0071CE"/>
        </w:rPr>
      </w:pPr>
      <w:r>
        <w:rPr>
          <w:rFonts w:ascii="Arial" w:cs="Arial" w:eastAsia="Arial" w:hAnsi="Arial"/>
          <w:sz w:val="17"/>
          <w:szCs w:val="17"/>
          <w:color w:val="3E3935"/>
        </w:rPr>
        <w:t>Increased</w:t>
      </w:r>
      <w:r>
        <w:rPr>
          <w:rFonts w:ascii="Arial" w:cs="Arial" w:eastAsia="Arial" w:hAnsi="Arial"/>
          <w:sz w:val="34"/>
          <w:szCs w:val="34"/>
          <w:color w:val="3E3935"/>
          <w:vertAlign w:val="subscript"/>
        </w:rPr>
        <w:t>below.</w:t>
      </w:r>
      <w:r>
        <w:rPr>
          <w:rFonts w:ascii="Arial" w:cs="Arial" w:eastAsia="Arial" w:hAnsi="Arial"/>
          <w:sz w:val="17"/>
          <w:szCs w:val="17"/>
          <w:color w:val="3E3935"/>
        </w:rPr>
        <w:t xml:space="preserve"> the diversity of the finance leadership team, as well as other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4500880" cy="35921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500880" cy="3592195"/>
                    </a:xfrm>
                    <a:prstGeom prst="rect">
                      <a:avLst/>
                    </a:prstGeom>
                    <a:noFill/>
                  </pic:spPr>
                </pic:pic>
              </a:graphicData>
            </a:graphic>
          </wp:anchor>
        </w:drawing>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3E3935"/>
        </w:rPr>
        <w:t>Our People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 Continued to prioritize our safety culture through multiple initiatives </w:t>
      </w:r>
      <w:r>
        <w:rPr>
          <w:sz w:val="1"/>
          <w:szCs w:val="1"/>
          <w:color w:val="auto"/>
        </w:rPr>
        <w:drawing>
          <wp:inline distT="0" distB="0" distL="0" distR="0">
            <wp:extent cx="76200" cy="7620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3E3935"/>
        </w:rPr>
        <w:t>Products, Software, and Services</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 Accelerated our EV investments to grow an all-electric portfolio that is unmatched in depth and range </w:t>
      </w:r>
      <w:r>
        <w:rPr>
          <w:sz w:val="1"/>
          <w:szCs w:val="1"/>
          <w:color w:val="auto"/>
        </w:rPr>
        <w:drawing>
          <wp:inline distT="0" distB="0" distL="0" distR="0">
            <wp:extent cx="76200" cy="7620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3E3935"/>
        </w:rPr>
        <w:t>Citizenship</w:t>
      </w:r>
    </w:p>
    <w:p>
      <w:pPr>
        <w:spacing w:after="0" w:line="4" w:lineRule="exact"/>
        <w:rPr>
          <w:sz w:val="20"/>
          <w:szCs w:val="20"/>
          <w:color w:val="auto"/>
        </w:rPr>
      </w:pPr>
    </w:p>
    <w:p>
      <w:pPr>
        <w:jc w:val="both"/>
        <w:ind w:left="620" w:right="220" w:hanging="213"/>
        <w:spacing w:after="0" w:line="204"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 Increased EV and AV investments from 2020 through 2025 to $35 billion to become the EV leader in</w:t>
      </w:r>
      <w:r>
        <w:rPr>
          <w:rFonts w:ascii="Arial" w:cs="Arial" w:eastAsia="Arial" w:hAnsi="Arial"/>
          <w:sz w:val="23"/>
          <w:szCs w:val="23"/>
          <w:color w:val="00C1DE"/>
        </w:rPr>
        <w:t xml:space="preserve"> </w:t>
      </w:r>
      <w:r>
        <w:rPr>
          <w:rFonts w:ascii="Arial" w:cs="Arial" w:eastAsia="Arial" w:hAnsi="Arial"/>
          <w:sz w:val="14"/>
          <w:szCs w:val="14"/>
          <w:color w:val="3E3935"/>
        </w:rPr>
        <w:t xml:space="preserve">North America, the global battery and fuel cell technology leader, and the first to safely commercialize self-driving technology </w:t>
      </w:r>
      <w:r>
        <w:rPr>
          <w:sz w:val="1"/>
          <w:szCs w:val="1"/>
          <w:color w:val="auto"/>
        </w:rPr>
        <w:drawing>
          <wp:inline distT="0" distB="0" distL="0" distR="0">
            <wp:extent cx="76200" cy="7620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 w:lineRule="exact"/>
        <w:rPr>
          <w:sz w:val="20"/>
          <w:szCs w:val="20"/>
          <w:color w:val="auto"/>
        </w:rPr>
      </w:pPr>
    </w:p>
    <w:p>
      <w:pPr>
        <w:jc w:val="both"/>
        <w:ind w:left="620" w:right="200" w:hanging="213"/>
        <w:spacing w:after="0" w:line="204"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 Joined 20 major corporations, as well as institutional investors, as a founding member of TPG Rise</w:t>
      </w:r>
      <w:r>
        <w:rPr>
          <w:rFonts w:ascii="Arial" w:cs="Arial" w:eastAsia="Arial" w:hAnsi="Arial"/>
          <w:sz w:val="23"/>
          <w:szCs w:val="23"/>
          <w:color w:val="00C1DE"/>
        </w:rPr>
        <w:t xml:space="preserve"> </w:t>
      </w:r>
      <w:r>
        <w:rPr>
          <w:rFonts w:ascii="Arial" w:cs="Arial" w:eastAsia="Arial" w:hAnsi="Arial"/>
          <w:sz w:val="14"/>
          <w:szCs w:val="14"/>
          <w:color w:val="3E3935"/>
        </w:rPr>
        <w:t xml:space="preserve">Climate in a first-of-its-kind coalition focused on climate-related investments in clean energy, enabling solutions, decarbonized transport, greening industrials, and agriculture and natural solutions </w:t>
      </w:r>
      <w:r>
        <w:rPr>
          <w:sz w:val="1"/>
          <w:szCs w:val="1"/>
          <w:color w:val="auto"/>
        </w:rPr>
        <w:drawing>
          <wp:inline distT="0" distB="0" distL="0" distR="0">
            <wp:extent cx="76200" cy="7620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 w:lineRule="exact"/>
        <w:rPr>
          <w:sz w:val="20"/>
          <w:szCs w:val="20"/>
          <w:color w:val="auto"/>
        </w:rPr>
      </w:pPr>
    </w:p>
    <w:p>
      <w:pPr>
        <w:ind w:left="400" w:right="1440"/>
        <w:spacing w:after="0" w:line="279"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 Recognized in the S&amp;P’s Sustainability Yearbook under a Gold Class Distinction </w:t>
      </w:r>
      <w:r>
        <w:rPr>
          <w:sz w:val="1"/>
          <w:szCs w:val="1"/>
          <w:color w:val="auto"/>
        </w:rPr>
        <w:drawing>
          <wp:inline distT="0" distB="0" distL="0" distR="0">
            <wp:extent cx="76200" cy="7620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4"/>
          <w:szCs w:val="14"/>
          <w:b w:val="1"/>
          <w:bCs w:val="1"/>
          <w:color w:val="3E3935"/>
        </w:rPr>
        <w:t xml:space="preserve"> Enterprise</w:t>
      </w:r>
    </w:p>
    <w:p>
      <w:pPr>
        <w:jc w:val="both"/>
        <w:ind w:left="620" w:right="200" w:hanging="213"/>
        <w:spacing w:after="0" w:line="241"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 Outlined growth strategy of how GM plans to double its annual revenue and expand margins to a</w:t>
      </w:r>
      <w:r>
        <w:rPr>
          <w:rFonts w:ascii="Arial" w:cs="Arial" w:eastAsia="Arial" w:hAnsi="Arial"/>
          <w:sz w:val="23"/>
          <w:szCs w:val="23"/>
          <w:color w:val="00C1DE"/>
        </w:rPr>
        <w:t xml:space="preserve"> </w:t>
      </w:r>
      <w:r>
        <w:rPr>
          <w:rFonts w:ascii="Arial" w:cs="Arial" w:eastAsia="Arial" w:hAnsi="Arial"/>
          <w:sz w:val="14"/>
          <w:szCs w:val="14"/>
          <w:color w:val="3E3935"/>
        </w:rPr>
        <w:t>range of 12 to 14 percent by 2030</w:t>
      </w:r>
    </w:p>
    <w:p>
      <w:pPr>
        <w:spacing w:after="0" w:line="1" w:lineRule="exact"/>
        <w:rPr>
          <w:sz w:val="20"/>
          <w:szCs w:val="20"/>
          <w:color w:val="auto"/>
        </w:rPr>
      </w:pPr>
    </w:p>
    <w:p>
      <w:pPr>
        <w:jc w:val="both"/>
        <w:ind w:left="620" w:right="200" w:hanging="213"/>
        <w:spacing w:after="0" w:line="241"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 Generated a record $10 billion in net income, $14.3 billion in EBIT-adjusted, EPS-diluted of $6.70,</w:t>
      </w:r>
      <w:r>
        <w:rPr>
          <w:rFonts w:ascii="Arial" w:cs="Arial" w:eastAsia="Arial" w:hAnsi="Arial"/>
          <w:sz w:val="23"/>
          <w:szCs w:val="23"/>
          <w:color w:val="00C1DE"/>
        </w:rPr>
        <w:t xml:space="preserve"> </w:t>
      </w:r>
      <w:r>
        <w:rPr>
          <w:rFonts w:ascii="Arial" w:cs="Arial" w:eastAsia="Arial" w:hAnsi="Arial"/>
          <w:sz w:val="14"/>
          <w:szCs w:val="14"/>
          <w:color w:val="3E3935"/>
        </w:rPr>
        <w:t>and EPS-diluted-adjusted of $7.07</w:t>
      </w:r>
    </w:p>
    <w:p>
      <w:pPr>
        <w:spacing w:after="0" w:line="1" w:lineRule="exact"/>
        <w:rPr>
          <w:sz w:val="20"/>
          <w:szCs w:val="20"/>
          <w:color w:val="auto"/>
        </w:rPr>
      </w:pPr>
    </w:p>
    <w:p>
      <w:pPr>
        <w:jc w:val="both"/>
        <w:ind w:left="620" w:right="200" w:hanging="213"/>
        <w:spacing w:after="0" w:line="213"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 Leveraged the strength of our balance sheet to increase equity investment in Cruise, acquiring</w:t>
      </w:r>
      <w:r>
        <w:rPr>
          <w:rFonts w:ascii="Arial" w:cs="Arial" w:eastAsia="Arial" w:hAnsi="Arial"/>
          <w:sz w:val="23"/>
          <w:szCs w:val="23"/>
          <w:color w:val="00C1DE"/>
        </w:rPr>
        <w:t xml:space="preserve"> </w:t>
      </w:r>
      <w:r>
        <w:rPr>
          <w:rFonts w:ascii="Arial" w:cs="Arial" w:eastAsia="Arial" w:hAnsi="Arial"/>
          <w:sz w:val="14"/>
          <w:szCs w:val="14"/>
          <w:color w:val="3E3935"/>
        </w:rPr>
        <w:t xml:space="preserve">SoftBank’s $2.1 billion ownership stake and making an additional $1.35 billion investment to advance our integrated AV strategy </w:t>
      </w:r>
      <w:r>
        <w:rPr>
          <w:sz w:val="1"/>
          <w:szCs w:val="1"/>
          <w:color w:val="auto"/>
        </w:rPr>
        <w:drawing>
          <wp:inline distT="0" distB="0" distL="0" distR="0">
            <wp:extent cx="76200" cy="7620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3E3935"/>
        </w:rPr>
        <w:t>Customer Experience</w:t>
      </w:r>
    </w:p>
    <w:p>
      <w:pPr>
        <w:spacing w:after="0" w:line="4" w:lineRule="exact"/>
        <w:rPr>
          <w:sz w:val="20"/>
          <w:szCs w:val="20"/>
          <w:color w:val="auto"/>
        </w:rPr>
      </w:pPr>
    </w:p>
    <w:p>
      <w:pPr>
        <w:jc w:val="both"/>
        <w:ind w:left="620" w:right="200" w:hanging="213"/>
        <w:spacing w:after="0"/>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 Partnered with cross-functional teams to develop new tools for dealers and customers to make</w:t>
      </w:r>
      <w:r>
        <w:rPr>
          <w:rFonts w:ascii="Arial" w:cs="Arial" w:eastAsia="Arial" w:hAnsi="Arial"/>
          <w:sz w:val="23"/>
          <w:szCs w:val="23"/>
          <w:color w:val="00C1DE"/>
        </w:rPr>
        <w:t xml:space="preserve"> </w:t>
      </w:r>
      <w:r>
        <w:rPr>
          <w:rFonts w:ascii="Arial" w:cs="Arial" w:eastAsia="Arial" w:hAnsi="Arial"/>
          <w:sz w:val="14"/>
          <w:szCs w:val="14"/>
          <w:color w:val="3E3935"/>
        </w:rPr>
        <w:t>vehicle ordering more efficient and expanded e-commerce opportunities in the used vehicle market with the launch of Car Bravo</w:t>
      </w:r>
    </w:p>
    <w:p>
      <w:pPr>
        <w:spacing w:after="0" w:line="2" w:lineRule="exact"/>
        <w:rPr>
          <w:sz w:val="20"/>
          <w:szCs w:val="20"/>
          <w:color w:val="auto"/>
        </w:rPr>
      </w:pPr>
    </w:p>
    <w:p>
      <w:pPr>
        <w:jc w:val="both"/>
        <w:ind w:left="620" w:right="200" w:hanging="213"/>
        <w:spacing w:after="0" w:line="280" w:lineRule="auto"/>
        <w:rPr>
          <w:sz w:val="20"/>
          <w:szCs w:val="20"/>
          <w:color w:val="auto"/>
        </w:rPr>
      </w:pPr>
      <w:r>
        <w:rPr>
          <w:rFonts w:ascii="Arial" w:cs="Arial" w:eastAsia="Arial" w:hAnsi="Arial"/>
          <w:sz w:val="23"/>
          <w:szCs w:val="23"/>
          <w:color w:val="00C1DE"/>
        </w:rPr>
        <w:t>•</w:t>
      </w:r>
      <w:r>
        <w:rPr>
          <w:rFonts w:ascii="Arial" w:cs="Arial" w:eastAsia="Arial" w:hAnsi="Arial"/>
          <w:sz w:val="14"/>
          <w:szCs w:val="14"/>
          <w:color w:val="3E3935"/>
        </w:rPr>
        <w:t xml:space="preserve">   Co-championed a project that identified $1.4B in direct material cost reduction opportunities, through</w:t>
      </w:r>
      <w:r>
        <w:rPr>
          <w:rFonts w:ascii="Arial" w:cs="Arial" w:eastAsia="Arial" w:hAnsi="Arial"/>
          <w:sz w:val="23"/>
          <w:szCs w:val="23"/>
          <w:color w:val="00C1DE"/>
        </w:rPr>
        <w:t xml:space="preserve"> </w:t>
      </w:r>
      <w:r>
        <w:rPr>
          <w:rFonts w:ascii="Arial" w:cs="Arial" w:eastAsia="Arial" w:hAnsi="Arial"/>
          <w:sz w:val="14"/>
          <w:szCs w:val="14"/>
          <w:color w:val="3E3935"/>
        </w:rPr>
        <w:t>the use of advanced data analytics</w:t>
      </w:r>
    </w:p>
    <w:p>
      <w:pPr>
        <w:spacing w:after="0" w:line="11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color w:val="0071CE"/>
        </w:rPr>
        <w:t xml:space="preserve">Long-Term Incentive </w:t>
      </w:r>
      <w:r>
        <w:rPr>
          <w:rFonts w:ascii="Arial" w:cs="Arial" w:eastAsia="Arial" w:hAnsi="Arial"/>
          <w:sz w:val="18"/>
          <w:szCs w:val="18"/>
          <w:color w:val="3E3935"/>
        </w:rPr>
        <w:t>– In February 2021, awarded an annual LTIP grant of $5.25 million,</w:t>
      </w:r>
      <w:r>
        <w:rPr>
          <w:rFonts w:ascii="Arial" w:cs="Arial" w:eastAsia="Arial" w:hAnsi="Arial"/>
          <w:sz w:val="18"/>
          <w:szCs w:val="18"/>
          <w:b w:val="1"/>
          <w:bCs w:val="1"/>
          <w:color w:val="0071CE"/>
        </w:rPr>
        <w:t xml:space="preserve"> </w:t>
      </w:r>
      <w:r>
        <w:rPr>
          <w:rFonts w:ascii="Arial" w:cs="Arial" w:eastAsia="Arial" w:hAnsi="Arial"/>
          <w:sz w:val="18"/>
          <w:szCs w:val="18"/>
          <w:color w:val="3E3935"/>
        </w:rPr>
        <w:t>consisting of 75 percent PSUs and 25 percent Stock Options.</w:t>
      </w:r>
    </w:p>
    <w:p>
      <w:pPr>
        <w:spacing w:after="0" w:line="5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3E3935"/>
        </w:rPr>
        <w:t>Total awarded compensation for 2021,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45008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1520" w:type="dxa"/>
            <w:vAlign w:val="bottom"/>
            <w:tcBorders>
              <w:bottom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00" w:type="dxa"/>
            <w:vAlign w:val="bottom"/>
            <w:tcBorders>
              <w:bottom w:val="single" w:sz="8" w:color="00C1DE"/>
            </w:tcBorders>
          </w:tcPr>
          <w:p>
            <w:pPr>
              <w:ind w:left="400"/>
              <w:spacing w:after="0"/>
              <w:rPr>
                <w:sz w:val="20"/>
                <w:szCs w:val="20"/>
                <w:color w:val="auto"/>
              </w:rPr>
            </w:pPr>
            <w:r>
              <w:rPr>
                <w:rFonts w:ascii="Arial" w:cs="Arial" w:eastAsia="Arial" w:hAnsi="Arial"/>
                <w:sz w:val="16"/>
                <w:szCs w:val="16"/>
                <w:b w:val="1"/>
                <w:bCs w:val="1"/>
                <w:color w:val="00C1DE"/>
              </w:rPr>
              <w:t>Majority of Pay Is At-Risk</w:t>
            </w:r>
          </w:p>
        </w:tc>
        <w:tc>
          <w:tcPr>
            <w:tcW w:w="178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1"/>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00" w:type="dxa"/>
            <w:vAlign w:val="bottom"/>
          </w:tcPr>
          <w:p>
            <w:pPr>
              <w:ind w:left="400"/>
              <w:spacing w:after="0"/>
              <w:rPr>
                <w:sz w:val="20"/>
                <w:szCs w:val="20"/>
                <w:color w:val="auto"/>
              </w:rPr>
            </w:pPr>
            <w:r>
              <w:rPr>
                <w:rFonts w:ascii="Arial" w:cs="Arial" w:eastAsia="Arial" w:hAnsi="Arial"/>
                <w:sz w:val="16"/>
                <w:szCs w:val="16"/>
                <w:color w:val="3E3935"/>
              </w:rPr>
              <w:t>Only Fixed Pay Element</w:t>
            </w:r>
          </w:p>
        </w:tc>
        <w:tc>
          <w:tcPr>
            <w:tcW w:w="1780" w:type="dxa"/>
            <w:vAlign w:val="bottom"/>
          </w:tcPr>
          <w:p>
            <w:pPr>
              <w:jc w:val="right"/>
              <w:spacing w:after="0"/>
              <w:rPr>
                <w:sz w:val="20"/>
                <w:szCs w:val="20"/>
                <w:color w:val="auto"/>
              </w:rPr>
            </w:pPr>
            <w:r>
              <w:rPr>
                <w:rFonts w:ascii="Arial" w:cs="Arial" w:eastAsia="Arial" w:hAnsi="Arial"/>
                <w:sz w:val="16"/>
                <w:szCs w:val="16"/>
                <w:color w:val="3E3935"/>
              </w:rPr>
              <w:t>$1,000,000</w:t>
            </w:r>
          </w:p>
        </w:tc>
      </w:tr>
      <w:tr>
        <w:trPr>
          <w:trHeight w:val="44"/>
        </w:trPr>
        <w:tc>
          <w:tcPr>
            <w:tcW w:w="1520" w:type="dxa"/>
            <w:vAlign w:val="bottom"/>
            <w:tcBorders>
              <w:bottom w:val="single" w:sz="8" w:color="3E3935"/>
            </w:tcBorders>
          </w:tcPr>
          <w:p>
            <w:pPr>
              <w:spacing w:after="0"/>
              <w:rPr>
                <w:sz w:val="3"/>
                <w:szCs w:val="3"/>
                <w:color w:val="auto"/>
              </w:rPr>
            </w:pPr>
          </w:p>
        </w:tc>
        <w:tc>
          <w:tcPr>
            <w:tcW w:w="380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57"/>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00" w:type="dxa"/>
            <w:vAlign w:val="bottom"/>
          </w:tcPr>
          <w:p>
            <w:pPr>
              <w:ind w:left="400"/>
              <w:spacing w:after="0"/>
              <w:rPr>
                <w:sz w:val="20"/>
                <w:szCs w:val="20"/>
                <w:color w:val="auto"/>
              </w:rPr>
            </w:pPr>
            <w:r>
              <w:rPr>
                <w:rFonts w:ascii="Arial" w:cs="Arial" w:eastAsia="Arial" w:hAnsi="Arial"/>
                <w:sz w:val="16"/>
                <w:szCs w:val="16"/>
                <w:color w:val="3E3935"/>
              </w:rPr>
              <w:t>Performance to Metrics</w:t>
            </w:r>
          </w:p>
        </w:tc>
        <w:tc>
          <w:tcPr>
            <w:tcW w:w="1780" w:type="dxa"/>
            <w:vAlign w:val="bottom"/>
          </w:tcPr>
          <w:p>
            <w:pPr>
              <w:jc w:val="right"/>
              <w:spacing w:after="0"/>
              <w:rPr>
                <w:sz w:val="20"/>
                <w:szCs w:val="20"/>
                <w:color w:val="auto"/>
              </w:rPr>
            </w:pPr>
            <w:r>
              <w:rPr>
                <w:rFonts w:ascii="Arial" w:cs="Arial" w:eastAsia="Arial" w:hAnsi="Arial"/>
                <w:sz w:val="16"/>
                <w:szCs w:val="16"/>
                <w:color w:val="3E3935"/>
              </w:rPr>
              <w:t>$2,250,000</w:t>
            </w:r>
          </w:p>
        </w:tc>
      </w:tr>
      <w:tr>
        <w:trPr>
          <w:trHeight w:val="44"/>
        </w:trPr>
        <w:tc>
          <w:tcPr>
            <w:tcW w:w="1520" w:type="dxa"/>
            <w:vAlign w:val="bottom"/>
            <w:tcBorders>
              <w:bottom w:val="single" w:sz="8" w:color="3E3935"/>
            </w:tcBorders>
          </w:tcPr>
          <w:p>
            <w:pPr>
              <w:spacing w:after="0"/>
              <w:rPr>
                <w:sz w:val="3"/>
                <w:szCs w:val="3"/>
                <w:color w:val="auto"/>
              </w:rPr>
            </w:pPr>
          </w:p>
        </w:tc>
        <w:tc>
          <w:tcPr>
            <w:tcW w:w="380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301"/>
        </w:trPr>
        <w:tc>
          <w:tcPr>
            <w:tcW w:w="1520" w:type="dxa"/>
            <w:vAlign w:val="bottom"/>
            <w:tcBorders>
              <w:bottom w:val="single" w:sz="8" w:color="3E3935"/>
            </w:tcBorders>
          </w:tcPr>
          <w:p>
            <w:pPr>
              <w:ind w:left="100"/>
              <w:spacing w:after="0" w:line="301" w:lineRule="exact"/>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00" w:type="dxa"/>
            <w:vAlign w:val="bottom"/>
            <w:tcBorders>
              <w:bottom w:val="single" w:sz="8" w:color="3E3935"/>
            </w:tcBorders>
          </w:tcPr>
          <w:p>
            <w:pPr>
              <w:ind w:left="400"/>
              <w:spacing w:after="0"/>
              <w:rPr>
                <w:sz w:val="20"/>
                <w:szCs w:val="20"/>
                <w:color w:val="auto"/>
              </w:rPr>
            </w:pPr>
            <w:r>
              <w:rPr>
                <w:rFonts w:ascii="Arial" w:cs="Arial" w:eastAsia="Arial" w:hAnsi="Arial"/>
                <w:sz w:val="16"/>
                <w:szCs w:val="16"/>
                <w:color w:val="3E3935"/>
              </w:rPr>
              <w:t>Performance to Metrics and Stock Price</w:t>
            </w:r>
          </w:p>
        </w:tc>
        <w:tc>
          <w:tcPr>
            <w:tcW w:w="17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$4,860,724</w:t>
            </w:r>
          </w:p>
        </w:tc>
      </w:tr>
      <w:tr>
        <w:trPr>
          <w:trHeight w:val="257"/>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00" w:type="dxa"/>
            <w:vAlign w:val="bottom"/>
          </w:tcPr>
          <w:p>
            <w:pPr>
              <w:ind w:left="400"/>
              <w:spacing w:after="0"/>
              <w:rPr>
                <w:sz w:val="20"/>
                <w:szCs w:val="20"/>
                <w:color w:val="auto"/>
              </w:rPr>
            </w:pPr>
            <w:r>
              <w:rPr>
                <w:rFonts w:ascii="Arial" w:cs="Arial" w:eastAsia="Arial" w:hAnsi="Arial"/>
                <w:sz w:val="16"/>
                <w:szCs w:val="16"/>
                <w:color w:val="3E3935"/>
              </w:rPr>
              <w:t>Performance to Stock Price</w:t>
            </w:r>
          </w:p>
        </w:tc>
        <w:tc>
          <w:tcPr>
            <w:tcW w:w="1780" w:type="dxa"/>
            <w:vAlign w:val="bottom"/>
          </w:tcPr>
          <w:p>
            <w:pPr>
              <w:jc w:val="right"/>
              <w:spacing w:after="0"/>
              <w:rPr>
                <w:sz w:val="20"/>
                <w:szCs w:val="20"/>
                <w:color w:val="auto"/>
              </w:rPr>
            </w:pPr>
            <w:r>
              <w:rPr>
                <w:rFonts w:ascii="Arial" w:cs="Arial" w:eastAsia="Arial" w:hAnsi="Arial"/>
                <w:sz w:val="16"/>
                <w:szCs w:val="16"/>
                <w:color w:val="3E3935"/>
              </w:rPr>
              <w:t>$1,312,502</w:t>
            </w:r>
          </w:p>
        </w:tc>
      </w:tr>
      <w:tr>
        <w:trPr>
          <w:trHeight w:val="44"/>
        </w:trPr>
        <w:tc>
          <w:tcPr>
            <w:tcW w:w="1520" w:type="dxa"/>
            <w:vAlign w:val="bottom"/>
            <w:tcBorders>
              <w:bottom w:val="single" w:sz="8" w:color="3E3935"/>
            </w:tcBorders>
          </w:tcPr>
          <w:p>
            <w:pPr>
              <w:spacing w:after="0"/>
              <w:rPr>
                <w:sz w:val="3"/>
                <w:szCs w:val="3"/>
                <w:color w:val="auto"/>
              </w:rPr>
            </w:pPr>
          </w:p>
        </w:tc>
        <w:tc>
          <w:tcPr>
            <w:tcW w:w="380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67"/>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71CE"/>
              </w:rPr>
              <w:t>$9,423,226</w:t>
            </w:r>
          </w:p>
        </w:tc>
      </w:tr>
      <w:tr>
        <w:trPr>
          <w:trHeight w:val="34"/>
        </w:trPr>
        <w:tc>
          <w:tcPr>
            <w:tcW w:w="1520" w:type="dxa"/>
            <w:vAlign w:val="bottom"/>
            <w:tcBorders>
              <w:bottom w:val="single" w:sz="8" w:color="0071CE"/>
            </w:tcBorders>
          </w:tcPr>
          <w:p>
            <w:pPr>
              <w:spacing w:after="0"/>
              <w:rPr>
                <w:sz w:val="2"/>
                <w:szCs w:val="2"/>
                <w:color w:val="auto"/>
              </w:rPr>
            </w:pPr>
          </w:p>
        </w:tc>
        <w:tc>
          <w:tcPr>
            <w:tcW w:w="3800" w:type="dxa"/>
            <w:vAlign w:val="bottom"/>
            <w:tcBorders>
              <w:bottom w:val="single" w:sz="8" w:color="0071CE"/>
            </w:tcBorders>
          </w:tcPr>
          <w:p>
            <w:pPr>
              <w:spacing w:after="0"/>
              <w:rPr>
                <w:sz w:val="2"/>
                <w:szCs w:val="2"/>
                <w:color w:val="auto"/>
              </w:rPr>
            </w:pPr>
          </w:p>
        </w:tc>
        <w:tc>
          <w:tcPr>
            <w:tcW w:w="1780" w:type="dxa"/>
            <w:vAlign w:val="bottom"/>
            <w:tcBorders>
              <w:bottom w:val="single" w:sz="8" w:color="0071CE"/>
            </w:tcBorders>
          </w:tcPr>
          <w:p>
            <w:pPr>
              <w:spacing w:after="0"/>
              <w:rPr>
                <w:sz w:val="2"/>
                <w:szCs w:val="2"/>
                <w:color w:val="auto"/>
              </w:rPr>
            </w:pPr>
          </w:p>
        </w:tc>
      </w:tr>
    </w:tbl>
    <w:p>
      <w:pPr>
        <w:spacing w:after="0" w:line="73" w:lineRule="exact"/>
        <w:rPr>
          <w:sz w:val="20"/>
          <w:szCs w:val="20"/>
          <w:color w:val="auto"/>
        </w:rPr>
      </w:pPr>
    </w:p>
    <w:p>
      <w:pPr>
        <w:ind w:left="440" w:hanging="273"/>
        <w:spacing w:after="0" w:line="278" w:lineRule="auto"/>
        <w:tabs>
          <w:tab w:leader="none" w:pos="440" w:val="left"/>
        </w:tabs>
        <w:numPr>
          <w:ilvl w:val="0"/>
          <w:numId w:val="105"/>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347"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0071C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-5207635</wp:posOffset>
            </wp:positionV>
            <wp:extent cx="1681480" cy="48152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681480" cy="481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ectPr>
          <w:pgSz w:w="11900" w:h="16838" w:orient="portrait"/>
          <w:cols w:equalWidth="0" w:num="2">
            <w:col w:w="7260" w:space="320"/>
            <w:col w:w="3500"/>
          </w:cols>
          <w:pgMar w:left="320" w:top="454"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52" w:lineRule="exact"/>
        <w:rPr>
          <w:sz w:val="20"/>
          <w:szCs w:val="20"/>
          <w:color w:val="auto"/>
        </w:rPr>
      </w:pPr>
    </w:p>
    <w:p>
      <w:pPr>
        <w:ind w:left="600" w:hanging="433"/>
        <w:spacing w:after="0"/>
        <w:tabs>
          <w:tab w:leader="none" w:pos="600" w:val="left"/>
        </w:tabs>
        <w:numPr>
          <w:ilvl w:val="0"/>
          <w:numId w:val="106"/>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Decisions for Mark L. Reuss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3E3935"/>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450088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500880" cy="17145"/>
                    </a:xfrm>
                    <a:prstGeom prst="rect">
                      <a:avLst/>
                    </a:prstGeom>
                    <a:noFill/>
                  </pic:spPr>
                </pic:pic>
              </a:graphicData>
            </a:graphic>
          </wp:anchor>
        </w:drawing>
      </w:r>
    </w:p>
    <w:p>
      <w:pPr>
        <w:spacing w:after="0" w:line="107"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Held base salary at $1,300,000.</w:t>
      </w:r>
    </w:p>
    <w:p>
      <w:pPr>
        <w:spacing w:after="0" w:line="11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In addition to the Company’s record EBIT-adjusted and strong AAFCF</w:t>
      </w:r>
      <w:r>
        <w:rPr>
          <w:rFonts w:ascii="Arial" w:cs="Arial" w:eastAsia="Arial" w:hAnsi="Arial"/>
          <w:sz w:val="16"/>
          <w:szCs w:val="16"/>
          <w:b w:val="1"/>
          <w:bCs w:val="1"/>
          <w:color w:val="0071CE"/>
        </w:rPr>
        <w:t xml:space="preserve"> </w:t>
      </w:r>
      <w:r>
        <w:rPr>
          <w:rFonts w:ascii="Arial" w:cs="Arial" w:eastAsia="Arial" w:hAnsi="Arial"/>
          <w:sz w:val="16"/>
          <w:szCs w:val="16"/>
          <w:color w:val="3E3935"/>
        </w:rPr>
        <w:t>performance (discussed on page 60 of this Proxy Statement), Mr. Reuss was awarded 37 points out of a 25-point target and 50-point maximum for the strategic goals portion for the 2021 STIP performance year. In determining the number of points earned, the Committee considered these results for Mr. Reuss:</w:t>
      </w:r>
    </w:p>
    <w:p>
      <w:pPr>
        <w:spacing w:after="0" w:line="98" w:lineRule="exact"/>
        <w:rPr>
          <w:sz w:val="20"/>
          <w:szCs w:val="20"/>
          <w:color w:val="auto"/>
        </w:rPr>
      </w:pPr>
    </w:p>
    <w:p>
      <w:pPr>
        <w:ind w:left="400" w:right="20" w:hanging="233"/>
        <w:spacing w:after="0" w:line="181" w:lineRule="auto"/>
        <w:tabs>
          <w:tab w:leader="none" w:pos="400" w:val="left"/>
        </w:tabs>
        <w:numPr>
          <w:ilvl w:val="0"/>
          <w:numId w:val="107"/>
        </w:numPr>
        <w:rPr>
          <w:rFonts w:ascii="Arial" w:cs="Arial" w:eastAsia="Arial" w:hAnsi="Arial"/>
          <w:sz w:val="31"/>
          <w:szCs w:val="31"/>
          <w:color w:val="0071CE"/>
          <w:vertAlign w:val="subscript"/>
        </w:rPr>
      </w:pPr>
      <w:r>
        <w:rPr>
          <w:rFonts w:ascii="Arial" w:cs="Arial" w:eastAsia="Arial" w:hAnsi="Arial"/>
          <w:sz w:val="14"/>
          <w:szCs w:val="14"/>
          <w:color w:val="3E3935"/>
        </w:rPr>
        <w:t>Opened Factory ZERO in Detroit-Hamtramck, our first plant dedicated to Ultium products, including the GMC HUMMER EV Pickup;</w:t>
      </w:r>
    </w:p>
    <w:p>
      <w:pPr>
        <w:ind w:left="400" w:right="20" w:hanging="233"/>
        <w:spacing w:after="0"/>
        <w:tabs>
          <w:tab w:leader="none" w:pos="400" w:val="left"/>
        </w:tabs>
        <w:numPr>
          <w:ilvl w:val="0"/>
          <w:numId w:val="107"/>
        </w:numPr>
        <w:rPr>
          <w:rFonts w:ascii="Arial" w:cs="Arial" w:eastAsia="Arial" w:hAnsi="Arial"/>
          <w:sz w:val="30"/>
          <w:szCs w:val="30"/>
          <w:color w:val="0071CE"/>
          <w:vertAlign w:val="subscript"/>
        </w:rPr>
      </w:pPr>
      <w:r>
        <w:rPr>
          <w:rFonts w:ascii="Arial" w:cs="Arial" w:eastAsia="Arial" w:hAnsi="Arial"/>
          <w:sz w:val="13"/>
          <w:szCs w:val="13"/>
          <w:color w:val="3E3935"/>
        </w:rPr>
        <w:t>Launched and refreshed 15 vehicles globally, including the BrightDrop Zevo 600, amid a challenging environment; and</w:t>
      </w:r>
    </w:p>
    <w:p>
      <w:pPr>
        <w:spacing w:after="0" w:line="29" w:lineRule="exact"/>
        <w:rPr>
          <w:rFonts w:ascii="Arial" w:cs="Arial" w:eastAsia="Arial" w:hAnsi="Arial"/>
          <w:sz w:val="30"/>
          <w:szCs w:val="30"/>
          <w:color w:val="0071CE"/>
          <w:vertAlign w:val="subscript"/>
        </w:rPr>
      </w:pPr>
    </w:p>
    <w:p>
      <w:pPr>
        <w:ind w:left="400" w:hanging="233"/>
        <w:spacing w:after="0" w:line="194" w:lineRule="auto"/>
        <w:tabs>
          <w:tab w:leader="none" w:pos="400" w:val="left"/>
        </w:tabs>
        <w:numPr>
          <w:ilvl w:val="0"/>
          <w:numId w:val="107"/>
        </w:numPr>
        <w:rPr>
          <w:rFonts w:ascii="Arial" w:cs="Arial" w:eastAsia="Arial" w:hAnsi="Arial"/>
          <w:sz w:val="21"/>
          <w:szCs w:val="21"/>
          <w:color w:val="0071CE"/>
          <w:vertAlign w:val="subscript"/>
        </w:rPr>
      </w:pPr>
      <w:r>
        <w:rPr>
          <w:rFonts w:ascii="Arial" w:cs="Arial" w:eastAsia="Arial" w:hAnsi="Arial"/>
          <w:sz w:val="12"/>
          <w:szCs w:val="12"/>
          <w:color w:val="3E3935"/>
        </w:rPr>
        <w:t>Improved key drivers of customer experiences, as well as other highlights below.</w:t>
      </w:r>
    </w:p>
    <w:p>
      <w:pPr>
        <w:spacing w:after="0" w:line="221" w:lineRule="exact"/>
        <w:rPr>
          <w:rFonts w:ascii="Arial" w:cs="Arial" w:eastAsia="Arial" w:hAnsi="Arial"/>
          <w:sz w:val="21"/>
          <w:szCs w:val="21"/>
          <w:color w:val="0071CE"/>
          <w:vertAlign w:val="subscript"/>
        </w:rPr>
      </w:pPr>
    </w:p>
    <w:p>
      <w:pPr>
        <w:ind w:left="400"/>
        <w:spacing w:after="0"/>
        <w:rPr>
          <w:rFonts w:ascii="Arial" w:cs="Arial" w:eastAsia="Arial" w:hAnsi="Arial"/>
          <w:sz w:val="21"/>
          <w:szCs w:val="21"/>
          <w:color w:val="0071CE"/>
          <w:vertAlign w:val="subscript"/>
        </w:rPr>
      </w:pPr>
      <w:r>
        <w:rPr>
          <w:rFonts w:ascii="Arial" w:cs="Arial" w:eastAsia="Arial" w:hAnsi="Arial"/>
          <w:sz w:val="14"/>
          <w:szCs w:val="14"/>
          <w:b w:val="1"/>
          <w:bCs w:val="1"/>
          <w:color w:val="3E3935"/>
        </w:rPr>
        <w:t>Our People</w:t>
      </w:r>
    </w:p>
    <w:p>
      <w:pPr>
        <w:spacing w:after="0" w:line="34" w:lineRule="exact"/>
        <w:rPr>
          <w:rFonts w:ascii="Arial" w:cs="Arial" w:eastAsia="Arial" w:hAnsi="Arial"/>
          <w:sz w:val="21"/>
          <w:szCs w:val="21"/>
          <w:color w:val="0071CE"/>
          <w:vertAlign w:val="subscript"/>
        </w:rPr>
      </w:pPr>
    </w:p>
    <w:p>
      <w:pPr>
        <w:ind w:left="400"/>
        <w:spacing w:after="0" w:line="237"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 Continued to prioritize our safety culture through multiple initiatives </w:t>
      </w:r>
      <w:r>
        <w:rPr>
          <w:rFonts w:ascii="Arial" w:cs="Arial" w:eastAsia="Arial" w:hAnsi="Arial"/>
          <w:sz w:val="1"/>
          <w:szCs w:val="1"/>
          <w:color w:val="0071CE"/>
          <w:vertAlign w:val="subscript"/>
        </w:rPr>
        <w:drawing>
          <wp:inline distT="0" distB="0" distL="0" distR="0">
            <wp:extent cx="76200" cy="7620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200"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 Introduced Work Appropriately, a new approach to the future of work that allows employees to work</w:t>
      </w:r>
      <w:r>
        <w:rPr>
          <w:rFonts w:ascii="Arial" w:cs="Arial" w:eastAsia="Arial" w:hAnsi="Arial"/>
          <w:sz w:val="23"/>
          <w:szCs w:val="23"/>
          <w:color w:val="00C1DE"/>
        </w:rPr>
        <w:t xml:space="preserve"> </w:t>
      </w:r>
      <w:r>
        <w:rPr>
          <w:rFonts w:ascii="Arial" w:cs="Arial" w:eastAsia="Arial" w:hAnsi="Arial"/>
          <w:sz w:val="14"/>
          <w:szCs w:val="14"/>
          <w:color w:val="3E3935"/>
        </w:rPr>
        <w:t xml:space="preserve">where they can have the greatest impact on achieving our goals </w:t>
      </w:r>
      <w:r>
        <w:rPr>
          <w:rFonts w:ascii="Arial" w:cs="Arial" w:eastAsia="Arial" w:hAnsi="Arial"/>
          <w:sz w:val="1"/>
          <w:szCs w:val="1"/>
          <w:color w:val="0071CE"/>
          <w:vertAlign w:val="subscript"/>
        </w:rPr>
        <w:drawing>
          <wp:inline distT="0" distB="0" distL="0" distR="0">
            <wp:extent cx="76200" cy="7620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8" w:lineRule="exact"/>
        <w:rPr>
          <w:rFonts w:ascii="Arial" w:cs="Arial" w:eastAsia="Arial" w:hAnsi="Arial"/>
          <w:sz w:val="21"/>
          <w:szCs w:val="21"/>
          <w:color w:val="0071CE"/>
          <w:vertAlign w:val="subscript"/>
        </w:rPr>
      </w:pPr>
    </w:p>
    <w:p>
      <w:pPr>
        <w:ind w:left="400"/>
        <w:spacing w:after="0"/>
        <w:rPr>
          <w:rFonts w:ascii="Arial" w:cs="Arial" w:eastAsia="Arial" w:hAnsi="Arial"/>
          <w:sz w:val="21"/>
          <w:szCs w:val="21"/>
          <w:color w:val="0071CE"/>
          <w:vertAlign w:val="subscript"/>
        </w:rPr>
      </w:pPr>
      <w:r>
        <w:rPr>
          <w:rFonts w:ascii="Arial" w:cs="Arial" w:eastAsia="Arial" w:hAnsi="Arial"/>
          <w:sz w:val="14"/>
          <w:szCs w:val="14"/>
          <w:b w:val="1"/>
          <w:bCs w:val="1"/>
          <w:color w:val="3E3935"/>
        </w:rPr>
        <w:t>Products, Software, and Services</w:t>
      </w:r>
    </w:p>
    <w:p>
      <w:pPr>
        <w:spacing w:after="0" w:line="34" w:lineRule="exact"/>
        <w:rPr>
          <w:rFonts w:ascii="Arial" w:cs="Arial" w:eastAsia="Arial" w:hAnsi="Arial"/>
          <w:sz w:val="21"/>
          <w:szCs w:val="21"/>
          <w:color w:val="0071CE"/>
          <w:vertAlign w:val="subscript"/>
        </w:rPr>
      </w:pPr>
    </w:p>
    <w:p>
      <w:pPr>
        <w:ind w:left="620" w:right="200" w:hanging="214"/>
        <w:spacing w:after="0" w:line="191"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Ultifi, an end-to-end software platform designed to unlock new vehicle experiences and</w:t>
      </w:r>
      <w:r>
        <w:rPr>
          <w:rFonts w:ascii="Arial" w:cs="Arial" w:eastAsia="Arial" w:hAnsi="Arial"/>
          <w:sz w:val="23"/>
          <w:szCs w:val="23"/>
          <w:color w:val="00C1DE"/>
        </w:rPr>
        <w:t xml:space="preserve"> </w:t>
      </w:r>
      <w:r>
        <w:rPr>
          <w:rFonts w:ascii="Arial" w:cs="Arial" w:eastAsia="Arial" w:hAnsi="Arial"/>
          <w:sz w:val="14"/>
          <w:szCs w:val="14"/>
          <w:color w:val="3E3935"/>
        </w:rPr>
        <w:t>connect customers’ digital lives</w:t>
      </w:r>
    </w:p>
    <w:p>
      <w:pPr>
        <w:ind w:left="620" w:right="200" w:hanging="214"/>
        <w:spacing w:after="0" w:line="204"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 Built momentum for the Cadillac brand through the reveal and launch of the LYRIQ EV nine months</w:t>
      </w:r>
      <w:r>
        <w:rPr>
          <w:rFonts w:ascii="Arial" w:cs="Arial" w:eastAsia="Arial" w:hAnsi="Arial"/>
          <w:sz w:val="23"/>
          <w:szCs w:val="23"/>
          <w:color w:val="00C1DE"/>
        </w:rPr>
        <w:t xml:space="preserve"> </w:t>
      </w:r>
      <w:r>
        <w:rPr>
          <w:rFonts w:ascii="Arial" w:cs="Arial" w:eastAsia="Arial" w:hAnsi="Arial"/>
          <w:sz w:val="14"/>
          <w:szCs w:val="14"/>
          <w:color w:val="3E3935"/>
        </w:rPr>
        <w:t>ahead of schedule, and bolstered the brand’s reputation for performance with CT4 and CT5 V-Series Blackwing</w:t>
      </w:r>
    </w:p>
    <w:p>
      <w:pPr>
        <w:spacing w:after="0" w:line="40" w:lineRule="exact"/>
        <w:rPr>
          <w:rFonts w:ascii="Arial" w:cs="Arial" w:eastAsia="Arial" w:hAnsi="Arial"/>
          <w:sz w:val="21"/>
          <w:szCs w:val="21"/>
          <w:color w:val="0071CE"/>
          <w:vertAlign w:val="subscript"/>
        </w:rPr>
      </w:pPr>
    </w:p>
    <w:p>
      <w:pPr>
        <w:ind w:left="400"/>
        <w:spacing w:after="0"/>
        <w:rPr>
          <w:rFonts w:ascii="Arial" w:cs="Arial" w:eastAsia="Arial" w:hAnsi="Arial"/>
          <w:sz w:val="21"/>
          <w:szCs w:val="21"/>
          <w:color w:val="0071CE"/>
          <w:vertAlign w:val="subscript"/>
        </w:rPr>
      </w:pPr>
      <w:r>
        <w:rPr>
          <w:rFonts w:ascii="Arial" w:cs="Arial" w:eastAsia="Arial" w:hAnsi="Arial"/>
          <w:sz w:val="14"/>
          <w:szCs w:val="14"/>
          <w:b w:val="1"/>
          <w:bCs w:val="1"/>
          <w:color w:val="3E3935"/>
        </w:rPr>
        <w:t>Citizenship</w:t>
      </w:r>
    </w:p>
    <w:p>
      <w:pPr>
        <w:spacing w:after="0" w:line="34" w:lineRule="exact"/>
        <w:rPr>
          <w:rFonts w:ascii="Arial" w:cs="Arial" w:eastAsia="Arial" w:hAnsi="Arial"/>
          <w:sz w:val="21"/>
          <w:szCs w:val="21"/>
          <w:color w:val="0071CE"/>
          <w:vertAlign w:val="subscript"/>
        </w:rPr>
      </w:pPr>
    </w:p>
    <w:p>
      <w:pPr>
        <w:ind w:left="620" w:right="200" w:hanging="214"/>
        <w:spacing w:after="0" w:line="238"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 Committed to become carbon neutral in global products and operations by 2040 and set SBTi-validated, science-based targets to achieve carbon neutrality </w:t>
      </w:r>
      <w:r>
        <w:rPr>
          <w:rFonts w:ascii="Arial" w:cs="Arial" w:eastAsia="Arial" w:hAnsi="Arial"/>
          <w:sz w:val="1"/>
          <w:szCs w:val="1"/>
          <w:color w:val="0071CE"/>
          <w:vertAlign w:val="subscript"/>
        </w:rPr>
        <w:drawing>
          <wp:inline distT="0" distB="0" distL="0" distR="0">
            <wp:extent cx="76200" cy="762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241"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 Developed a new community charging program, in collaboration with the dealer network, to install up</w:t>
      </w:r>
      <w:r>
        <w:rPr>
          <w:rFonts w:ascii="Arial" w:cs="Arial" w:eastAsia="Arial" w:hAnsi="Arial"/>
          <w:sz w:val="23"/>
          <w:szCs w:val="23"/>
          <w:color w:val="00C1DE"/>
        </w:rPr>
        <w:t xml:space="preserve"> </w:t>
      </w:r>
      <w:r>
        <w:rPr>
          <w:rFonts w:ascii="Arial" w:cs="Arial" w:eastAsia="Arial" w:hAnsi="Arial"/>
          <w:sz w:val="14"/>
          <w:szCs w:val="14"/>
          <w:color w:val="3E3935"/>
        </w:rPr>
        <w:t xml:space="preserve">to 40,000 Level 2 EV chargers across the U.S. and Canada </w:t>
      </w:r>
      <w:r>
        <w:rPr>
          <w:rFonts w:ascii="Arial" w:cs="Arial" w:eastAsia="Arial" w:hAnsi="Arial"/>
          <w:sz w:val="1"/>
          <w:szCs w:val="1"/>
          <w:color w:val="0071CE"/>
          <w:vertAlign w:val="subscript"/>
        </w:rPr>
        <w:drawing>
          <wp:inline distT="0" distB="0" distL="0" distR="0">
            <wp:extent cx="76200" cy="7620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194"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 Key contributor to the Michigan Climate Advisory Board and supported GM’s public policy initiatives in</w:t>
      </w:r>
      <w:r>
        <w:rPr>
          <w:rFonts w:ascii="Arial" w:cs="Arial" w:eastAsia="Arial" w:hAnsi="Arial"/>
          <w:sz w:val="23"/>
          <w:szCs w:val="23"/>
          <w:color w:val="00C1DE"/>
        </w:rPr>
        <w:t xml:space="preserve"> </w:t>
      </w:r>
      <w:r>
        <w:rPr>
          <w:rFonts w:ascii="Arial" w:cs="Arial" w:eastAsia="Arial" w:hAnsi="Arial"/>
          <w:sz w:val="14"/>
          <w:szCs w:val="14"/>
          <w:color w:val="3E3935"/>
        </w:rPr>
        <w:t xml:space="preserve">Washington </w:t>
      </w:r>
      <w:r>
        <w:rPr>
          <w:rFonts w:ascii="Arial" w:cs="Arial" w:eastAsia="Arial" w:hAnsi="Arial"/>
          <w:sz w:val="1"/>
          <w:szCs w:val="1"/>
          <w:color w:val="0071CE"/>
          <w:vertAlign w:val="subscript"/>
        </w:rPr>
        <w:drawing>
          <wp:inline distT="0" distB="0" distL="0" distR="0">
            <wp:extent cx="76200" cy="7620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8" w:lineRule="exact"/>
        <w:rPr>
          <w:rFonts w:ascii="Arial" w:cs="Arial" w:eastAsia="Arial" w:hAnsi="Arial"/>
          <w:sz w:val="21"/>
          <w:szCs w:val="21"/>
          <w:color w:val="0071CE"/>
          <w:vertAlign w:val="subscript"/>
        </w:rPr>
      </w:pPr>
    </w:p>
    <w:p>
      <w:pPr>
        <w:ind w:left="400"/>
        <w:spacing w:after="0"/>
        <w:rPr>
          <w:rFonts w:ascii="Arial" w:cs="Arial" w:eastAsia="Arial" w:hAnsi="Arial"/>
          <w:sz w:val="21"/>
          <w:szCs w:val="21"/>
          <w:color w:val="0071CE"/>
          <w:vertAlign w:val="subscript"/>
        </w:rPr>
      </w:pPr>
      <w:r>
        <w:rPr>
          <w:rFonts w:ascii="Arial" w:cs="Arial" w:eastAsia="Arial" w:hAnsi="Arial"/>
          <w:sz w:val="14"/>
          <w:szCs w:val="14"/>
          <w:b w:val="1"/>
          <w:bCs w:val="1"/>
          <w:color w:val="3E3935"/>
        </w:rPr>
        <w:t>Enterprise</w:t>
      </w:r>
    </w:p>
    <w:p>
      <w:pPr>
        <w:spacing w:after="0" w:line="34" w:lineRule="exact"/>
        <w:rPr>
          <w:rFonts w:ascii="Arial" w:cs="Arial" w:eastAsia="Arial" w:hAnsi="Arial"/>
          <w:sz w:val="21"/>
          <w:szCs w:val="21"/>
          <w:color w:val="0071CE"/>
          <w:vertAlign w:val="subscript"/>
        </w:rPr>
      </w:pPr>
    </w:p>
    <w:p>
      <w:pPr>
        <w:ind w:left="620" w:right="200" w:hanging="214"/>
        <w:spacing w:after="0" w:line="191"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 Transitioned the Spring Hill Complex in Tennessee to become GM’s third plant to produce electric</w:t>
      </w:r>
      <w:r>
        <w:rPr>
          <w:rFonts w:ascii="Arial" w:cs="Arial" w:eastAsia="Arial" w:hAnsi="Arial"/>
          <w:sz w:val="23"/>
          <w:szCs w:val="23"/>
          <w:color w:val="00C1DE"/>
        </w:rPr>
        <w:t xml:space="preserve"> </w:t>
      </w:r>
      <w:r>
        <w:rPr>
          <w:rFonts w:ascii="Arial" w:cs="Arial" w:eastAsia="Arial" w:hAnsi="Arial"/>
          <w:sz w:val="14"/>
          <w:szCs w:val="14"/>
          <w:color w:val="3E3935"/>
        </w:rPr>
        <w:t xml:space="preserve">vehicles, including the Cadillac LYRIQ </w:t>
      </w:r>
      <w:r>
        <w:rPr>
          <w:rFonts w:ascii="Arial" w:cs="Arial" w:eastAsia="Arial" w:hAnsi="Arial"/>
          <w:sz w:val="1"/>
          <w:szCs w:val="1"/>
          <w:color w:val="0071CE"/>
          <w:vertAlign w:val="subscript"/>
        </w:rPr>
        <w:drawing>
          <wp:inline distT="0" distB="0" distL="0" distR="0">
            <wp:extent cx="76200" cy="7620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241"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 Opened GM Defense’s new production facility in North Carolina, which manufactures the Infantry</w:t>
      </w:r>
      <w:r>
        <w:rPr>
          <w:rFonts w:ascii="Arial" w:cs="Arial" w:eastAsia="Arial" w:hAnsi="Arial"/>
          <w:sz w:val="23"/>
          <w:szCs w:val="23"/>
          <w:color w:val="00C1DE"/>
        </w:rPr>
        <w:t xml:space="preserve"> </w:t>
      </w:r>
      <w:r>
        <w:rPr>
          <w:rFonts w:ascii="Arial" w:cs="Arial" w:eastAsia="Arial" w:hAnsi="Arial"/>
          <w:sz w:val="14"/>
          <w:szCs w:val="14"/>
          <w:color w:val="3E3935"/>
        </w:rPr>
        <w:t>Squad Vehicle for the U.S. Army</w:t>
      </w:r>
    </w:p>
    <w:p>
      <w:pPr>
        <w:ind w:left="620" w:right="200" w:hanging="214"/>
        <w:spacing w:after="0" w:line="204"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the Wallace Battery Cell Innovation Center, an all-new facility that will significantly expand</w:t>
      </w:r>
      <w:r>
        <w:rPr>
          <w:rFonts w:ascii="Arial" w:cs="Arial" w:eastAsia="Arial" w:hAnsi="Arial"/>
          <w:sz w:val="23"/>
          <w:szCs w:val="23"/>
          <w:color w:val="00C1DE"/>
        </w:rPr>
        <w:t xml:space="preserve"> </w:t>
      </w:r>
      <w:r>
        <w:rPr>
          <w:rFonts w:ascii="Arial" w:cs="Arial" w:eastAsia="Arial" w:hAnsi="Arial"/>
          <w:sz w:val="14"/>
          <w:szCs w:val="14"/>
          <w:color w:val="3E3935"/>
        </w:rPr>
        <w:t xml:space="preserve">the Company’s battery technology operations and accelerate development and commercialization of longer range, more affordable electric vehicle batteries </w:t>
      </w:r>
      <w:r>
        <w:rPr>
          <w:rFonts w:ascii="Arial" w:cs="Arial" w:eastAsia="Arial" w:hAnsi="Arial"/>
          <w:sz w:val="1"/>
          <w:szCs w:val="1"/>
          <w:color w:val="0071CE"/>
          <w:vertAlign w:val="subscript"/>
        </w:rPr>
        <w:drawing>
          <wp:inline distT="0" distB="0" distL="0" distR="0">
            <wp:extent cx="76200" cy="7620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0" w:lineRule="exact"/>
        <w:rPr>
          <w:rFonts w:ascii="Arial" w:cs="Arial" w:eastAsia="Arial" w:hAnsi="Arial"/>
          <w:sz w:val="21"/>
          <w:szCs w:val="21"/>
          <w:color w:val="0071CE"/>
          <w:vertAlign w:val="subscript"/>
        </w:rPr>
      </w:pPr>
    </w:p>
    <w:p>
      <w:pPr>
        <w:ind w:left="400"/>
        <w:spacing w:after="0"/>
        <w:rPr>
          <w:rFonts w:ascii="Arial" w:cs="Arial" w:eastAsia="Arial" w:hAnsi="Arial"/>
          <w:sz w:val="21"/>
          <w:szCs w:val="21"/>
          <w:color w:val="0071CE"/>
          <w:vertAlign w:val="subscript"/>
        </w:rPr>
      </w:pPr>
      <w:r>
        <w:rPr>
          <w:rFonts w:ascii="Arial" w:cs="Arial" w:eastAsia="Arial" w:hAnsi="Arial"/>
          <w:sz w:val="14"/>
          <w:szCs w:val="14"/>
          <w:b w:val="1"/>
          <w:bCs w:val="1"/>
          <w:color w:val="3E3935"/>
        </w:rPr>
        <w:t>Customer Experience</w:t>
      </w:r>
    </w:p>
    <w:p>
      <w:pPr>
        <w:spacing w:after="0" w:line="34" w:lineRule="exact"/>
        <w:rPr>
          <w:rFonts w:ascii="Arial" w:cs="Arial" w:eastAsia="Arial" w:hAnsi="Arial"/>
          <w:sz w:val="21"/>
          <w:szCs w:val="21"/>
          <w:color w:val="0071CE"/>
          <w:vertAlign w:val="subscript"/>
        </w:rPr>
      </w:pPr>
    </w:p>
    <w:p>
      <w:pPr>
        <w:ind w:left="620" w:right="200" w:hanging="214"/>
        <w:spacing w:after="0" w:line="238"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 Focused on increasing net promoter scores across all regions aligning with our aspiration to become</w:t>
      </w:r>
      <w:r>
        <w:rPr>
          <w:rFonts w:ascii="Arial" w:cs="Arial" w:eastAsia="Arial" w:hAnsi="Arial"/>
          <w:sz w:val="23"/>
          <w:szCs w:val="23"/>
          <w:color w:val="00C1DE"/>
        </w:rPr>
        <w:t xml:space="preserve"> </w:t>
      </w:r>
      <w:r>
        <w:rPr>
          <w:rFonts w:ascii="Arial" w:cs="Arial" w:eastAsia="Arial" w:hAnsi="Arial"/>
          <w:sz w:val="14"/>
          <w:szCs w:val="14"/>
          <w:color w:val="3E3935"/>
        </w:rPr>
        <w:t>a leading customer experience company</w:t>
      </w:r>
    </w:p>
    <w:p>
      <w:pPr>
        <w:ind w:left="620" w:right="200" w:hanging="214"/>
        <w:spacing w:after="0" w:line="211" w:lineRule="auto"/>
        <w:rPr>
          <w:rFonts w:ascii="Arial" w:cs="Arial" w:eastAsia="Arial" w:hAnsi="Arial"/>
          <w:sz w:val="21"/>
          <w:szCs w:val="21"/>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 Expanded access to OnStar Guardian, OnStar’s safety and security app, to all customers in North</w:t>
      </w:r>
      <w:r>
        <w:rPr>
          <w:rFonts w:ascii="Arial" w:cs="Arial" w:eastAsia="Arial" w:hAnsi="Arial"/>
          <w:sz w:val="23"/>
          <w:szCs w:val="23"/>
          <w:color w:val="00C1DE"/>
        </w:rPr>
        <w:t xml:space="preserve"> </w:t>
      </w:r>
      <w:r>
        <w:rPr>
          <w:rFonts w:ascii="Arial" w:cs="Arial" w:eastAsia="Arial" w:hAnsi="Arial"/>
          <w:sz w:val="14"/>
          <w:szCs w:val="14"/>
          <w:color w:val="3E3935"/>
        </w:rPr>
        <w:t>America with a compatible Apple or Android mobile device, and announced plans to introduce the OnStar Guardian skill for Amazon Alexa, offering a voice-enabled connection to Emergency-Certified OnStar Advisors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-4291330</wp:posOffset>
            </wp:positionV>
            <wp:extent cx="4500880" cy="4339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500880" cy="4339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-5215890</wp:posOffset>
            </wp:positionV>
            <wp:extent cx="1715770" cy="48234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5770" cy="4823460"/>
                    </a:xfrm>
                    <a:prstGeom prst="rect">
                      <a:avLst/>
                    </a:prstGeom>
                    <a:noFill/>
                  </pic:spPr>
                </pic:pic>
              </a:graphicData>
            </a:graphic>
          </wp:anchor>
        </w:drawing>
      </w:r>
    </w:p>
    <w:p>
      <w:pPr>
        <w:spacing w:after="0" w:line="2001" w:lineRule="exact"/>
        <w:rPr>
          <w:sz w:val="20"/>
          <w:szCs w:val="20"/>
          <w:color w:val="auto"/>
        </w:rPr>
      </w:pPr>
    </w:p>
    <w:p>
      <w:pPr>
        <w:sectPr>
          <w:pgSz w:w="11900" w:h="16838" w:orient="portrait"/>
          <w:cols w:equalWidth="0" w:num="2">
            <w:col w:w="7260" w:space="320"/>
            <w:col w:w="3500"/>
          </w:cols>
          <w:pgMar w:left="320" w:top="454" w:right="499" w:bottom="870" w:gutter="0" w:footer="0" w:header="0"/>
        </w:sectPr>
      </w:pPr>
    </w:p>
    <w:p>
      <w:pPr>
        <w:ind w:left="160" w:right="20"/>
        <w:spacing w:after="0" w:line="279"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2021, awarded an annual LTIP grant of $6.68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E3935"/>
        </w:rPr>
        <w:t>Total awarded compensation for 2021,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45008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1500" w:type="dxa"/>
            <w:vAlign w:val="bottom"/>
            <w:tcBorders>
              <w:bottom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00" w:type="dxa"/>
            <w:vAlign w:val="bottom"/>
            <w:tcBorders>
              <w:bottom w:val="single" w:sz="8" w:color="00C1DE"/>
            </w:tcBorders>
          </w:tcPr>
          <w:p>
            <w:pPr>
              <w:ind w:left="380"/>
              <w:spacing w:after="0"/>
              <w:rPr>
                <w:sz w:val="20"/>
                <w:szCs w:val="20"/>
                <w:color w:val="auto"/>
              </w:rPr>
            </w:pPr>
            <w:r>
              <w:rPr>
                <w:rFonts w:ascii="Arial" w:cs="Arial" w:eastAsia="Arial" w:hAnsi="Arial"/>
                <w:sz w:val="16"/>
                <w:szCs w:val="16"/>
                <w:b w:val="1"/>
                <w:bCs w:val="1"/>
                <w:color w:val="00C1DE"/>
              </w:rPr>
              <w:t>Majority of Pay Is At-Risk</w:t>
            </w:r>
          </w:p>
        </w:tc>
        <w:tc>
          <w:tcPr>
            <w:tcW w:w="180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1"/>
        </w:trPr>
        <w:tc>
          <w:tcPr>
            <w:tcW w:w="150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00" w:type="dxa"/>
            <w:vAlign w:val="bottom"/>
          </w:tcPr>
          <w:p>
            <w:pPr>
              <w:ind w:left="380"/>
              <w:spacing w:after="0"/>
              <w:rPr>
                <w:sz w:val="20"/>
                <w:szCs w:val="20"/>
                <w:color w:val="auto"/>
              </w:rPr>
            </w:pPr>
            <w:r>
              <w:rPr>
                <w:rFonts w:ascii="Arial" w:cs="Arial" w:eastAsia="Arial" w:hAnsi="Arial"/>
                <w:sz w:val="16"/>
                <w:szCs w:val="16"/>
                <w:color w:val="3E3935"/>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3E3935"/>
              </w:rPr>
              <w:t>$1,300,000</w:t>
            </w:r>
          </w:p>
        </w:tc>
      </w:tr>
      <w:tr>
        <w:trPr>
          <w:trHeight w:val="44"/>
        </w:trPr>
        <w:tc>
          <w:tcPr>
            <w:tcW w:w="1500" w:type="dxa"/>
            <w:vAlign w:val="bottom"/>
            <w:tcBorders>
              <w:bottom w:val="single" w:sz="8" w:color="3E3935"/>
            </w:tcBorders>
          </w:tcPr>
          <w:p>
            <w:pPr>
              <w:spacing w:after="0"/>
              <w:rPr>
                <w:sz w:val="3"/>
                <w:szCs w:val="3"/>
                <w:color w:val="auto"/>
              </w:rPr>
            </w:pPr>
          </w:p>
        </w:tc>
        <w:tc>
          <w:tcPr>
            <w:tcW w:w="380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57"/>
        </w:trPr>
        <w:tc>
          <w:tcPr>
            <w:tcW w:w="1500" w:type="dxa"/>
            <w:vAlign w:val="bottom"/>
          </w:tcPr>
          <w:p>
            <w:pPr>
              <w:ind w:left="100"/>
              <w:spacing w:after="0"/>
              <w:rPr>
                <w:sz w:val="20"/>
                <w:szCs w:val="20"/>
                <w:color w:val="auto"/>
              </w:rPr>
            </w:pPr>
            <w:r>
              <w:rPr>
                <w:rFonts w:ascii="Arial" w:cs="Arial" w:eastAsia="Arial" w:hAnsi="Arial"/>
                <w:sz w:val="16"/>
                <w:szCs w:val="16"/>
                <w:color w:val="3E3935"/>
              </w:rPr>
              <w:t>STIP</w:t>
            </w:r>
          </w:p>
        </w:tc>
        <w:tc>
          <w:tcPr>
            <w:tcW w:w="3800" w:type="dxa"/>
            <w:vAlign w:val="bottom"/>
          </w:tcPr>
          <w:p>
            <w:pPr>
              <w:ind w:left="380"/>
              <w:spacing w:after="0"/>
              <w:rPr>
                <w:sz w:val="20"/>
                <w:szCs w:val="20"/>
                <w:color w:val="auto"/>
              </w:rPr>
            </w:pPr>
            <w:r>
              <w:rPr>
                <w:rFonts w:ascii="Arial" w:cs="Arial" w:eastAsia="Arial" w:hAnsi="Arial"/>
                <w:sz w:val="16"/>
                <w:szCs w:val="16"/>
                <w:color w:val="3E3935"/>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3E3935"/>
              </w:rPr>
              <w:t>$3,038,800</w:t>
            </w:r>
          </w:p>
        </w:tc>
      </w:tr>
      <w:tr>
        <w:trPr>
          <w:trHeight w:val="44"/>
        </w:trPr>
        <w:tc>
          <w:tcPr>
            <w:tcW w:w="1500" w:type="dxa"/>
            <w:vAlign w:val="bottom"/>
            <w:tcBorders>
              <w:bottom w:val="single" w:sz="8" w:color="3E3935"/>
            </w:tcBorders>
          </w:tcPr>
          <w:p>
            <w:pPr>
              <w:spacing w:after="0"/>
              <w:rPr>
                <w:sz w:val="3"/>
                <w:szCs w:val="3"/>
                <w:color w:val="auto"/>
              </w:rPr>
            </w:pPr>
          </w:p>
        </w:tc>
        <w:tc>
          <w:tcPr>
            <w:tcW w:w="380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301"/>
        </w:trPr>
        <w:tc>
          <w:tcPr>
            <w:tcW w:w="1500" w:type="dxa"/>
            <w:vAlign w:val="bottom"/>
            <w:tcBorders>
              <w:bottom w:val="single" w:sz="8" w:color="3E3935"/>
            </w:tcBorders>
          </w:tcPr>
          <w:p>
            <w:pPr>
              <w:ind w:left="100"/>
              <w:spacing w:after="0" w:line="301" w:lineRule="exact"/>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00" w:type="dxa"/>
            <w:vAlign w:val="bottom"/>
            <w:tcBorders>
              <w:bottom w:val="single" w:sz="8" w:color="3E3935"/>
            </w:tcBorders>
          </w:tcPr>
          <w:p>
            <w:pPr>
              <w:ind w:left="380"/>
              <w:spacing w:after="0"/>
              <w:rPr>
                <w:sz w:val="20"/>
                <w:szCs w:val="20"/>
                <w:color w:val="auto"/>
              </w:rPr>
            </w:pPr>
            <w:r>
              <w:rPr>
                <w:rFonts w:ascii="Arial" w:cs="Arial" w:eastAsia="Arial" w:hAnsi="Arial"/>
                <w:sz w:val="16"/>
                <w:szCs w:val="16"/>
                <w:color w:val="3E3935"/>
              </w:rPr>
              <w:t>Performance to Metrics and Stock Price</w:t>
            </w:r>
          </w:p>
        </w:tc>
        <w:tc>
          <w:tcPr>
            <w:tcW w:w="18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$6,180,076</w:t>
            </w:r>
          </w:p>
        </w:tc>
      </w:tr>
      <w:tr>
        <w:trPr>
          <w:trHeight w:val="257"/>
        </w:trPr>
        <w:tc>
          <w:tcPr>
            <w:tcW w:w="150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00" w:type="dxa"/>
            <w:vAlign w:val="bottom"/>
          </w:tcPr>
          <w:p>
            <w:pPr>
              <w:ind w:left="380"/>
              <w:spacing w:after="0"/>
              <w:rPr>
                <w:sz w:val="20"/>
                <w:szCs w:val="20"/>
                <w:color w:val="auto"/>
              </w:rPr>
            </w:pPr>
            <w:r>
              <w:rPr>
                <w:rFonts w:ascii="Arial" w:cs="Arial" w:eastAsia="Arial" w:hAnsi="Arial"/>
                <w:sz w:val="16"/>
                <w:szCs w:val="16"/>
                <w:color w:val="3E3935"/>
              </w:rPr>
              <w:t>Performance to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$1,668,752</w:t>
            </w:r>
          </w:p>
        </w:tc>
      </w:tr>
      <w:tr>
        <w:trPr>
          <w:trHeight w:val="44"/>
        </w:trPr>
        <w:tc>
          <w:tcPr>
            <w:tcW w:w="1500" w:type="dxa"/>
            <w:vAlign w:val="bottom"/>
            <w:tcBorders>
              <w:bottom w:val="single" w:sz="8" w:color="3E3935"/>
            </w:tcBorders>
          </w:tcPr>
          <w:p>
            <w:pPr>
              <w:spacing w:after="0"/>
              <w:rPr>
                <w:sz w:val="3"/>
                <w:szCs w:val="3"/>
                <w:color w:val="auto"/>
              </w:rPr>
            </w:pPr>
          </w:p>
        </w:tc>
        <w:tc>
          <w:tcPr>
            <w:tcW w:w="380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7"/>
        </w:trPr>
        <w:tc>
          <w:tcPr>
            <w:tcW w:w="150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71CE"/>
              </w:rPr>
              <w:t>$12,187,628</w:t>
            </w:r>
          </w:p>
        </w:tc>
      </w:tr>
      <w:tr>
        <w:trPr>
          <w:trHeight w:val="34"/>
        </w:trPr>
        <w:tc>
          <w:tcPr>
            <w:tcW w:w="1500" w:type="dxa"/>
            <w:vAlign w:val="bottom"/>
            <w:tcBorders>
              <w:bottom w:val="single" w:sz="8" w:color="0071CE"/>
            </w:tcBorders>
          </w:tcPr>
          <w:p>
            <w:pPr>
              <w:spacing w:after="0"/>
              <w:rPr>
                <w:sz w:val="2"/>
                <w:szCs w:val="2"/>
                <w:color w:val="auto"/>
              </w:rPr>
            </w:pPr>
          </w:p>
        </w:tc>
        <w:tc>
          <w:tcPr>
            <w:tcW w:w="3800" w:type="dxa"/>
            <w:vAlign w:val="bottom"/>
            <w:tcBorders>
              <w:bottom w:val="single" w:sz="8" w:color="0071CE"/>
            </w:tcBorders>
          </w:tcPr>
          <w:p>
            <w:pPr>
              <w:spacing w:after="0"/>
              <w:rPr>
                <w:sz w:val="2"/>
                <w:szCs w:val="2"/>
                <w:color w:val="auto"/>
              </w:rPr>
            </w:pPr>
          </w:p>
        </w:tc>
        <w:tc>
          <w:tcPr>
            <w:tcW w:w="1800" w:type="dxa"/>
            <w:vAlign w:val="bottom"/>
            <w:tcBorders>
              <w:bottom w:val="single" w:sz="8" w:color="0071CE"/>
            </w:tcBorders>
          </w:tcPr>
          <w:p>
            <w:pPr>
              <w:spacing w:after="0"/>
              <w:rPr>
                <w:sz w:val="2"/>
                <w:szCs w:val="2"/>
                <w:color w:val="auto"/>
              </w:rPr>
            </w:pPr>
          </w:p>
        </w:tc>
      </w:tr>
    </w:tbl>
    <w:p>
      <w:pPr>
        <w:spacing w:after="0" w:line="73" w:lineRule="exact"/>
        <w:rPr>
          <w:sz w:val="20"/>
          <w:szCs w:val="20"/>
          <w:color w:val="auto"/>
        </w:rPr>
      </w:pPr>
    </w:p>
    <w:p>
      <w:pPr>
        <w:ind w:left="440" w:hanging="273"/>
        <w:spacing w:after="0" w:line="278" w:lineRule="auto"/>
        <w:tabs>
          <w:tab w:leader="none" w:pos="440" w:val="left"/>
        </w:tabs>
        <w:numPr>
          <w:ilvl w:val="0"/>
          <w:numId w:val="108"/>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149860</wp:posOffset>
            </wp:positionV>
            <wp:extent cx="5927725" cy="1016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0071CE"/>
        </w:rPr>
        <w:t>63</w:t>
      </w:r>
    </w:p>
    <w:p>
      <w:pPr>
        <w:sectPr>
          <w:pgSz w:w="11900" w:h="16838" w:orient="portrait"/>
          <w:cols w:equalWidth="0" w:num="2">
            <w:col w:w="7260" w:space="320"/>
            <w:col w:w="3500"/>
          </w:cols>
          <w:pgMar w:left="320" w:top="454" w:right="499" w:bottom="87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52" w:lineRule="exact"/>
        <w:rPr>
          <w:sz w:val="20"/>
          <w:szCs w:val="20"/>
          <w:color w:val="auto"/>
        </w:rPr>
      </w:pPr>
    </w:p>
    <w:p>
      <w:pPr>
        <w:ind w:left="600" w:hanging="433"/>
        <w:spacing w:after="0"/>
        <w:tabs>
          <w:tab w:leader="none" w:pos="600" w:val="left"/>
        </w:tabs>
        <w:numPr>
          <w:ilvl w:val="0"/>
          <w:numId w:val="109"/>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Decisions for Douglas L. Parks</w:t>
      </w:r>
    </w:p>
    <w:p>
      <w:pPr>
        <w:spacing w:after="0" w:line="113" w:lineRule="exact"/>
        <w:rPr>
          <w:sz w:val="20"/>
          <w:szCs w:val="20"/>
          <w:color w:val="auto"/>
        </w:rPr>
      </w:pPr>
    </w:p>
    <w:p>
      <w:pPr>
        <w:ind w:left="240" w:right="320"/>
        <w:spacing w:after="0" w:line="264" w:lineRule="auto"/>
        <w:rPr>
          <w:sz w:val="20"/>
          <w:szCs w:val="20"/>
          <w:color w:val="auto"/>
        </w:rPr>
      </w:pPr>
      <w:r>
        <w:rPr>
          <w:rFonts w:ascii="Arial" w:cs="Arial" w:eastAsia="Arial" w:hAnsi="Arial"/>
          <w:sz w:val="20"/>
          <w:szCs w:val="20"/>
          <w:b w:val="1"/>
          <w:bCs w:val="1"/>
          <w:color w:val="3E3935"/>
        </w:rPr>
        <w:t>Executive Vice President, Global Product Development, Purchasing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wp:posOffset>
            </wp:positionV>
            <wp:extent cx="450088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500880" cy="17145"/>
                    </a:xfrm>
                    <a:prstGeom prst="rect">
                      <a:avLst/>
                    </a:prstGeom>
                    <a:noFill/>
                  </pic:spPr>
                </pic:pic>
              </a:graphicData>
            </a:graphic>
          </wp:anchor>
        </w:drawing>
      </w:r>
    </w:p>
    <w:p>
      <w:pPr>
        <w:spacing w:after="0" w:line="45"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Held base salary at $850,000</w:t>
      </w:r>
    </w:p>
    <w:p>
      <w:pPr>
        <w:spacing w:after="0" w:line="11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In addition to the Company’s record EBIT-adjusted and strong AAFCF</w:t>
      </w:r>
      <w:r>
        <w:rPr>
          <w:rFonts w:ascii="Arial" w:cs="Arial" w:eastAsia="Arial" w:hAnsi="Arial"/>
          <w:sz w:val="16"/>
          <w:szCs w:val="16"/>
          <w:b w:val="1"/>
          <w:bCs w:val="1"/>
          <w:color w:val="0071CE"/>
        </w:rPr>
        <w:t xml:space="preserve"> </w:t>
      </w:r>
      <w:r>
        <w:rPr>
          <w:rFonts w:ascii="Arial" w:cs="Arial" w:eastAsia="Arial" w:hAnsi="Arial"/>
          <w:sz w:val="16"/>
          <w:szCs w:val="16"/>
          <w:color w:val="3E3935"/>
        </w:rPr>
        <w:t>performance (discussed on page 60 of this Proxy Statement), Mr. Parks was awarded 32 points out of a 25-point target and 50-point maximum for the strategic goals portion for the 2021 STIP performance year. In determining the number of points earned, the Committee considered these results for Mr. Parks:</w:t>
      </w:r>
    </w:p>
    <w:p>
      <w:pPr>
        <w:spacing w:after="0" w:line="98" w:lineRule="exact"/>
        <w:rPr>
          <w:sz w:val="20"/>
          <w:szCs w:val="20"/>
          <w:color w:val="auto"/>
        </w:rPr>
      </w:pPr>
    </w:p>
    <w:p>
      <w:pPr>
        <w:ind w:left="400" w:hanging="233"/>
        <w:spacing w:after="0" w:line="181" w:lineRule="auto"/>
        <w:tabs>
          <w:tab w:leader="none" w:pos="400" w:val="left"/>
        </w:tabs>
        <w:numPr>
          <w:ilvl w:val="0"/>
          <w:numId w:val="110"/>
        </w:numPr>
        <w:rPr>
          <w:rFonts w:ascii="Arial" w:cs="Arial" w:eastAsia="Arial" w:hAnsi="Arial"/>
          <w:sz w:val="31"/>
          <w:szCs w:val="31"/>
          <w:color w:val="0071CE"/>
          <w:vertAlign w:val="subscript"/>
        </w:rPr>
      </w:pPr>
      <w:r>
        <w:rPr>
          <w:rFonts w:ascii="Arial" w:cs="Arial" w:eastAsia="Arial" w:hAnsi="Arial"/>
          <w:sz w:val="14"/>
          <w:szCs w:val="14"/>
          <w:color w:val="3E3935"/>
        </w:rPr>
        <w:t>Managed supply chain challenges and delivered full-size pickup and full-size SUV sales leadership in the U.S. and the best-selling EV in China;</w:t>
      </w:r>
    </w:p>
    <w:p>
      <w:pPr>
        <w:ind w:left="400" w:hanging="233"/>
        <w:spacing w:after="0" w:line="181" w:lineRule="auto"/>
        <w:tabs>
          <w:tab w:leader="none" w:pos="400" w:val="left"/>
        </w:tabs>
        <w:numPr>
          <w:ilvl w:val="0"/>
          <w:numId w:val="110"/>
        </w:numPr>
        <w:rPr>
          <w:rFonts w:ascii="Arial" w:cs="Arial" w:eastAsia="Arial" w:hAnsi="Arial"/>
          <w:sz w:val="30"/>
          <w:szCs w:val="30"/>
          <w:color w:val="0071CE"/>
          <w:vertAlign w:val="subscript"/>
        </w:rPr>
      </w:pPr>
      <w:r>
        <w:rPr>
          <w:rFonts w:ascii="Arial" w:cs="Arial" w:eastAsia="Arial" w:hAnsi="Arial"/>
          <w:sz w:val="13"/>
          <w:szCs w:val="13"/>
          <w:color w:val="3E3935"/>
        </w:rPr>
        <w:t>Developed the Ultifi software architecture, an end-to-end software platform designed to unlock new vehicle experiences and quickly connect customers’ digital lives; and</w:t>
      </w:r>
    </w:p>
    <w:p>
      <w:pPr>
        <w:spacing w:after="0" w:line="1" w:lineRule="exact"/>
        <w:rPr>
          <w:rFonts w:ascii="Arial" w:cs="Arial" w:eastAsia="Arial" w:hAnsi="Arial"/>
          <w:sz w:val="30"/>
          <w:szCs w:val="30"/>
          <w:color w:val="0071CE"/>
          <w:vertAlign w:val="subscript"/>
        </w:rPr>
      </w:pPr>
    </w:p>
    <w:p>
      <w:pPr>
        <w:ind w:left="400" w:hanging="233"/>
        <w:spacing w:after="0" w:line="185" w:lineRule="auto"/>
        <w:tabs>
          <w:tab w:leader="none" w:pos="400" w:val="left"/>
        </w:tabs>
        <w:numPr>
          <w:ilvl w:val="0"/>
          <w:numId w:val="110"/>
        </w:numPr>
        <w:rPr>
          <w:rFonts w:ascii="Arial" w:cs="Arial" w:eastAsia="Arial" w:hAnsi="Arial"/>
          <w:sz w:val="30"/>
          <w:szCs w:val="30"/>
          <w:color w:val="0071CE"/>
          <w:vertAlign w:val="subscript"/>
        </w:rPr>
      </w:pPr>
      <w:r>
        <w:rPr>
          <w:rFonts w:ascii="Arial" w:cs="Arial" w:eastAsia="Arial" w:hAnsi="Arial"/>
          <w:sz w:val="13"/>
          <w:szCs w:val="13"/>
          <w:color w:val="3E3935"/>
        </w:rPr>
        <w:t>Established strategic plan for C02 reduction glidepaths across key material commodities, as well as other highlights below.</w:t>
      </w:r>
    </w:p>
    <w:p>
      <w:pPr>
        <w:spacing w:after="0" w:line="142" w:lineRule="exact"/>
        <w:rPr>
          <w:rFonts w:ascii="Arial" w:cs="Arial" w:eastAsia="Arial" w:hAnsi="Arial"/>
          <w:sz w:val="30"/>
          <w:szCs w:val="30"/>
          <w:color w:val="0071CE"/>
          <w:vertAlign w:val="subscript"/>
        </w:rPr>
      </w:pPr>
    </w:p>
    <w:p>
      <w:pPr>
        <w:ind w:left="40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Our People</w:t>
      </w:r>
    </w:p>
    <w:p>
      <w:pPr>
        <w:spacing w:after="0" w:line="34" w:lineRule="exact"/>
        <w:rPr>
          <w:rFonts w:ascii="Arial" w:cs="Arial" w:eastAsia="Arial" w:hAnsi="Arial"/>
          <w:sz w:val="30"/>
          <w:szCs w:val="30"/>
          <w:color w:val="0071CE"/>
          <w:vertAlign w:val="subscript"/>
        </w:rPr>
      </w:pPr>
    </w:p>
    <w:p>
      <w:pPr>
        <w:ind w:left="400"/>
        <w:spacing w:after="0" w:line="237"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 Continued to prioritize our safety culture through multiple initiatives </w:t>
      </w:r>
      <w:r>
        <w:rPr>
          <w:rFonts w:ascii="Arial" w:cs="Arial" w:eastAsia="Arial" w:hAnsi="Arial"/>
          <w:sz w:val="1"/>
          <w:szCs w:val="1"/>
          <w:color w:val="0071CE"/>
          <w:vertAlign w:val="subscript"/>
        </w:rPr>
        <w:drawing>
          <wp:inline distT="0" distB="0" distL="0" distR="0">
            <wp:extent cx="76200" cy="7620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200"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 Received strong engagement and Inclusivity Index scores, while developing leadership initiatives to</w:t>
      </w:r>
      <w:r>
        <w:rPr>
          <w:rFonts w:ascii="Arial" w:cs="Arial" w:eastAsia="Arial" w:hAnsi="Arial"/>
          <w:sz w:val="23"/>
          <w:szCs w:val="23"/>
          <w:color w:val="00C1DE"/>
        </w:rPr>
        <w:t xml:space="preserve"> </w:t>
      </w:r>
      <w:r>
        <w:rPr>
          <w:rFonts w:ascii="Arial" w:cs="Arial" w:eastAsia="Arial" w:hAnsi="Arial"/>
          <w:sz w:val="14"/>
          <w:szCs w:val="14"/>
          <w:color w:val="3E3935"/>
        </w:rPr>
        <w:t xml:space="preserve">further engage our people in order to become the most inclusive company in the world </w:t>
      </w:r>
      <w:r>
        <w:rPr>
          <w:rFonts w:ascii="Arial" w:cs="Arial" w:eastAsia="Arial" w:hAnsi="Arial"/>
          <w:sz w:val="1"/>
          <w:szCs w:val="1"/>
          <w:color w:val="0071CE"/>
          <w:vertAlign w:val="subscript"/>
        </w:rPr>
        <w:drawing>
          <wp:inline distT="0" distB="0" distL="0" distR="0">
            <wp:extent cx="76200" cy="7620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8" w:lineRule="exact"/>
        <w:rPr>
          <w:rFonts w:ascii="Arial" w:cs="Arial" w:eastAsia="Arial" w:hAnsi="Arial"/>
          <w:sz w:val="30"/>
          <w:szCs w:val="30"/>
          <w:color w:val="0071CE"/>
          <w:vertAlign w:val="subscript"/>
        </w:rPr>
      </w:pPr>
    </w:p>
    <w:p>
      <w:pPr>
        <w:ind w:left="40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Products, Software, and Services</w:t>
      </w:r>
    </w:p>
    <w:p>
      <w:pPr>
        <w:spacing w:after="0" w:line="34" w:lineRule="exact"/>
        <w:rPr>
          <w:rFonts w:ascii="Arial" w:cs="Arial" w:eastAsia="Arial" w:hAnsi="Arial"/>
          <w:sz w:val="30"/>
          <w:szCs w:val="30"/>
          <w:color w:val="0071CE"/>
          <w:vertAlign w:val="subscript"/>
        </w:rPr>
      </w:pPr>
    </w:p>
    <w:p>
      <w:pPr>
        <w:ind w:left="620" w:right="200" w:hanging="214"/>
        <w:spacing w:after="0" w:line="238"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 Executed successful strategy in the midst of the global supply chain shortage by prioritizing the</w:t>
      </w:r>
      <w:r>
        <w:rPr>
          <w:rFonts w:ascii="Arial" w:cs="Arial" w:eastAsia="Arial" w:hAnsi="Arial"/>
          <w:sz w:val="23"/>
          <w:szCs w:val="23"/>
          <w:color w:val="00C1DE"/>
        </w:rPr>
        <w:t xml:space="preserve"> </w:t>
      </w:r>
      <w:r>
        <w:rPr>
          <w:rFonts w:ascii="Arial" w:cs="Arial" w:eastAsia="Arial" w:hAnsi="Arial"/>
          <w:sz w:val="14"/>
          <w:szCs w:val="14"/>
          <w:color w:val="3E3935"/>
        </w:rPr>
        <w:t>highest-demand products in order to satisfy as many customers as possible and drive strong results in key market segments</w:t>
      </w:r>
    </w:p>
    <w:p>
      <w:pPr>
        <w:ind w:left="620" w:right="200" w:hanging="214"/>
        <w:spacing w:after="0" w:line="243"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Ultra Cruise, an all-new, advanced driver-assistance technology designed to enable</w:t>
      </w:r>
      <w:r>
        <w:rPr>
          <w:rFonts w:ascii="Arial" w:cs="Arial" w:eastAsia="Arial" w:hAnsi="Arial"/>
          <w:sz w:val="23"/>
          <w:szCs w:val="23"/>
          <w:color w:val="00C1DE"/>
        </w:rPr>
        <w:t xml:space="preserve"> </w:t>
      </w:r>
      <w:r>
        <w:rPr>
          <w:rFonts w:ascii="Arial" w:cs="Arial" w:eastAsia="Arial" w:hAnsi="Arial"/>
          <w:sz w:val="14"/>
          <w:szCs w:val="14"/>
          <w:color w:val="3E3935"/>
        </w:rPr>
        <w:t>hands-free driving in 95 percent of all driving scenarios</w:t>
      </w:r>
    </w:p>
    <w:p>
      <w:pPr>
        <w:spacing w:after="0" w:line="35" w:lineRule="exact"/>
        <w:rPr>
          <w:rFonts w:ascii="Arial" w:cs="Arial" w:eastAsia="Arial" w:hAnsi="Arial"/>
          <w:sz w:val="30"/>
          <w:szCs w:val="30"/>
          <w:color w:val="0071CE"/>
          <w:vertAlign w:val="subscript"/>
        </w:rPr>
      </w:pPr>
    </w:p>
    <w:p>
      <w:pPr>
        <w:ind w:left="40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Citizenship</w:t>
      </w:r>
    </w:p>
    <w:p>
      <w:pPr>
        <w:spacing w:after="0" w:line="34" w:lineRule="exact"/>
        <w:rPr>
          <w:rFonts w:ascii="Arial" w:cs="Arial" w:eastAsia="Arial" w:hAnsi="Arial"/>
          <w:sz w:val="30"/>
          <w:szCs w:val="30"/>
          <w:color w:val="0071CE"/>
          <w:vertAlign w:val="subscript"/>
        </w:rPr>
      </w:pPr>
    </w:p>
    <w:p>
      <w:pPr>
        <w:ind w:left="400"/>
        <w:spacing w:after="0" w:line="237"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 Progressed towards achieving GHG compliance in all global markets </w:t>
      </w:r>
      <w:r>
        <w:rPr>
          <w:rFonts w:ascii="Arial" w:cs="Arial" w:eastAsia="Arial" w:hAnsi="Arial"/>
          <w:sz w:val="1"/>
          <w:szCs w:val="1"/>
          <w:color w:val="0071CE"/>
          <w:vertAlign w:val="subscript"/>
        </w:rPr>
        <w:drawing>
          <wp:inline distT="0" distB="0" distL="0" distR="0">
            <wp:extent cx="76200" cy="7620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194"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 Joined the Initiative for Responsible Mining Assurance, adding another element to company programs</w:t>
      </w:r>
      <w:r>
        <w:rPr>
          <w:rFonts w:ascii="Arial" w:cs="Arial" w:eastAsia="Arial" w:hAnsi="Arial"/>
          <w:sz w:val="23"/>
          <w:szCs w:val="23"/>
          <w:color w:val="00C1DE"/>
        </w:rPr>
        <w:t xml:space="preserve"> </w:t>
      </w:r>
      <w:r>
        <w:rPr>
          <w:rFonts w:ascii="Arial" w:cs="Arial" w:eastAsia="Arial" w:hAnsi="Arial"/>
          <w:sz w:val="14"/>
          <w:szCs w:val="14"/>
          <w:color w:val="3E3935"/>
        </w:rPr>
        <w:t xml:space="preserve">that support the sustainability and human rights of the EV supply chain </w:t>
      </w:r>
      <w:r>
        <w:rPr>
          <w:rFonts w:ascii="Arial" w:cs="Arial" w:eastAsia="Arial" w:hAnsi="Arial"/>
          <w:sz w:val="1"/>
          <w:szCs w:val="1"/>
          <w:color w:val="0071CE"/>
          <w:vertAlign w:val="subscript"/>
        </w:rPr>
        <w:drawing>
          <wp:inline distT="0" distB="0" distL="0" distR="0">
            <wp:extent cx="76200" cy="762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194"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collaboration with Wabtec Corporation to develop and commercialize Ultium battery</w:t>
      </w:r>
      <w:r>
        <w:rPr>
          <w:rFonts w:ascii="Arial" w:cs="Arial" w:eastAsia="Arial" w:hAnsi="Arial"/>
          <w:sz w:val="23"/>
          <w:szCs w:val="23"/>
          <w:color w:val="00C1DE"/>
        </w:rPr>
        <w:t xml:space="preserve"> </w:t>
      </w:r>
      <w:r>
        <w:rPr>
          <w:rFonts w:ascii="Arial" w:cs="Arial" w:eastAsia="Arial" w:hAnsi="Arial"/>
          <w:sz w:val="14"/>
          <w:szCs w:val="14"/>
          <w:color w:val="3E3935"/>
        </w:rPr>
        <w:t xml:space="preserve">technology and HYDROTEC hydrogen fuel cell systems for Wabtec locomotives </w:t>
      </w:r>
      <w:r>
        <w:rPr>
          <w:rFonts w:ascii="Arial" w:cs="Arial" w:eastAsia="Arial" w:hAnsi="Arial"/>
          <w:sz w:val="1"/>
          <w:szCs w:val="1"/>
          <w:color w:val="0071CE"/>
          <w:vertAlign w:val="subscript"/>
        </w:rPr>
        <w:drawing>
          <wp:inline distT="0" distB="0" distL="0" distR="0">
            <wp:extent cx="76200" cy="762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8" w:lineRule="exact"/>
        <w:rPr>
          <w:rFonts w:ascii="Arial" w:cs="Arial" w:eastAsia="Arial" w:hAnsi="Arial"/>
          <w:sz w:val="30"/>
          <w:szCs w:val="30"/>
          <w:color w:val="0071CE"/>
          <w:vertAlign w:val="subscript"/>
        </w:rPr>
      </w:pPr>
    </w:p>
    <w:p>
      <w:pPr>
        <w:ind w:left="40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Enterprise</w:t>
      </w:r>
    </w:p>
    <w:p>
      <w:pPr>
        <w:spacing w:after="0" w:line="34" w:lineRule="exact"/>
        <w:rPr>
          <w:rFonts w:ascii="Arial" w:cs="Arial" w:eastAsia="Arial" w:hAnsi="Arial"/>
          <w:sz w:val="30"/>
          <w:szCs w:val="30"/>
          <w:color w:val="0071CE"/>
          <w:vertAlign w:val="subscript"/>
        </w:rPr>
      </w:pPr>
    </w:p>
    <w:p>
      <w:pPr>
        <w:ind w:left="400"/>
        <w:spacing w:after="0" w:line="237"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 Executed an aggressive EV portfolio rollout across all brands and segments </w:t>
      </w:r>
      <w:r>
        <w:rPr>
          <w:rFonts w:ascii="Arial" w:cs="Arial" w:eastAsia="Arial" w:hAnsi="Arial"/>
          <w:sz w:val="1"/>
          <w:szCs w:val="1"/>
          <w:color w:val="0071CE"/>
          <w:vertAlign w:val="subscript"/>
        </w:rPr>
        <w:drawing>
          <wp:inline distT="0" distB="0" distL="0" distR="0">
            <wp:extent cx="76200" cy="7620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194"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 Began customer deliveries of the first 2022 GMC HUMMER EV Pickup, which is produced at the</w:t>
      </w:r>
      <w:r>
        <w:rPr>
          <w:rFonts w:ascii="Arial" w:cs="Arial" w:eastAsia="Arial" w:hAnsi="Arial"/>
          <w:sz w:val="23"/>
          <w:szCs w:val="23"/>
          <w:color w:val="00C1DE"/>
        </w:rPr>
        <w:t xml:space="preserve"> </w:t>
      </w:r>
      <w:r>
        <w:rPr>
          <w:rFonts w:ascii="Arial" w:cs="Arial" w:eastAsia="Arial" w:hAnsi="Arial"/>
          <w:sz w:val="14"/>
          <w:szCs w:val="14"/>
          <w:color w:val="3E3935"/>
        </w:rPr>
        <w:t xml:space="preserve">Factory ZERO EV assembly plant that opened in 2021 </w:t>
      </w:r>
      <w:r>
        <w:rPr>
          <w:rFonts w:ascii="Arial" w:cs="Arial" w:eastAsia="Arial" w:hAnsi="Arial"/>
          <w:sz w:val="1"/>
          <w:szCs w:val="1"/>
          <w:color w:val="0071CE"/>
          <w:vertAlign w:val="subscript"/>
        </w:rPr>
        <w:drawing>
          <wp:inline distT="0" distB="0" distL="0" distR="0">
            <wp:extent cx="76200" cy="762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8" w:lineRule="exact"/>
        <w:rPr>
          <w:rFonts w:ascii="Arial" w:cs="Arial" w:eastAsia="Arial" w:hAnsi="Arial"/>
          <w:sz w:val="30"/>
          <w:szCs w:val="30"/>
          <w:color w:val="0071CE"/>
          <w:vertAlign w:val="subscript"/>
        </w:rPr>
      </w:pPr>
    </w:p>
    <w:p>
      <w:pPr>
        <w:ind w:left="40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Customer Experience</w:t>
      </w:r>
    </w:p>
    <w:p>
      <w:pPr>
        <w:spacing w:after="0" w:line="34" w:lineRule="exact"/>
        <w:rPr>
          <w:rFonts w:ascii="Arial" w:cs="Arial" w:eastAsia="Arial" w:hAnsi="Arial"/>
          <w:sz w:val="30"/>
          <w:szCs w:val="30"/>
          <w:color w:val="0071CE"/>
          <w:vertAlign w:val="subscript"/>
        </w:rPr>
      </w:pPr>
    </w:p>
    <w:p>
      <w:pPr>
        <w:ind w:left="620" w:right="200" w:hanging="214"/>
        <w:spacing w:after="0" w:line="191"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 Launched Periscope, a new brand representing a holistic approach to customer and vehicle safety</w:t>
      </w:r>
      <w:r>
        <w:rPr>
          <w:rFonts w:ascii="Arial" w:cs="Arial" w:eastAsia="Arial" w:hAnsi="Arial"/>
          <w:sz w:val="23"/>
          <w:szCs w:val="23"/>
          <w:color w:val="00C1DE"/>
        </w:rPr>
        <w:t xml:space="preserve"> </w:t>
      </w:r>
      <w:r>
        <w:rPr>
          <w:rFonts w:ascii="Arial" w:cs="Arial" w:eastAsia="Arial" w:hAnsi="Arial"/>
          <w:sz w:val="14"/>
          <w:szCs w:val="14"/>
          <w:color w:val="3E3935"/>
        </w:rPr>
        <w:t xml:space="preserve">consisting of three focus areas: vehicle technology, research, and advocacy </w:t>
      </w:r>
      <w:r>
        <w:rPr>
          <w:rFonts w:ascii="Arial" w:cs="Arial" w:eastAsia="Arial" w:hAnsi="Arial"/>
          <w:sz w:val="1"/>
          <w:szCs w:val="1"/>
          <w:color w:val="0071CE"/>
          <w:vertAlign w:val="subscript"/>
        </w:rPr>
        <w:drawing>
          <wp:inline distT="0" distB="0" distL="0" distR="0">
            <wp:extent cx="76200" cy="7620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194" w:lineRule="auto"/>
        <w:rPr>
          <w:rFonts w:ascii="Arial" w:cs="Arial" w:eastAsia="Arial" w:hAnsi="Arial"/>
          <w:sz w:val="30"/>
          <w:szCs w:val="30"/>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 Launched plan to extend the HYDROTEC fuel cell power cubes to provide portable fast-charging</w:t>
      </w:r>
      <w:r>
        <w:rPr>
          <w:rFonts w:ascii="Arial" w:cs="Arial" w:eastAsia="Arial" w:hAnsi="Arial"/>
          <w:sz w:val="23"/>
          <w:szCs w:val="23"/>
          <w:color w:val="00C1DE"/>
        </w:rPr>
        <w:t xml:space="preserve"> </w:t>
      </w:r>
      <w:r>
        <w:rPr>
          <w:rFonts w:ascii="Arial" w:cs="Arial" w:eastAsia="Arial" w:hAnsi="Arial"/>
          <w:sz w:val="14"/>
          <w:szCs w:val="14"/>
          <w:color w:val="3E3935"/>
        </w:rPr>
        <w:t xml:space="preserve">capability for EVs </w:t>
      </w:r>
      <w:r>
        <w:rPr>
          <w:rFonts w:ascii="Arial" w:cs="Arial" w:eastAsia="Arial" w:hAnsi="Arial"/>
          <w:sz w:val="1"/>
          <w:szCs w:val="1"/>
          <w:color w:val="0071CE"/>
          <w:vertAlign w:val="subscript"/>
        </w:rPr>
        <w:drawing>
          <wp:inline distT="0" distB="0" distL="0" distR="0">
            <wp:extent cx="76200" cy="762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-3510280</wp:posOffset>
            </wp:positionV>
            <wp:extent cx="4500880" cy="35585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500880" cy="3558540"/>
                    </a:xfrm>
                    <a:prstGeom prst="rect">
                      <a:avLst/>
                    </a:prstGeom>
                    <a:noFill/>
                  </pic:spPr>
                </pic:pic>
              </a:graphicData>
            </a:graphic>
          </wp:anchor>
        </w:drawing>
      </w:r>
    </w:p>
    <w:p>
      <w:pPr>
        <w:spacing w:after="0" w:line="148"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2021, awarded an annual LTIP grant of $4.99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E3935"/>
        </w:rPr>
        <w:t>Total awarded compensation for 2021,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45008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1520" w:type="dxa"/>
            <w:vAlign w:val="bottom"/>
            <w:tcBorders>
              <w:bottom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bottom w:val="single" w:sz="8" w:color="00C1DE"/>
            </w:tcBorders>
          </w:tcPr>
          <w:p>
            <w:pPr>
              <w:ind w:left="420"/>
              <w:spacing w:after="0"/>
              <w:rPr>
                <w:sz w:val="20"/>
                <w:szCs w:val="20"/>
                <w:color w:val="auto"/>
              </w:rPr>
            </w:pPr>
            <w:r>
              <w:rPr>
                <w:rFonts w:ascii="Arial" w:cs="Arial" w:eastAsia="Arial" w:hAnsi="Arial"/>
                <w:sz w:val="16"/>
                <w:szCs w:val="16"/>
                <w:b w:val="1"/>
                <w:bCs w:val="1"/>
                <w:color w:val="00C1DE"/>
              </w:rPr>
              <w:t>Majority of Pay Is At-Risk</w:t>
            </w:r>
          </w:p>
        </w:tc>
        <w:tc>
          <w:tcPr>
            <w:tcW w:w="176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1"/>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420"/>
              <w:spacing w:after="0"/>
              <w:rPr>
                <w:sz w:val="20"/>
                <w:szCs w:val="20"/>
                <w:color w:val="auto"/>
              </w:rPr>
            </w:pPr>
            <w:r>
              <w:rPr>
                <w:rFonts w:ascii="Arial" w:cs="Arial" w:eastAsia="Arial" w:hAnsi="Arial"/>
                <w:sz w:val="16"/>
                <w:szCs w:val="16"/>
                <w:color w:val="3E3935"/>
              </w:rPr>
              <w:t>Only Fixed Pay Element</w:t>
            </w:r>
          </w:p>
        </w:tc>
        <w:tc>
          <w:tcPr>
            <w:tcW w:w="1760" w:type="dxa"/>
            <w:vAlign w:val="bottom"/>
          </w:tcPr>
          <w:p>
            <w:pPr>
              <w:jc w:val="right"/>
              <w:spacing w:after="0"/>
              <w:rPr>
                <w:sz w:val="20"/>
                <w:szCs w:val="20"/>
                <w:color w:val="auto"/>
              </w:rPr>
            </w:pPr>
            <w:r>
              <w:rPr>
                <w:rFonts w:ascii="Arial" w:cs="Arial" w:eastAsia="Arial" w:hAnsi="Arial"/>
                <w:sz w:val="16"/>
                <w:szCs w:val="16"/>
                <w:color w:val="3E3935"/>
              </w:rPr>
              <w:t>$850,000</w:t>
            </w:r>
          </w:p>
        </w:tc>
      </w:tr>
      <w:tr>
        <w:trPr>
          <w:trHeight w:val="44"/>
        </w:trPr>
        <w:tc>
          <w:tcPr>
            <w:tcW w:w="152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60" w:type="dxa"/>
            <w:vAlign w:val="bottom"/>
            <w:tcBorders>
              <w:bottom w:val="single" w:sz="8" w:color="3E3935"/>
            </w:tcBorders>
          </w:tcPr>
          <w:p>
            <w:pPr>
              <w:spacing w:after="0"/>
              <w:rPr>
                <w:sz w:val="3"/>
                <w:szCs w:val="3"/>
                <w:color w:val="auto"/>
              </w:rPr>
            </w:pPr>
          </w:p>
        </w:tc>
      </w:tr>
      <w:tr>
        <w:trPr>
          <w:trHeight w:val="257"/>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Metrics</w:t>
            </w:r>
          </w:p>
        </w:tc>
        <w:tc>
          <w:tcPr>
            <w:tcW w:w="1760" w:type="dxa"/>
            <w:vAlign w:val="bottom"/>
          </w:tcPr>
          <w:p>
            <w:pPr>
              <w:jc w:val="right"/>
              <w:spacing w:after="0"/>
              <w:rPr>
                <w:sz w:val="20"/>
                <w:szCs w:val="20"/>
                <w:color w:val="auto"/>
              </w:rPr>
            </w:pPr>
            <w:r>
              <w:rPr>
                <w:rFonts w:ascii="Arial" w:cs="Arial" w:eastAsia="Arial" w:hAnsi="Arial"/>
                <w:sz w:val="16"/>
                <w:szCs w:val="16"/>
                <w:color w:val="3E3935"/>
              </w:rPr>
              <w:t>$1,933,800</w:t>
            </w:r>
          </w:p>
        </w:tc>
      </w:tr>
      <w:tr>
        <w:trPr>
          <w:trHeight w:val="44"/>
        </w:trPr>
        <w:tc>
          <w:tcPr>
            <w:tcW w:w="152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60" w:type="dxa"/>
            <w:vAlign w:val="bottom"/>
            <w:tcBorders>
              <w:bottom w:val="single" w:sz="8" w:color="3E3935"/>
            </w:tcBorders>
          </w:tcPr>
          <w:p>
            <w:pPr>
              <w:spacing w:after="0"/>
              <w:rPr>
                <w:sz w:val="3"/>
                <w:szCs w:val="3"/>
                <w:color w:val="auto"/>
              </w:rPr>
            </w:pPr>
          </w:p>
        </w:tc>
      </w:tr>
      <w:tr>
        <w:trPr>
          <w:trHeight w:val="301"/>
        </w:trPr>
        <w:tc>
          <w:tcPr>
            <w:tcW w:w="1520" w:type="dxa"/>
            <w:vAlign w:val="bottom"/>
            <w:tcBorders>
              <w:bottom w:val="single" w:sz="8" w:color="3E3935"/>
            </w:tcBorders>
          </w:tcPr>
          <w:p>
            <w:pPr>
              <w:ind w:left="100"/>
              <w:spacing w:after="0" w:line="301" w:lineRule="exact"/>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420"/>
              <w:spacing w:after="0"/>
              <w:rPr>
                <w:sz w:val="20"/>
                <w:szCs w:val="20"/>
                <w:color w:val="auto"/>
              </w:rPr>
            </w:pPr>
            <w:r>
              <w:rPr>
                <w:rFonts w:ascii="Arial" w:cs="Arial" w:eastAsia="Arial" w:hAnsi="Arial"/>
                <w:sz w:val="16"/>
                <w:szCs w:val="16"/>
                <w:color w:val="3E3935"/>
              </w:rPr>
              <w:t>Performance to Metrics and Stock Price</w:t>
            </w:r>
          </w:p>
        </w:tc>
        <w:tc>
          <w:tcPr>
            <w:tcW w:w="1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$4,617,717</w:t>
            </w:r>
          </w:p>
        </w:tc>
      </w:tr>
      <w:tr>
        <w:trPr>
          <w:trHeight w:val="257"/>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$1,246,876</w:t>
            </w:r>
          </w:p>
        </w:tc>
      </w:tr>
      <w:tr>
        <w:trPr>
          <w:trHeight w:val="44"/>
        </w:trPr>
        <w:tc>
          <w:tcPr>
            <w:tcW w:w="152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60" w:type="dxa"/>
            <w:vAlign w:val="bottom"/>
            <w:tcBorders>
              <w:bottom w:val="single" w:sz="8" w:color="3E3935"/>
            </w:tcBorders>
          </w:tcPr>
          <w:p>
            <w:pPr>
              <w:spacing w:after="0"/>
              <w:rPr>
                <w:sz w:val="3"/>
                <w:szCs w:val="3"/>
                <w:color w:val="auto"/>
              </w:rPr>
            </w:pPr>
          </w:p>
        </w:tc>
      </w:tr>
      <w:tr>
        <w:trPr>
          <w:trHeight w:val="267"/>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71CE"/>
              </w:rPr>
              <w:t>$8,648,393</w:t>
            </w:r>
          </w:p>
        </w:tc>
      </w:tr>
      <w:tr>
        <w:trPr>
          <w:trHeight w:val="34"/>
        </w:trPr>
        <w:tc>
          <w:tcPr>
            <w:tcW w:w="1520" w:type="dxa"/>
            <w:vAlign w:val="bottom"/>
            <w:tcBorders>
              <w:bottom w:val="single" w:sz="8" w:color="0071CE"/>
            </w:tcBorders>
          </w:tcPr>
          <w:p>
            <w:pPr>
              <w:spacing w:after="0"/>
              <w:rPr>
                <w:sz w:val="2"/>
                <w:szCs w:val="2"/>
                <w:color w:val="auto"/>
              </w:rPr>
            </w:pPr>
          </w:p>
        </w:tc>
        <w:tc>
          <w:tcPr>
            <w:tcW w:w="3820" w:type="dxa"/>
            <w:vAlign w:val="bottom"/>
            <w:tcBorders>
              <w:bottom w:val="single" w:sz="8" w:color="0071CE"/>
            </w:tcBorders>
          </w:tcPr>
          <w:p>
            <w:pPr>
              <w:spacing w:after="0"/>
              <w:rPr>
                <w:sz w:val="2"/>
                <w:szCs w:val="2"/>
                <w:color w:val="auto"/>
              </w:rPr>
            </w:pPr>
          </w:p>
        </w:tc>
        <w:tc>
          <w:tcPr>
            <w:tcW w:w="1760" w:type="dxa"/>
            <w:vAlign w:val="bottom"/>
            <w:tcBorders>
              <w:bottom w:val="single" w:sz="8" w:color="0071CE"/>
            </w:tcBorders>
          </w:tcPr>
          <w:p>
            <w:pPr>
              <w:spacing w:after="0"/>
              <w:rPr>
                <w:sz w:val="2"/>
                <w:szCs w:val="2"/>
                <w:color w:val="auto"/>
              </w:rPr>
            </w:pPr>
          </w:p>
        </w:tc>
      </w:tr>
    </w:tbl>
    <w:p>
      <w:pPr>
        <w:spacing w:after="0" w:line="73" w:lineRule="exact"/>
        <w:rPr>
          <w:sz w:val="20"/>
          <w:szCs w:val="20"/>
          <w:color w:val="auto"/>
        </w:rPr>
      </w:pPr>
    </w:p>
    <w:p>
      <w:pPr>
        <w:ind w:left="440" w:hanging="273"/>
        <w:spacing w:after="0" w:line="278" w:lineRule="auto"/>
        <w:tabs>
          <w:tab w:leader="none" w:pos="440" w:val="left"/>
        </w:tabs>
        <w:numPr>
          <w:ilvl w:val="0"/>
          <w:numId w:val="111"/>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387"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0071CE"/>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-5275580</wp:posOffset>
            </wp:positionV>
            <wp:extent cx="1715770" cy="48831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5770" cy="488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ectPr>
          <w:pgSz w:w="11900" w:h="16838" w:orient="portrait"/>
          <w:cols w:equalWidth="0" w:num="2">
            <w:col w:w="7260" w:space="320"/>
            <w:col w:w="3500"/>
          </w:cols>
          <w:pgMar w:left="320" w:top="454"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52" w:lineRule="exact"/>
        <w:rPr>
          <w:sz w:val="20"/>
          <w:szCs w:val="20"/>
          <w:color w:val="auto"/>
        </w:rPr>
      </w:pPr>
    </w:p>
    <w:p>
      <w:pPr>
        <w:ind w:left="600" w:hanging="433"/>
        <w:spacing w:after="0"/>
        <w:tabs>
          <w:tab w:leader="none" w:pos="600" w:val="left"/>
        </w:tabs>
        <w:numPr>
          <w:ilvl w:val="0"/>
          <w:numId w:val="112"/>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Decisions for Stephen K. Carlisle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3E3935"/>
        </w:rPr>
        <w:t>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450088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500880" cy="17145"/>
                    </a:xfrm>
                    <a:prstGeom prst="rect">
                      <a:avLst/>
                    </a:prstGeom>
                    <a:noFill/>
                  </pic:spPr>
                </pic:pic>
              </a:graphicData>
            </a:graphic>
          </wp:anchor>
        </w:drawing>
      </w:r>
    </w:p>
    <w:p>
      <w:pPr>
        <w:spacing w:after="0" w:line="107"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Effective January 1, 2021, increased base salary from $800,000 to $850,000.</w:t>
      </w:r>
    </w:p>
    <w:p>
      <w:pPr>
        <w:spacing w:after="0" w:line="11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In addition to the Company’s record EBIT-adjusted and strong AAFCF</w:t>
      </w:r>
      <w:r>
        <w:rPr>
          <w:rFonts w:ascii="Arial" w:cs="Arial" w:eastAsia="Arial" w:hAnsi="Arial"/>
          <w:sz w:val="16"/>
          <w:szCs w:val="16"/>
          <w:b w:val="1"/>
          <w:bCs w:val="1"/>
          <w:color w:val="0071CE"/>
        </w:rPr>
        <w:t xml:space="preserve"> </w:t>
      </w:r>
      <w:r>
        <w:rPr>
          <w:rFonts w:ascii="Arial" w:cs="Arial" w:eastAsia="Arial" w:hAnsi="Arial"/>
          <w:sz w:val="16"/>
          <w:szCs w:val="16"/>
          <w:color w:val="3E3935"/>
        </w:rPr>
        <w:t>performance (discussed on page 60 of this Proxy Statement), Mr. Carlisle was awarded 32 points out of a 25-point target and 50-point maximum for the strategic goals portion for the 2021 STIP performance year. In determining the number of points earned, the Committee considered these results for Mr. Carlisle:</w:t>
      </w:r>
    </w:p>
    <w:p>
      <w:pPr>
        <w:ind w:left="400" w:hanging="233"/>
        <w:spacing w:after="0" w:line="184" w:lineRule="auto"/>
        <w:tabs>
          <w:tab w:leader="none" w:pos="400" w:val="left"/>
        </w:tabs>
        <w:numPr>
          <w:ilvl w:val="0"/>
          <w:numId w:val="113"/>
        </w:numPr>
        <w:rPr>
          <w:rFonts w:ascii="Arial" w:cs="Arial" w:eastAsia="Arial" w:hAnsi="Arial"/>
          <w:sz w:val="35"/>
          <w:szCs w:val="35"/>
          <w:color w:val="0071CE"/>
          <w:vertAlign w:val="subscript"/>
        </w:rPr>
      </w:pPr>
      <w:r>
        <w:rPr>
          <w:rFonts w:ascii="Arial" w:cs="Arial" w:eastAsia="Arial" w:hAnsi="Arial"/>
          <w:sz w:val="14"/>
          <w:szCs w:val="14"/>
          <w:color w:val="3E3935"/>
        </w:rPr>
        <w:t>Increased EV manufacturing capacity in North America;</w:t>
      </w:r>
    </w:p>
    <w:p>
      <w:pPr>
        <w:spacing w:after="0" w:line="73" w:lineRule="exact"/>
        <w:rPr>
          <w:rFonts w:ascii="Arial" w:cs="Arial" w:eastAsia="Arial" w:hAnsi="Arial"/>
          <w:sz w:val="35"/>
          <w:szCs w:val="35"/>
          <w:color w:val="0071CE"/>
          <w:vertAlign w:val="subscript"/>
        </w:rPr>
      </w:pPr>
    </w:p>
    <w:p>
      <w:pPr>
        <w:ind w:left="400" w:hanging="233"/>
        <w:spacing w:after="0" w:line="181" w:lineRule="auto"/>
        <w:tabs>
          <w:tab w:leader="none" w:pos="400" w:val="left"/>
        </w:tabs>
        <w:numPr>
          <w:ilvl w:val="0"/>
          <w:numId w:val="113"/>
        </w:numPr>
        <w:rPr>
          <w:rFonts w:ascii="Arial" w:cs="Arial" w:eastAsia="Arial" w:hAnsi="Arial"/>
          <w:sz w:val="30"/>
          <w:szCs w:val="30"/>
          <w:color w:val="0071CE"/>
          <w:vertAlign w:val="subscript"/>
        </w:rPr>
      </w:pPr>
      <w:r>
        <w:rPr>
          <w:rFonts w:ascii="Arial" w:cs="Arial" w:eastAsia="Arial" w:hAnsi="Arial"/>
          <w:sz w:val="13"/>
          <w:szCs w:val="13"/>
          <w:color w:val="3E3935"/>
        </w:rPr>
        <w:t>Achieved 10 percent EBIT-adjusted margin in North America in a challenging semiconductor and supply chain environment; and</w:t>
      </w:r>
    </w:p>
    <w:p>
      <w:pPr>
        <w:spacing w:after="0" w:line="1" w:lineRule="exact"/>
        <w:rPr>
          <w:rFonts w:ascii="Arial" w:cs="Arial" w:eastAsia="Arial" w:hAnsi="Arial"/>
          <w:sz w:val="30"/>
          <w:szCs w:val="30"/>
          <w:color w:val="0071CE"/>
          <w:vertAlign w:val="subscript"/>
        </w:rPr>
      </w:pPr>
    </w:p>
    <w:p>
      <w:pPr>
        <w:ind w:left="400" w:hanging="233"/>
        <w:spacing w:after="0" w:line="180" w:lineRule="auto"/>
        <w:tabs>
          <w:tab w:leader="none" w:pos="400" w:val="left"/>
        </w:tabs>
        <w:numPr>
          <w:ilvl w:val="0"/>
          <w:numId w:val="113"/>
        </w:numPr>
        <w:rPr>
          <w:rFonts w:ascii="Arial" w:cs="Arial" w:eastAsia="Arial" w:hAnsi="Arial"/>
          <w:sz w:val="38"/>
          <w:szCs w:val="38"/>
          <w:color w:val="0071CE"/>
          <w:vertAlign w:val="subscript"/>
        </w:rPr>
      </w:pPr>
      <w:r>
        <w:rPr>
          <w:rFonts w:ascii="Arial" w:cs="Arial" w:eastAsia="Arial" w:hAnsi="Arial"/>
          <w:sz w:val="15"/>
          <w:szCs w:val="15"/>
          <w:color w:val="3E3935"/>
        </w:rPr>
        <w:t>Maintained leadership in full-size pickups in the U.S. market for the 2</w:t>
      </w:r>
      <w:r>
        <w:rPr>
          <w:rFonts w:ascii="Arial" w:cs="Arial" w:eastAsia="Arial" w:hAnsi="Arial"/>
          <w:sz w:val="24"/>
          <w:szCs w:val="24"/>
          <w:color w:val="3E3935"/>
          <w:vertAlign w:val="superscript"/>
        </w:rPr>
        <w:t>nd</w:t>
      </w:r>
      <w:r>
        <w:rPr>
          <w:rFonts w:ascii="Arial" w:cs="Arial" w:eastAsia="Arial" w:hAnsi="Arial"/>
          <w:sz w:val="15"/>
          <w:szCs w:val="15"/>
          <w:color w:val="3E3935"/>
        </w:rPr>
        <w:t xml:space="preserve"> consecutive year and leadership in full-size SUVs for the 21</w:t>
      </w:r>
      <w:r>
        <w:rPr>
          <w:rFonts w:ascii="Arial" w:cs="Arial" w:eastAsia="Arial" w:hAnsi="Arial"/>
          <w:sz w:val="24"/>
          <w:szCs w:val="24"/>
          <w:color w:val="3E3935"/>
          <w:vertAlign w:val="superscript"/>
        </w:rPr>
        <w:t>st</w:t>
      </w:r>
      <w:r>
        <w:rPr>
          <w:rFonts w:ascii="Arial" w:cs="Arial" w:eastAsia="Arial" w:hAnsi="Arial"/>
          <w:sz w:val="15"/>
          <w:szCs w:val="15"/>
          <w:color w:val="3E3935"/>
        </w:rPr>
        <w:t xml:space="preserve"> consecutive year, as well as other highlights below.</w:t>
      </w:r>
    </w:p>
    <w:p>
      <w:pPr>
        <w:ind w:left="40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Our People</w:t>
      </w:r>
    </w:p>
    <w:p>
      <w:pPr>
        <w:spacing w:after="0" w:line="22" w:lineRule="exact"/>
        <w:rPr>
          <w:rFonts w:ascii="Arial" w:cs="Arial" w:eastAsia="Arial" w:hAnsi="Arial"/>
          <w:sz w:val="38"/>
          <w:szCs w:val="38"/>
          <w:color w:val="0071CE"/>
          <w:vertAlign w:val="subscript"/>
        </w:rPr>
      </w:pPr>
    </w:p>
    <w:p>
      <w:pPr>
        <w:ind w:left="400"/>
        <w:spacing w:after="0" w:line="237"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 Continued to prioritize our safety culture through multiple initiatives </w:t>
      </w:r>
      <w:r>
        <w:rPr>
          <w:rFonts w:ascii="Arial" w:cs="Arial" w:eastAsia="Arial" w:hAnsi="Arial"/>
          <w:sz w:val="1"/>
          <w:szCs w:val="1"/>
          <w:color w:val="0071CE"/>
          <w:vertAlign w:val="subscript"/>
        </w:rPr>
        <w:drawing>
          <wp:inline distT="0" distB="0" distL="0" distR="0">
            <wp:extent cx="76200" cy="762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20" w:hanging="214"/>
        <w:spacing w:after="0" w:line="200"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 Received strong engagement and Inclusivity Index scores, while developing leadership initiatives to</w:t>
      </w:r>
      <w:r>
        <w:rPr>
          <w:rFonts w:ascii="Arial" w:cs="Arial" w:eastAsia="Arial" w:hAnsi="Arial"/>
          <w:sz w:val="23"/>
          <w:szCs w:val="23"/>
          <w:color w:val="00C1DE"/>
        </w:rPr>
        <w:t xml:space="preserve"> </w:t>
      </w:r>
      <w:r>
        <w:rPr>
          <w:rFonts w:ascii="Arial" w:cs="Arial" w:eastAsia="Arial" w:hAnsi="Arial"/>
          <w:sz w:val="14"/>
          <w:szCs w:val="14"/>
          <w:color w:val="3E3935"/>
        </w:rPr>
        <w:t xml:space="preserve">further engage our people in order to become the most inclusive company in the world </w:t>
      </w:r>
      <w:r>
        <w:rPr>
          <w:rFonts w:ascii="Arial" w:cs="Arial" w:eastAsia="Arial" w:hAnsi="Arial"/>
          <w:sz w:val="1"/>
          <w:szCs w:val="1"/>
          <w:color w:val="0071CE"/>
          <w:vertAlign w:val="subscript"/>
        </w:rPr>
        <w:drawing>
          <wp:inline distT="0" distB="0" distL="0" distR="0">
            <wp:extent cx="76200" cy="7620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8" w:lineRule="exact"/>
        <w:rPr>
          <w:rFonts w:ascii="Arial" w:cs="Arial" w:eastAsia="Arial" w:hAnsi="Arial"/>
          <w:sz w:val="38"/>
          <w:szCs w:val="38"/>
          <w:color w:val="0071CE"/>
          <w:vertAlign w:val="subscript"/>
        </w:rPr>
      </w:pPr>
    </w:p>
    <w:p>
      <w:pPr>
        <w:ind w:left="40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Products, Software, and Services</w:t>
      </w:r>
    </w:p>
    <w:p>
      <w:pPr>
        <w:spacing w:after="0" w:line="34" w:lineRule="exact"/>
        <w:rPr>
          <w:rFonts w:ascii="Arial" w:cs="Arial" w:eastAsia="Arial" w:hAnsi="Arial"/>
          <w:sz w:val="38"/>
          <w:szCs w:val="38"/>
          <w:color w:val="0071CE"/>
          <w:vertAlign w:val="subscript"/>
        </w:rPr>
      </w:pPr>
    </w:p>
    <w:p>
      <w:pPr>
        <w:ind w:left="400"/>
        <w:spacing w:after="0"/>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 Received Top Overall Manufacturer Loyalty award by IHS Markit for the 6</w:t>
      </w:r>
      <w:r>
        <w:rPr>
          <w:rFonts w:ascii="Arial" w:cs="Arial" w:eastAsia="Arial" w:hAnsi="Arial"/>
          <w:sz w:val="23"/>
          <w:szCs w:val="23"/>
          <w:color w:val="3E3935"/>
          <w:vertAlign w:val="superscript"/>
        </w:rPr>
        <w:t>th</w:t>
      </w:r>
      <w:r>
        <w:rPr>
          <w:rFonts w:ascii="Arial" w:cs="Arial" w:eastAsia="Arial" w:hAnsi="Arial"/>
          <w:sz w:val="23"/>
          <w:szCs w:val="23"/>
          <w:color w:val="00C1DE"/>
        </w:rPr>
        <w:t xml:space="preserve"> </w:t>
      </w:r>
      <w:r>
        <w:rPr>
          <w:rFonts w:ascii="Arial" w:cs="Arial" w:eastAsia="Arial" w:hAnsi="Arial"/>
          <w:sz w:val="14"/>
          <w:szCs w:val="14"/>
          <w:color w:val="3E3935"/>
        </w:rPr>
        <w:t>consecutive year</w:t>
      </w:r>
    </w:p>
    <w:p>
      <w:pPr>
        <w:spacing w:after="0" w:line="19" w:lineRule="exact"/>
        <w:rPr>
          <w:rFonts w:ascii="Arial" w:cs="Arial" w:eastAsia="Arial" w:hAnsi="Arial"/>
          <w:sz w:val="38"/>
          <w:szCs w:val="38"/>
          <w:color w:val="0071CE"/>
          <w:vertAlign w:val="subscript"/>
        </w:rPr>
      </w:pPr>
    </w:p>
    <w:p>
      <w:pPr>
        <w:ind w:left="620" w:right="200" w:hanging="214"/>
        <w:spacing w:after="0" w:line="183"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 Achieved top three ranks in J.D. Powers Sales Satisfaction Index Study’s mass market category for</w:t>
      </w:r>
      <w:r>
        <w:rPr>
          <w:rFonts w:ascii="Arial" w:cs="Arial" w:eastAsia="Arial" w:hAnsi="Arial"/>
          <w:sz w:val="23"/>
          <w:szCs w:val="23"/>
          <w:color w:val="00C1DE"/>
        </w:rPr>
        <w:t xml:space="preserve"> </w:t>
      </w:r>
      <w:r>
        <w:rPr>
          <w:rFonts w:ascii="Arial" w:cs="Arial" w:eastAsia="Arial" w:hAnsi="Arial"/>
          <w:sz w:val="14"/>
          <w:szCs w:val="14"/>
          <w:color w:val="3E3935"/>
        </w:rPr>
        <w:t>GMC, Buick, and Chevrolet</w:t>
      </w:r>
    </w:p>
    <w:p>
      <w:pPr>
        <w:spacing w:after="0" w:line="40" w:lineRule="exact"/>
        <w:rPr>
          <w:rFonts w:ascii="Arial" w:cs="Arial" w:eastAsia="Arial" w:hAnsi="Arial"/>
          <w:sz w:val="38"/>
          <w:szCs w:val="38"/>
          <w:color w:val="0071CE"/>
          <w:vertAlign w:val="subscript"/>
        </w:rPr>
      </w:pPr>
    </w:p>
    <w:p>
      <w:pPr>
        <w:ind w:left="40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Citizenship</w:t>
      </w:r>
    </w:p>
    <w:p>
      <w:pPr>
        <w:spacing w:after="0" w:line="34" w:lineRule="exact"/>
        <w:rPr>
          <w:rFonts w:ascii="Arial" w:cs="Arial" w:eastAsia="Arial" w:hAnsi="Arial"/>
          <w:sz w:val="38"/>
          <w:szCs w:val="38"/>
          <w:color w:val="0071CE"/>
          <w:vertAlign w:val="subscript"/>
        </w:rPr>
      </w:pPr>
    </w:p>
    <w:p>
      <w:pPr>
        <w:ind w:left="620" w:right="200" w:hanging="214"/>
        <w:spacing w:after="0" w:line="191"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plan to source 100 percent renewable energy to power our U.S. sites by 2025 – five years</w:t>
      </w:r>
      <w:r>
        <w:rPr>
          <w:rFonts w:ascii="Arial" w:cs="Arial" w:eastAsia="Arial" w:hAnsi="Arial"/>
          <w:sz w:val="23"/>
          <w:szCs w:val="23"/>
          <w:color w:val="00C1DE"/>
        </w:rPr>
        <w:t xml:space="preserve"> </w:t>
      </w:r>
      <w:r>
        <w:rPr>
          <w:rFonts w:ascii="Arial" w:cs="Arial" w:eastAsia="Arial" w:hAnsi="Arial"/>
          <w:sz w:val="14"/>
          <w:szCs w:val="14"/>
          <w:color w:val="3E3935"/>
        </w:rPr>
        <w:t xml:space="preserve">earlier than previously announced, and 25 years ahead of its initial target </w:t>
      </w:r>
      <w:r>
        <w:rPr>
          <w:rFonts w:ascii="Arial" w:cs="Arial" w:eastAsia="Arial" w:hAnsi="Arial"/>
          <w:sz w:val="1"/>
          <w:szCs w:val="1"/>
          <w:color w:val="0071CE"/>
          <w:vertAlign w:val="subscript"/>
        </w:rPr>
        <w:drawing>
          <wp:inline distT="0" distB="0" distL="0" distR="0">
            <wp:extent cx="76200" cy="7620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400"/>
        <w:spacing w:after="0"/>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 Progressed towards GHG compliance in North America </w:t>
      </w:r>
      <w:r>
        <w:rPr>
          <w:rFonts w:ascii="Arial" w:cs="Arial" w:eastAsia="Arial" w:hAnsi="Arial"/>
          <w:sz w:val="1"/>
          <w:szCs w:val="1"/>
          <w:color w:val="0071CE"/>
          <w:vertAlign w:val="subscript"/>
        </w:rPr>
        <w:drawing>
          <wp:inline distT="0" distB="0" distL="0" distR="0">
            <wp:extent cx="76200" cy="7620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 w:lineRule="exact"/>
        <w:rPr>
          <w:rFonts w:ascii="Arial" w:cs="Arial" w:eastAsia="Arial" w:hAnsi="Arial"/>
          <w:sz w:val="38"/>
          <w:szCs w:val="38"/>
          <w:color w:val="0071CE"/>
          <w:vertAlign w:val="subscript"/>
        </w:rPr>
      </w:pPr>
    </w:p>
    <w:p>
      <w:pPr>
        <w:ind w:left="620" w:right="200" w:hanging="214"/>
        <w:spacing w:after="0" w:line="241"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 Committed a $50 million investment, in collaboration with the City of Detroit, into Detroit-based</w:t>
      </w:r>
      <w:r>
        <w:rPr>
          <w:rFonts w:ascii="Arial" w:cs="Arial" w:eastAsia="Arial" w:hAnsi="Arial"/>
          <w:sz w:val="23"/>
          <w:szCs w:val="23"/>
          <w:color w:val="00C1DE"/>
        </w:rPr>
        <w:t xml:space="preserve"> </w:t>
      </w:r>
      <w:r>
        <w:rPr>
          <w:rFonts w:ascii="Arial" w:cs="Arial" w:eastAsia="Arial" w:hAnsi="Arial"/>
          <w:sz w:val="14"/>
          <w:szCs w:val="14"/>
          <w:color w:val="3E3935"/>
        </w:rPr>
        <w:t xml:space="preserve">nonprofit programs that expand access to education and employment opportunities and strengthen city neighborhoods </w:t>
      </w:r>
      <w:r>
        <w:rPr>
          <w:rFonts w:ascii="Arial" w:cs="Arial" w:eastAsia="Arial" w:hAnsi="Arial"/>
          <w:sz w:val="1"/>
          <w:szCs w:val="1"/>
          <w:color w:val="0071CE"/>
          <w:vertAlign w:val="subscript"/>
        </w:rPr>
        <w:drawing>
          <wp:inline distT="0" distB="0" distL="0" distR="0">
            <wp:extent cx="76200" cy="7620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7" w:lineRule="exact"/>
        <w:rPr>
          <w:rFonts w:ascii="Arial" w:cs="Arial" w:eastAsia="Arial" w:hAnsi="Arial"/>
          <w:sz w:val="38"/>
          <w:szCs w:val="38"/>
          <w:color w:val="0071CE"/>
          <w:vertAlign w:val="subscript"/>
        </w:rPr>
      </w:pPr>
    </w:p>
    <w:p>
      <w:pPr>
        <w:ind w:left="40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Enterprise</w:t>
      </w:r>
    </w:p>
    <w:p>
      <w:pPr>
        <w:spacing w:after="0" w:line="34" w:lineRule="exact"/>
        <w:rPr>
          <w:rFonts w:ascii="Arial" w:cs="Arial" w:eastAsia="Arial" w:hAnsi="Arial"/>
          <w:sz w:val="38"/>
          <w:szCs w:val="38"/>
          <w:color w:val="0071CE"/>
          <w:vertAlign w:val="subscript"/>
        </w:rPr>
      </w:pPr>
    </w:p>
    <w:p>
      <w:pPr>
        <w:ind w:left="620" w:right="200" w:hanging="214"/>
        <w:spacing w:after="0" w:line="191"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 Announced investments totaling more than $14 billion in 10 North American sites to increase EV</w:t>
      </w:r>
      <w:r>
        <w:rPr>
          <w:rFonts w:ascii="Arial" w:cs="Arial" w:eastAsia="Arial" w:hAnsi="Arial"/>
          <w:sz w:val="23"/>
          <w:szCs w:val="23"/>
          <w:color w:val="00C1DE"/>
        </w:rPr>
        <w:t xml:space="preserve"> </w:t>
      </w:r>
      <w:r>
        <w:rPr>
          <w:rFonts w:ascii="Arial" w:cs="Arial" w:eastAsia="Arial" w:hAnsi="Arial"/>
          <w:sz w:val="14"/>
          <w:szCs w:val="14"/>
          <w:color w:val="3E3935"/>
        </w:rPr>
        <w:t xml:space="preserve">manufacturing capacity to more than 1 million annually by the end of 2025 </w:t>
      </w:r>
      <w:r>
        <w:rPr>
          <w:rFonts w:ascii="Arial" w:cs="Arial" w:eastAsia="Arial" w:hAnsi="Arial"/>
          <w:sz w:val="1"/>
          <w:szCs w:val="1"/>
          <w:color w:val="0071CE"/>
          <w:vertAlign w:val="subscript"/>
        </w:rPr>
        <w:drawing>
          <wp:inline distT="0" distB="0" distL="0" distR="0">
            <wp:extent cx="76200" cy="7620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620" w:right="200" w:hanging="214"/>
        <w:spacing w:after="0" w:line="243"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 Launched the Oshawa Assembly Plant in less than one year, one of the fastest retooling plant</w:t>
      </w:r>
      <w:r>
        <w:rPr>
          <w:rFonts w:ascii="Arial" w:cs="Arial" w:eastAsia="Arial" w:hAnsi="Arial"/>
          <w:sz w:val="23"/>
          <w:szCs w:val="23"/>
          <w:color w:val="00C1DE"/>
        </w:rPr>
        <w:t xml:space="preserve"> </w:t>
      </w:r>
      <w:r>
        <w:rPr>
          <w:rFonts w:ascii="Arial" w:cs="Arial" w:eastAsia="Arial" w:hAnsi="Arial"/>
          <w:sz w:val="14"/>
          <w:szCs w:val="14"/>
          <w:color w:val="3E3935"/>
        </w:rPr>
        <w:t>launches in GM history</w:t>
      </w:r>
    </w:p>
    <w:p>
      <w:pPr>
        <w:spacing w:after="0" w:line="35" w:lineRule="exact"/>
        <w:rPr>
          <w:rFonts w:ascii="Arial" w:cs="Arial" w:eastAsia="Arial" w:hAnsi="Arial"/>
          <w:sz w:val="38"/>
          <w:szCs w:val="38"/>
          <w:color w:val="0071CE"/>
          <w:vertAlign w:val="subscript"/>
        </w:rPr>
      </w:pPr>
    </w:p>
    <w:p>
      <w:pPr>
        <w:ind w:left="40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Customer Experience</w:t>
      </w:r>
    </w:p>
    <w:p>
      <w:pPr>
        <w:spacing w:after="0" w:line="34" w:lineRule="exact"/>
        <w:rPr>
          <w:rFonts w:ascii="Arial" w:cs="Arial" w:eastAsia="Arial" w:hAnsi="Arial"/>
          <w:sz w:val="38"/>
          <w:szCs w:val="38"/>
          <w:color w:val="0071CE"/>
          <w:vertAlign w:val="subscript"/>
        </w:rPr>
      </w:pPr>
    </w:p>
    <w:p>
      <w:pPr>
        <w:ind w:left="400"/>
        <w:spacing w:after="0" w:line="237"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 Achieved strong dealer return on sales in the U.S. despite supply chain headwinds</w:t>
      </w:r>
    </w:p>
    <w:p>
      <w:pPr>
        <w:ind w:left="620" w:right="220" w:hanging="214"/>
        <w:spacing w:after="0" w:line="194"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 Developed the all-new My GM Rewards loyalty program for Chevrolet, Buick, GMC, and Cadillac</w:t>
      </w:r>
      <w:r>
        <w:rPr>
          <w:rFonts w:ascii="Arial" w:cs="Arial" w:eastAsia="Arial" w:hAnsi="Arial"/>
          <w:sz w:val="23"/>
          <w:szCs w:val="23"/>
          <w:color w:val="00C1DE"/>
        </w:rPr>
        <w:t xml:space="preserve"> </w:t>
      </w:r>
      <w:r>
        <w:rPr>
          <w:rFonts w:ascii="Arial" w:cs="Arial" w:eastAsia="Arial" w:hAnsi="Arial"/>
          <w:sz w:val="14"/>
          <w:szCs w:val="14"/>
          <w:color w:val="3E3935"/>
        </w:rPr>
        <w:t>customers, enhancing the ownership experience</w:t>
      </w:r>
    </w:p>
    <w:p>
      <w:pPr>
        <w:ind w:left="620" w:right="200" w:hanging="214"/>
        <w:spacing w:after="0" w:line="243" w:lineRule="auto"/>
        <w:rPr>
          <w:rFonts w:ascii="Arial" w:cs="Arial" w:eastAsia="Arial" w:hAnsi="Arial"/>
          <w:sz w:val="38"/>
          <w:szCs w:val="38"/>
          <w:color w:val="0071CE"/>
          <w:vertAlign w:val="subscript"/>
        </w:rPr>
      </w:pPr>
      <w:r>
        <w:rPr>
          <w:rFonts w:ascii="Arial" w:cs="Arial" w:eastAsia="Arial" w:hAnsi="Arial"/>
          <w:sz w:val="23"/>
          <w:szCs w:val="23"/>
          <w:color w:val="00C1DE"/>
        </w:rPr>
        <w:t>•</w:t>
      </w:r>
      <w:r>
        <w:rPr>
          <w:rFonts w:ascii="Arial" w:cs="Arial" w:eastAsia="Arial" w:hAnsi="Arial"/>
          <w:sz w:val="14"/>
          <w:szCs w:val="14"/>
          <w:color w:val="3E3935"/>
        </w:rPr>
        <w:t xml:space="preserve">   Focused on increasing net promoter scores across all regions aligning with our aspiration to become</w:t>
      </w:r>
      <w:r>
        <w:rPr>
          <w:rFonts w:ascii="Arial" w:cs="Arial" w:eastAsia="Arial" w:hAnsi="Arial"/>
          <w:sz w:val="23"/>
          <w:szCs w:val="23"/>
          <w:color w:val="00C1DE"/>
        </w:rPr>
        <w:t xml:space="preserve"> </w:t>
      </w:r>
      <w:r>
        <w:rPr>
          <w:rFonts w:ascii="Arial" w:cs="Arial" w:eastAsia="Arial" w:hAnsi="Arial"/>
          <w:sz w:val="14"/>
          <w:szCs w:val="14"/>
          <w:color w:val="3E3935"/>
        </w:rPr>
        <w:t>a leading customer experience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-3682365</wp:posOffset>
            </wp:positionV>
            <wp:extent cx="4500880" cy="37280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500880" cy="3728085"/>
                    </a:xfrm>
                    <a:prstGeom prst="rect">
                      <a:avLst/>
                    </a:prstGeom>
                    <a:noFill/>
                  </pic:spPr>
                </pic:pic>
              </a:graphicData>
            </a:graphic>
          </wp:anchor>
        </w:drawing>
      </w:r>
    </w:p>
    <w:p>
      <w:pPr>
        <w:spacing w:after="0" w:line="144"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2021, awarded an annual LTIP grant of $4.99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3E3935"/>
        </w:rPr>
        <w:t>Total awarded compensation for 2021,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45008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1520" w:type="dxa"/>
            <w:vAlign w:val="bottom"/>
            <w:tcBorders>
              <w:bottom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bottom w:val="single" w:sz="8" w:color="00C1DE"/>
            </w:tcBorders>
          </w:tcPr>
          <w:p>
            <w:pPr>
              <w:ind w:left="420"/>
              <w:spacing w:after="0"/>
              <w:rPr>
                <w:sz w:val="20"/>
                <w:szCs w:val="20"/>
                <w:color w:val="auto"/>
              </w:rPr>
            </w:pPr>
            <w:r>
              <w:rPr>
                <w:rFonts w:ascii="Arial" w:cs="Arial" w:eastAsia="Arial" w:hAnsi="Arial"/>
                <w:sz w:val="16"/>
                <w:szCs w:val="16"/>
                <w:b w:val="1"/>
                <w:bCs w:val="1"/>
                <w:color w:val="00C1DE"/>
              </w:rPr>
              <w:t>Majority of Pay Is At-Risk</w:t>
            </w:r>
          </w:p>
        </w:tc>
        <w:tc>
          <w:tcPr>
            <w:tcW w:w="176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1"/>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420"/>
              <w:spacing w:after="0"/>
              <w:rPr>
                <w:sz w:val="20"/>
                <w:szCs w:val="20"/>
                <w:color w:val="auto"/>
              </w:rPr>
            </w:pPr>
            <w:r>
              <w:rPr>
                <w:rFonts w:ascii="Arial" w:cs="Arial" w:eastAsia="Arial" w:hAnsi="Arial"/>
                <w:sz w:val="16"/>
                <w:szCs w:val="16"/>
                <w:color w:val="3E3935"/>
              </w:rPr>
              <w:t>Only Fixed Pay Element</w:t>
            </w:r>
          </w:p>
        </w:tc>
        <w:tc>
          <w:tcPr>
            <w:tcW w:w="1760" w:type="dxa"/>
            <w:vAlign w:val="bottom"/>
          </w:tcPr>
          <w:p>
            <w:pPr>
              <w:jc w:val="right"/>
              <w:spacing w:after="0"/>
              <w:rPr>
                <w:sz w:val="20"/>
                <w:szCs w:val="20"/>
                <w:color w:val="auto"/>
              </w:rPr>
            </w:pPr>
            <w:r>
              <w:rPr>
                <w:rFonts w:ascii="Arial" w:cs="Arial" w:eastAsia="Arial" w:hAnsi="Arial"/>
                <w:sz w:val="16"/>
                <w:szCs w:val="16"/>
                <w:color w:val="3E3935"/>
              </w:rPr>
              <w:t>$850,000</w:t>
            </w:r>
          </w:p>
        </w:tc>
      </w:tr>
      <w:tr>
        <w:trPr>
          <w:trHeight w:val="44"/>
        </w:trPr>
        <w:tc>
          <w:tcPr>
            <w:tcW w:w="152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60" w:type="dxa"/>
            <w:vAlign w:val="bottom"/>
            <w:tcBorders>
              <w:bottom w:val="single" w:sz="8" w:color="3E3935"/>
            </w:tcBorders>
          </w:tcPr>
          <w:p>
            <w:pPr>
              <w:spacing w:after="0"/>
              <w:rPr>
                <w:sz w:val="3"/>
                <w:szCs w:val="3"/>
                <w:color w:val="auto"/>
              </w:rPr>
            </w:pPr>
          </w:p>
        </w:tc>
      </w:tr>
      <w:tr>
        <w:trPr>
          <w:trHeight w:val="257"/>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Metrics</w:t>
            </w:r>
          </w:p>
        </w:tc>
        <w:tc>
          <w:tcPr>
            <w:tcW w:w="1760" w:type="dxa"/>
            <w:vAlign w:val="bottom"/>
          </w:tcPr>
          <w:p>
            <w:pPr>
              <w:jc w:val="right"/>
              <w:spacing w:after="0"/>
              <w:rPr>
                <w:sz w:val="20"/>
                <w:szCs w:val="20"/>
                <w:color w:val="auto"/>
              </w:rPr>
            </w:pPr>
            <w:r>
              <w:rPr>
                <w:rFonts w:ascii="Arial" w:cs="Arial" w:eastAsia="Arial" w:hAnsi="Arial"/>
                <w:sz w:val="16"/>
                <w:szCs w:val="16"/>
                <w:color w:val="3E3935"/>
              </w:rPr>
              <w:t>$1,933,800</w:t>
            </w:r>
          </w:p>
        </w:tc>
      </w:tr>
      <w:tr>
        <w:trPr>
          <w:trHeight w:val="44"/>
        </w:trPr>
        <w:tc>
          <w:tcPr>
            <w:tcW w:w="152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60" w:type="dxa"/>
            <w:vAlign w:val="bottom"/>
            <w:tcBorders>
              <w:bottom w:val="single" w:sz="8" w:color="3E3935"/>
            </w:tcBorders>
          </w:tcPr>
          <w:p>
            <w:pPr>
              <w:spacing w:after="0"/>
              <w:rPr>
                <w:sz w:val="3"/>
                <w:szCs w:val="3"/>
                <w:color w:val="auto"/>
              </w:rPr>
            </w:pPr>
          </w:p>
        </w:tc>
      </w:tr>
      <w:tr>
        <w:trPr>
          <w:trHeight w:val="301"/>
        </w:trPr>
        <w:tc>
          <w:tcPr>
            <w:tcW w:w="1520" w:type="dxa"/>
            <w:vAlign w:val="bottom"/>
            <w:tcBorders>
              <w:bottom w:val="single" w:sz="8" w:color="3E3935"/>
            </w:tcBorders>
          </w:tcPr>
          <w:p>
            <w:pPr>
              <w:ind w:left="100"/>
              <w:spacing w:after="0" w:line="301" w:lineRule="exact"/>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420"/>
              <w:spacing w:after="0"/>
              <w:rPr>
                <w:sz w:val="20"/>
                <w:szCs w:val="20"/>
                <w:color w:val="auto"/>
              </w:rPr>
            </w:pPr>
            <w:r>
              <w:rPr>
                <w:rFonts w:ascii="Arial" w:cs="Arial" w:eastAsia="Arial" w:hAnsi="Arial"/>
                <w:sz w:val="16"/>
                <w:szCs w:val="16"/>
                <w:color w:val="3E3935"/>
              </w:rPr>
              <w:t>Performance to Metrics and Stock Price</w:t>
            </w:r>
          </w:p>
        </w:tc>
        <w:tc>
          <w:tcPr>
            <w:tcW w:w="1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$4,617,717</w:t>
            </w:r>
          </w:p>
        </w:tc>
      </w:tr>
      <w:tr>
        <w:trPr>
          <w:trHeight w:val="257"/>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$1,246,876</w:t>
            </w:r>
          </w:p>
        </w:tc>
      </w:tr>
      <w:tr>
        <w:trPr>
          <w:trHeight w:val="44"/>
        </w:trPr>
        <w:tc>
          <w:tcPr>
            <w:tcW w:w="1520" w:type="dxa"/>
            <w:vAlign w:val="bottom"/>
            <w:tcBorders>
              <w:bottom w:val="single" w:sz="8" w:color="3E3935"/>
            </w:tcBorders>
          </w:tcPr>
          <w:p>
            <w:pPr>
              <w:spacing w:after="0"/>
              <w:rPr>
                <w:sz w:val="3"/>
                <w:szCs w:val="3"/>
                <w:color w:val="auto"/>
              </w:rPr>
            </w:pPr>
          </w:p>
        </w:tc>
        <w:tc>
          <w:tcPr>
            <w:tcW w:w="3820" w:type="dxa"/>
            <w:vAlign w:val="bottom"/>
            <w:tcBorders>
              <w:bottom w:val="single" w:sz="8" w:color="3E3935"/>
            </w:tcBorders>
          </w:tcPr>
          <w:p>
            <w:pPr>
              <w:spacing w:after="0"/>
              <w:rPr>
                <w:sz w:val="3"/>
                <w:szCs w:val="3"/>
                <w:color w:val="auto"/>
              </w:rPr>
            </w:pPr>
          </w:p>
        </w:tc>
        <w:tc>
          <w:tcPr>
            <w:tcW w:w="1760" w:type="dxa"/>
            <w:vAlign w:val="bottom"/>
            <w:tcBorders>
              <w:bottom w:val="single" w:sz="8" w:color="3E3935"/>
            </w:tcBorders>
          </w:tcPr>
          <w:p>
            <w:pPr>
              <w:spacing w:after="0"/>
              <w:rPr>
                <w:sz w:val="3"/>
                <w:szCs w:val="3"/>
                <w:color w:val="auto"/>
              </w:rPr>
            </w:pPr>
          </w:p>
        </w:tc>
      </w:tr>
      <w:tr>
        <w:trPr>
          <w:trHeight w:val="267"/>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71CE"/>
              </w:rPr>
              <w:t>$8,648,393</w:t>
            </w:r>
          </w:p>
        </w:tc>
      </w:tr>
      <w:tr>
        <w:trPr>
          <w:trHeight w:val="34"/>
        </w:trPr>
        <w:tc>
          <w:tcPr>
            <w:tcW w:w="1520" w:type="dxa"/>
            <w:vAlign w:val="bottom"/>
            <w:tcBorders>
              <w:bottom w:val="single" w:sz="8" w:color="0071CE"/>
            </w:tcBorders>
          </w:tcPr>
          <w:p>
            <w:pPr>
              <w:spacing w:after="0"/>
              <w:rPr>
                <w:sz w:val="2"/>
                <w:szCs w:val="2"/>
                <w:color w:val="auto"/>
              </w:rPr>
            </w:pPr>
          </w:p>
        </w:tc>
        <w:tc>
          <w:tcPr>
            <w:tcW w:w="3820" w:type="dxa"/>
            <w:vAlign w:val="bottom"/>
            <w:tcBorders>
              <w:bottom w:val="single" w:sz="8" w:color="0071CE"/>
            </w:tcBorders>
          </w:tcPr>
          <w:p>
            <w:pPr>
              <w:spacing w:after="0"/>
              <w:rPr>
                <w:sz w:val="2"/>
                <w:szCs w:val="2"/>
                <w:color w:val="auto"/>
              </w:rPr>
            </w:pPr>
          </w:p>
        </w:tc>
        <w:tc>
          <w:tcPr>
            <w:tcW w:w="1760" w:type="dxa"/>
            <w:vAlign w:val="bottom"/>
            <w:tcBorders>
              <w:bottom w:val="single" w:sz="8" w:color="0071CE"/>
            </w:tcBorders>
          </w:tcPr>
          <w:p>
            <w:pPr>
              <w:spacing w:after="0"/>
              <w:rPr>
                <w:sz w:val="2"/>
                <w:szCs w:val="2"/>
                <w:color w:val="auto"/>
              </w:rPr>
            </w:pPr>
          </w:p>
        </w:tc>
      </w:tr>
    </w:tbl>
    <w:p>
      <w:pPr>
        <w:spacing w:after="0" w:line="73" w:lineRule="exact"/>
        <w:rPr>
          <w:sz w:val="20"/>
          <w:szCs w:val="20"/>
          <w:color w:val="auto"/>
        </w:rPr>
      </w:pPr>
    </w:p>
    <w:p>
      <w:pPr>
        <w:ind w:left="440" w:hanging="273"/>
        <w:spacing w:after="0" w:line="278" w:lineRule="auto"/>
        <w:tabs>
          <w:tab w:leader="none" w:pos="440" w:val="left"/>
        </w:tabs>
        <w:numPr>
          <w:ilvl w:val="0"/>
          <w:numId w:val="114"/>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320040</wp:posOffset>
            </wp:positionV>
            <wp:extent cx="5927725" cy="1016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-5224780</wp:posOffset>
            </wp:positionV>
            <wp:extent cx="1715770" cy="4832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577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82" w:lineRule="exact"/>
        <w:rPr>
          <w:sz w:val="20"/>
          <w:szCs w:val="20"/>
          <w:color w:val="auto"/>
        </w:rPr>
      </w:pPr>
    </w:p>
    <w:p>
      <w:pPr>
        <w:ind w:left="3020"/>
        <w:spacing w:after="0"/>
        <w:rPr>
          <w:sz w:val="20"/>
          <w:szCs w:val="20"/>
          <w:color w:val="auto"/>
        </w:rPr>
      </w:pPr>
      <w:r>
        <w:rPr>
          <w:rFonts w:ascii="Arial" w:cs="Arial" w:eastAsia="Arial" w:hAnsi="Arial"/>
          <w:sz w:val="14"/>
          <w:szCs w:val="14"/>
          <w:color w:val="0071CE"/>
        </w:rPr>
        <w:t>65</w:t>
      </w:r>
    </w:p>
    <w:p>
      <w:pPr>
        <w:sectPr>
          <w:pgSz w:w="11900" w:h="16838" w:orient="portrait"/>
          <w:cols w:equalWidth="0" w:num="2">
            <w:col w:w="7260" w:space="320"/>
            <w:col w:w="3500"/>
          </w:cols>
          <w:pgMar w:left="320" w:top="454"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Compensation Policies and Governance Practices</w:t>
      </w:r>
    </w:p>
    <w:p>
      <w:pPr>
        <w:spacing w:after="0" w:line="158" w:lineRule="exact"/>
        <w:rPr>
          <w:sz w:val="20"/>
          <w:szCs w:val="20"/>
          <w:color w:val="auto"/>
        </w:rPr>
      </w:pPr>
    </w:p>
    <w:p>
      <w:pPr>
        <w:ind w:left="700" w:hanging="533"/>
        <w:spacing w:after="0"/>
        <w:tabs>
          <w:tab w:leader="none" w:pos="700" w:val="left"/>
        </w:tabs>
        <w:numPr>
          <w:ilvl w:val="0"/>
          <w:numId w:val="115"/>
        </w:numPr>
        <w:rPr>
          <w:rFonts w:ascii="Times New Roman" w:cs="Times New Roman" w:eastAsia="Times New Roman" w:hAnsi="Times New Roman"/>
          <w:sz w:val="21"/>
          <w:szCs w:val="21"/>
          <w:color w:val="0071CE"/>
        </w:rPr>
      </w:pPr>
      <w:r>
        <w:rPr>
          <w:rFonts w:ascii="Arial" w:cs="Arial" w:eastAsia="Arial" w:hAnsi="Arial"/>
          <w:sz w:val="25"/>
          <w:szCs w:val="25"/>
          <w:color w:val="3E3935"/>
        </w:rPr>
        <w:t>Stock Ownership Requirements</w:t>
      </w:r>
    </w:p>
    <w:p>
      <w:pPr>
        <w:spacing w:after="0" w:line="155"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Company requires our senior leaders to own GM stock to align their interests with those of our shareholders. Our stock ownership requirements:</w:t>
      </w:r>
    </w:p>
    <w:p>
      <w:pPr>
        <w:spacing w:after="0" w:line="27" w:lineRule="exact"/>
        <w:rPr>
          <w:sz w:val="20"/>
          <w:szCs w:val="20"/>
          <w:color w:val="auto"/>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Cover all senior leaders</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Set a five-year time frame to meet ownership requirements</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Require senior leaders to continually hold owned shares to maintain ownership requirements</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Establish a multiple of each executive’s base salary on the date first covered</w:t>
      </w:r>
    </w:p>
    <w:p>
      <w:pPr>
        <w:spacing w:after="0" w:line="64" w:lineRule="exact"/>
        <w:rPr>
          <w:rFonts w:ascii="Arial" w:cs="Arial" w:eastAsia="Arial" w:hAnsi="Arial"/>
          <w:sz w:val="18"/>
          <w:szCs w:val="18"/>
          <w:color w:val="00C1DE"/>
        </w:rPr>
      </w:pPr>
    </w:p>
    <w:p>
      <w:pPr>
        <w:ind w:left="380" w:hanging="213"/>
        <w:spacing w:after="0" w:line="251" w:lineRule="auto"/>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Allow the opportunity to own either a required number of shares or the total dollar value of shares to meet ownership requirements</w:t>
      </w:r>
    </w:p>
    <w:p>
      <w:pPr>
        <w:spacing w:after="0" w:line="27"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Count only actual share holdings and unvested RSUs (i.e., excludes stock options and unvested PSUs)</w:t>
      </w:r>
    </w:p>
    <w:p>
      <w:pPr>
        <w:spacing w:after="0" w:line="198"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table below shows the stock ownership requirement by level in the Company. As of December 31, 2021, all NEOs have met or are on track to meet stock ownership requirements by their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132715</wp:posOffset>
            </wp:positionV>
            <wp:extent cx="5137785" cy="9766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37785" cy="97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hanging="533"/>
        <w:spacing w:after="0"/>
        <w:tabs>
          <w:tab w:leader="none" w:pos="700" w:val="left"/>
        </w:tabs>
        <w:numPr>
          <w:ilvl w:val="0"/>
          <w:numId w:val="117"/>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Risk Assessment</w:t>
      </w:r>
    </w:p>
    <w:p>
      <w:pPr>
        <w:spacing w:after="0" w:line="15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Compensation Committee annually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risk-taking. The Committee also confirms the alignment of the compensation programs to the Company’s sustainability risks and opportunities.</w:t>
      </w:r>
    </w:p>
    <w:p>
      <w:pPr>
        <w:spacing w:after="0" w:line="92"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annual risk review, completed on October 22, 2021, with assistance from our human resources, audit, and legal organizations, involved analyzing our current compensation programs in relation to risk. Our analysis concluded that our compensation programs include the following risk mitigation features: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Mix of Pay Elements </w:t>
      </w:r>
      <w:r>
        <w:rPr>
          <w:rFonts w:ascii="Arial" w:cs="Arial" w:eastAsia="Arial" w:hAnsi="Arial"/>
          <w:sz w:val="20"/>
          <w:szCs w:val="20"/>
          <w:color w:val="3E3935"/>
        </w:rPr>
        <w:t>– Base salary, STIP, PSUs, and Stock Options are included in the executive compensation program.</w:t>
      </w:r>
    </w:p>
    <w:p>
      <w:pPr>
        <w:spacing w:after="0" w:line="131"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71CE"/>
        </w:rPr>
        <w:t xml:space="preserve">Short-Term and Long-Term Plans </w:t>
      </w:r>
      <w:r>
        <w:rPr>
          <w:rFonts w:ascii="Arial" w:cs="Arial" w:eastAsia="Arial" w:hAnsi="Arial"/>
          <w:sz w:val="20"/>
          <w:szCs w:val="20"/>
          <w:color w:val="3E3935"/>
        </w:rPr>
        <w:t>– The mix of our short-term and long-term compensation plans appropriately reward</w:t>
      </w:r>
      <w:r>
        <w:rPr>
          <w:rFonts w:ascii="Arial" w:cs="Arial" w:eastAsia="Arial" w:hAnsi="Arial"/>
          <w:sz w:val="20"/>
          <w:szCs w:val="20"/>
          <w:b w:val="1"/>
          <w:bCs w:val="1"/>
          <w:color w:val="0071CE"/>
        </w:rPr>
        <w:t xml:space="preserve"> </w:t>
      </w:r>
      <w:r>
        <w:rPr>
          <w:rFonts w:ascii="Arial" w:cs="Arial" w:eastAsia="Arial" w:hAnsi="Arial"/>
          <w:sz w:val="20"/>
          <w:szCs w:val="20"/>
          <w:color w:val="3E3935"/>
        </w:rPr>
        <w:t>employees while balancing risk through the delayed payment of long-term awards.</w:t>
      </w:r>
    </w:p>
    <w:p>
      <w:pPr>
        <w:spacing w:after="0" w:line="7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Adjustments to Compensation </w:t>
      </w:r>
      <w:r>
        <w:rPr>
          <w:rFonts w:ascii="Arial" w:cs="Arial" w:eastAsia="Arial" w:hAnsi="Arial"/>
          <w:sz w:val="20"/>
          <w:szCs w:val="20"/>
          <w:color w:val="3E3935"/>
        </w:rPr>
        <w:t>– Maximum payout caps are in place for incentive compensation, and the Compensation</w:t>
      </w:r>
      <w:r>
        <w:rPr>
          <w:rFonts w:ascii="Arial" w:cs="Arial" w:eastAsia="Arial" w:hAnsi="Arial"/>
          <w:sz w:val="20"/>
          <w:szCs w:val="20"/>
          <w:b w:val="1"/>
          <w:bCs w:val="1"/>
          <w:color w:val="0071CE"/>
        </w:rPr>
        <w:t xml:space="preserve"> </w:t>
      </w:r>
      <w:r>
        <w:rPr>
          <w:rFonts w:ascii="Arial" w:cs="Arial" w:eastAsia="Arial" w:hAnsi="Arial"/>
          <w:sz w:val="20"/>
          <w:szCs w:val="20"/>
          <w:color w:val="3E3935"/>
        </w:rPr>
        <w:t>Committee has the ability to apply negative discretion.</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Compensation Committee Oversight </w:t>
      </w:r>
      <w:r>
        <w:rPr>
          <w:rFonts w:ascii="Arial" w:cs="Arial" w:eastAsia="Arial" w:hAnsi="Arial"/>
          <w:sz w:val="20"/>
          <w:szCs w:val="20"/>
          <w:color w:val="3E3935"/>
        </w:rPr>
        <w:t>– Our Compensation Committee reviews plan performance and approves all</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compensation plans and payouts.</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Multiple Performance Measures </w:t>
      </w:r>
      <w:r>
        <w:rPr>
          <w:rFonts w:ascii="Arial" w:cs="Arial" w:eastAsia="Arial" w:hAnsi="Arial"/>
          <w:sz w:val="20"/>
          <w:szCs w:val="20"/>
          <w:color w:val="3E3935"/>
        </w:rPr>
        <w:t>– Multiple performance measures work together to balance risk in our incentive</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compensation plans.</w:t>
      </w:r>
    </w:p>
    <w:p>
      <w:pPr>
        <w:spacing w:after="0" w:line="7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Stock Ownership Requirements </w:t>
      </w:r>
      <w:r>
        <w:rPr>
          <w:rFonts w:ascii="Arial" w:cs="Arial" w:eastAsia="Arial" w:hAnsi="Arial"/>
          <w:sz w:val="20"/>
          <w:szCs w:val="20"/>
          <w:color w:val="3E3935"/>
        </w:rPr>
        <w:t>– All senior leaders are subject to stock ownership requirements of at least one times their</w:t>
      </w:r>
      <w:r>
        <w:rPr>
          <w:rFonts w:ascii="Arial" w:cs="Arial" w:eastAsia="Arial" w:hAnsi="Arial"/>
          <w:sz w:val="20"/>
          <w:szCs w:val="20"/>
          <w:b w:val="1"/>
          <w:bCs w:val="1"/>
          <w:color w:val="0071CE"/>
        </w:rPr>
        <w:t xml:space="preserve"> </w:t>
      </w:r>
      <w:r>
        <w:rPr>
          <w:rFonts w:ascii="Arial" w:cs="Arial" w:eastAsia="Arial" w:hAnsi="Arial"/>
          <w:sz w:val="20"/>
          <w:szCs w:val="20"/>
          <w:color w:val="3E3935"/>
        </w:rPr>
        <w:t>salary, as described above.</w:t>
      </w:r>
    </w:p>
    <w:p>
      <w:pPr>
        <w:spacing w:after="0" w:line="10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7"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Clawback and Cancellation Provisions </w:t>
      </w:r>
      <w:r>
        <w:rPr>
          <w:rFonts w:ascii="Arial" w:cs="Arial" w:eastAsia="Arial" w:hAnsi="Arial"/>
          <w:sz w:val="20"/>
          <w:szCs w:val="20"/>
          <w:color w:val="3E3935"/>
        </w:rPr>
        <w:t>– All awards are subject to our Policy on Recoupment of Incentive Compensation,</w:t>
      </w:r>
      <w:r>
        <w:rPr>
          <w:rFonts w:ascii="Arial" w:cs="Arial" w:eastAsia="Arial" w:hAnsi="Arial"/>
          <w:sz w:val="20"/>
          <w:szCs w:val="20"/>
          <w:b w:val="1"/>
          <w:bCs w:val="1"/>
          <w:color w:val="0071CE"/>
        </w:rPr>
        <w:t xml:space="preserve"> </w:t>
      </w:r>
      <w:r>
        <w:rPr>
          <w:rFonts w:ascii="Arial" w:cs="Arial" w:eastAsia="Arial" w:hAnsi="Arial"/>
          <w:sz w:val="20"/>
          <w:szCs w:val="20"/>
          <w:color w:val="3E3935"/>
        </w:rPr>
        <w:t>as described below. In addition, cancellation provisions apply to all outstanding STIP and LTIP awards.</w:t>
      </w:r>
    </w:p>
    <w:p>
      <w:pPr>
        <w:spacing w:after="0" w:line="90" w:lineRule="exact"/>
        <w:rPr>
          <w:sz w:val="20"/>
          <w:szCs w:val="20"/>
          <w:color w:val="auto"/>
        </w:rPr>
      </w:pPr>
    </w:p>
    <w:p>
      <w:pPr>
        <w:jc w:val="both"/>
        <w:ind w:left="160"/>
        <w:spacing w:after="0" w:line="256" w:lineRule="auto"/>
        <w:rPr>
          <w:sz w:val="20"/>
          <w:szCs w:val="20"/>
          <w:color w:val="auto"/>
        </w:rPr>
      </w:pPr>
      <w:r>
        <w:rPr>
          <w:rFonts w:ascii="Arial" w:cs="Arial" w:eastAsia="Arial" w:hAnsi="Arial"/>
          <w:sz w:val="19"/>
          <w:szCs w:val="19"/>
          <w:color w:val="3E3935"/>
        </w:rPr>
        <w:t>In 2021, the Compensation Committee determined that our compensation programs have sufficient risk mitigation features and do not encourage or reward employees for engaging in excessive, imprudent, inappropriate, or unnecessary risk-taking. Based on the Compensation Committee’s review, the Committee determined our compensation programs to be low risk.</w:t>
      </w:r>
    </w:p>
    <w:p>
      <w:pPr>
        <w:spacing w:after="0" w:line="276" w:lineRule="exact"/>
        <w:rPr>
          <w:sz w:val="20"/>
          <w:szCs w:val="20"/>
          <w:color w:val="auto"/>
        </w:rPr>
      </w:pPr>
    </w:p>
    <w:p>
      <w:pPr>
        <w:ind w:left="700" w:hanging="533"/>
        <w:spacing w:after="0"/>
        <w:tabs>
          <w:tab w:leader="none" w:pos="700" w:val="left"/>
        </w:tabs>
        <w:numPr>
          <w:ilvl w:val="0"/>
          <w:numId w:val="118"/>
        </w:numPr>
        <w:rPr>
          <w:rFonts w:ascii="Times New Roman" w:cs="Times New Roman" w:eastAsia="Times New Roman" w:hAnsi="Times New Roman"/>
          <w:sz w:val="21"/>
          <w:szCs w:val="21"/>
          <w:color w:val="0071CE"/>
        </w:rPr>
      </w:pPr>
      <w:r>
        <w:rPr>
          <w:rFonts w:ascii="Arial" w:cs="Arial" w:eastAsia="Arial" w:hAnsi="Arial"/>
          <w:sz w:val="25"/>
          <w:szCs w:val="25"/>
          <w:color w:val="3E3935"/>
        </w:rPr>
        <w:t>Policy on Recoupment of Incentive Compensation</w:t>
      </w:r>
    </w:p>
    <w:p>
      <w:pPr>
        <w:spacing w:after="0" w:line="155"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 xml:space="preserve">Under our Policy on Recoupment of Incentive Compensation (available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 the Compensation Committee is empowered to recoup (“clawback”) compensation paid to executive officers and other executives under its purview. In the event of employee misconduct that causes specified financial or reputational damage, a materially inaccurate performance calculation, or an accounting restatement, the Committee may seek to clawback paid incentive compensation. The Committee may also cancel outstanding equity-based awards granted to any covered employee if that employee engages in conduct detrimental to the Company. This policy was expanded in 2020 to cover additional executives and scenarios of misconduct beyond only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20"/>
                <w:szCs w:val="20"/>
                <w:b w:val="1"/>
                <w:bCs w:val="1"/>
                <w:color w:val="00C1DE"/>
                <w:w w:val="98"/>
              </w:rPr>
              <w:t>Cancellation and</w:t>
            </w:r>
          </w:p>
        </w:tc>
        <w:tc>
          <w:tcPr>
            <w:tcW w:w="2940" w:type="dxa"/>
            <w:vAlign w:val="bottom"/>
          </w:tcPr>
          <w:p>
            <w:pPr>
              <w:jc w:val="center"/>
              <w:ind w:left="2"/>
              <w:spacing w:after="0"/>
              <w:rPr>
                <w:sz w:val="20"/>
                <w:szCs w:val="20"/>
                <w:color w:val="auto"/>
              </w:rPr>
            </w:pPr>
            <w:r>
              <w:rPr>
                <w:rFonts w:ascii="Arial" w:cs="Arial" w:eastAsia="Arial" w:hAnsi="Arial"/>
                <w:sz w:val="20"/>
                <w:szCs w:val="20"/>
                <w:b w:val="1"/>
                <w:bCs w:val="1"/>
                <w:color w:val="00C1DE"/>
                <w:w w:val="97"/>
              </w:rPr>
              <w:t>Cancellation of</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8"/>
              </w:rPr>
              <w:t>Clawback Policy</w:t>
            </w:r>
          </w:p>
        </w:tc>
        <w:tc>
          <w:tcPr>
            <w:tcW w:w="2800" w:type="dxa"/>
            <w:vAlign w:val="bottom"/>
          </w:tcPr>
          <w:p>
            <w:pPr>
              <w:jc w:val="center"/>
              <w:spacing w:after="0" w:line="214" w:lineRule="exact"/>
              <w:rPr>
                <w:sz w:val="20"/>
                <w:szCs w:val="20"/>
                <w:color w:val="auto"/>
              </w:rPr>
            </w:pPr>
            <w:r>
              <w:rPr>
                <w:rFonts w:ascii="Arial" w:cs="Arial" w:eastAsia="Arial" w:hAnsi="Arial"/>
                <w:sz w:val="20"/>
                <w:szCs w:val="20"/>
                <w:b w:val="1"/>
                <w:bCs w:val="1"/>
                <w:color w:val="00C1DE"/>
                <w:w w:val="98"/>
              </w:rPr>
              <w:t>Clawback Due to Violation</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b w:val="1"/>
                <w:bCs w:val="1"/>
                <w:color w:val="00C1DE"/>
                <w:w w:val="97"/>
              </w:rPr>
              <w:t>Unvested</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2800" w:type="dxa"/>
            <w:vAlign w:val="bottom"/>
          </w:tcPr>
          <w:p>
            <w:pPr>
              <w:jc w:val="center"/>
              <w:spacing w:after="0" w:line="214" w:lineRule="exact"/>
              <w:rPr>
                <w:sz w:val="20"/>
                <w:szCs w:val="20"/>
                <w:color w:val="auto"/>
              </w:rPr>
            </w:pPr>
            <w:r>
              <w:rPr>
                <w:rFonts w:ascii="Arial" w:cs="Arial" w:eastAsia="Arial" w:hAnsi="Arial"/>
                <w:sz w:val="20"/>
                <w:szCs w:val="20"/>
                <w:b w:val="1"/>
                <w:bCs w:val="1"/>
                <w:color w:val="00C1DE"/>
                <w:w w:val="98"/>
              </w:rPr>
              <w:t>of Non-Compete and</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b w:val="1"/>
                <w:bCs w:val="1"/>
                <w:color w:val="00C1DE"/>
                <w:w w:val="98"/>
              </w:rPr>
              <w:t>and Outstanding</w:t>
            </w:r>
          </w:p>
        </w:tc>
        <w:tc>
          <w:tcPr>
            <w:tcW w:w="0" w:type="dxa"/>
            <w:vAlign w:val="bottom"/>
          </w:tcPr>
          <w:p>
            <w:pPr>
              <w:spacing w:after="0"/>
              <w:rPr>
                <w:sz w:val="1"/>
                <w:szCs w:val="1"/>
                <w:color w:val="auto"/>
              </w:rPr>
            </w:pPr>
          </w:p>
        </w:tc>
      </w:tr>
      <w:tr>
        <w:trPr>
          <w:trHeight w:val="278"/>
        </w:trPr>
        <w:tc>
          <w:tcPr>
            <w:tcW w:w="2000" w:type="dxa"/>
            <w:vAlign w:val="bottom"/>
            <w:tcBorders>
              <w:bottom w:val="single" w:sz="8" w:color="00C1DE"/>
            </w:tcBorders>
          </w:tcPr>
          <w:p>
            <w:pPr>
              <w:spacing w:after="0"/>
              <w:rPr>
                <w:sz w:val="24"/>
                <w:szCs w:val="24"/>
                <w:color w:val="auto"/>
              </w:rPr>
            </w:pPr>
          </w:p>
        </w:tc>
        <w:tc>
          <w:tcPr>
            <w:tcW w:w="3180" w:type="dxa"/>
            <w:vAlign w:val="bottom"/>
            <w:tcBorders>
              <w:bottom w:val="single" w:sz="8" w:color="00C1DE"/>
            </w:tcBorders>
          </w:tcPr>
          <w:p>
            <w:pPr>
              <w:spacing w:after="0"/>
              <w:rPr>
                <w:sz w:val="24"/>
                <w:szCs w:val="24"/>
                <w:color w:val="auto"/>
              </w:rPr>
            </w:pPr>
          </w:p>
        </w:tc>
        <w:tc>
          <w:tcPr>
            <w:tcW w:w="2800" w:type="dxa"/>
            <w:vAlign w:val="bottom"/>
            <w:tcBorders>
              <w:bottom w:val="single" w:sz="8" w:color="00C1DE"/>
            </w:tcBorders>
          </w:tcPr>
          <w:p>
            <w:pPr>
              <w:jc w:val="center"/>
              <w:spacing w:after="0"/>
              <w:rPr>
                <w:sz w:val="20"/>
                <w:szCs w:val="20"/>
                <w:color w:val="auto"/>
              </w:rPr>
            </w:pPr>
            <w:r>
              <w:rPr>
                <w:rFonts w:ascii="Arial" w:cs="Arial" w:eastAsia="Arial" w:hAnsi="Arial"/>
                <w:sz w:val="20"/>
                <w:szCs w:val="20"/>
                <w:b w:val="1"/>
                <w:bCs w:val="1"/>
                <w:color w:val="00C1DE"/>
                <w:w w:val="97"/>
              </w:rPr>
              <w:t>Non-Solicitation Terms</w:t>
            </w:r>
          </w:p>
        </w:tc>
        <w:tc>
          <w:tcPr>
            <w:tcW w:w="2940" w:type="dxa"/>
            <w:vAlign w:val="bottom"/>
            <w:tcBorders>
              <w:bottom w:val="single" w:sz="8" w:color="00C1DE"/>
            </w:tcBorders>
          </w:tcPr>
          <w:p>
            <w:pPr>
              <w:jc w:val="center"/>
              <w:ind w:left="22"/>
              <w:spacing w:after="0"/>
              <w:rPr>
                <w:sz w:val="20"/>
                <w:szCs w:val="20"/>
                <w:color w:val="auto"/>
              </w:rPr>
            </w:pPr>
            <w:r>
              <w:rPr>
                <w:rFonts w:ascii="Arial" w:cs="Arial" w:eastAsia="Arial" w:hAnsi="Arial"/>
                <w:sz w:val="20"/>
                <w:szCs w:val="20"/>
                <w:b w:val="1"/>
                <w:bCs w:val="1"/>
                <w:color w:val="00C1DE"/>
                <w:w w:val="96"/>
              </w:rPr>
              <w:t>Awards</w:t>
            </w:r>
          </w:p>
        </w:tc>
        <w:tc>
          <w:tcPr>
            <w:tcW w:w="0" w:type="dxa"/>
            <w:vAlign w:val="bottom"/>
          </w:tcPr>
          <w:p>
            <w:pPr>
              <w:spacing w:after="0"/>
              <w:rPr>
                <w:sz w:val="1"/>
                <w:szCs w:val="1"/>
                <w:color w:val="auto"/>
              </w:rPr>
            </w:pPr>
          </w:p>
        </w:tc>
      </w:tr>
      <w:tr>
        <w:trPr>
          <w:trHeight w:val="251"/>
        </w:trPr>
        <w:tc>
          <w:tcPr>
            <w:tcW w:w="20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20"/>
                <w:szCs w:val="20"/>
                <w:color w:val="3E3935"/>
                <w:w w:val="98"/>
              </w:rPr>
              <w:t>Executive officers and other</w:t>
            </w: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7"/>
              </w:rPr>
              <w:t>Approximately 250</w:t>
            </w:r>
          </w:p>
        </w:tc>
        <w:tc>
          <w:tcPr>
            <w:tcW w:w="2940" w:type="dxa"/>
            <w:vAlign w:val="bottom"/>
          </w:tcPr>
          <w:p>
            <w:pPr>
              <w:jc w:val="center"/>
              <w:ind w:left="2"/>
              <w:spacing w:after="0"/>
              <w:rPr>
                <w:sz w:val="20"/>
                <w:szCs w:val="20"/>
                <w:color w:val="auto"/>
              </w:rPr>
            </w:pPr>
            <w:r>
              <w:rPr>
                <w:rFonts w:ascii="Arial" w:cs="Arial" w:eastAsia="Arial" w:hAnsi="Arial"/>
                <w:sz w:val="20"/>
                <w:szCs w:val="20"/>
                <w:color w:val="3E3935"/>
                <w:w w:val="97"/>
              </w:rPr>
              <w:t>All employees that</w:t>
            </w:r>
          </w:p>
        </w:tc>
        <w:tc>
          <w:tcPr>
            <w:tcW w:w="0" w:type="dxa"/>
            <w:vAlign w:val="bottom"/>
          </w:tcPr>
          <w:p>
            <w:pPr>
              <w:spacing w:after="0"/>
              <w:rPr>
                <w:sz w:val="1"/>
                <w:szCs w:val="1"/>
                <w:color w:val="auto"/>
              </w:rPr>
            </w:pPr>
          </w:p>
        </w:tc>
      </w:tr>
      <w:tr>
        <w:trPr>
          <w:trHeight w:val="109"/>
        </w:trPr>
        <w:tc>
          <w:tcPr>
            <w:tcW w:w="5180" w:type="dxa"/>
            <w:vAlign w:val="bottom"/>
            <w:gridSpan w:val="2"/>
            <w:vMerge w:val="restart"/>
          </w:tcPr>
          <w:p>
            <w:pPr>
              <w:ind w:left="100"/>
              <w:spacing w:after="0" w:line="216" w:lineRule="exact"/>
              <w:rPr>
                <w:sz w:val="20"/>
                <w:szCs w:val="20"/>
                <w:color w:val="auto"/>
              </w:rPr>
            </w:pPr>
            <w:r>
              <w:rPr>
                <w:rFonts w:ascii="Arial" w:cs="Arial" w:eastAsia="Arial" w:hAnsi="Arial"/>
                <w:sz w:val="20"/>
                <w:szCs w:val="20"/>
                <w:b w:val="1"/>
                <w:bCs w:val="1"/>
                <w:color w:val="3E3935"/>
              </w:rPr>
              <w:t xml:space="preserve">Covered Population   </w:t>
            </w:r>
            <w:r>
              <w:rPr>
                <w:rFonts w:ascii="Arial" w:cs="Arial" w:eastAsia="Arial" w:hAnsi="Arial"/>
                <w:sz w:val="20"/>
                <w:szCs w:val="20"/>
                <w:color w:val="3E3935"/>
              </w:rPr>
              <w:t>executives under the purview of</w:t>
            </w:r>
          </w:p>
        </w:tc>
        <w:tc>
          <w:tcPr>
            <w:tcW w:w="2800" w:type="dxa"/>
            <w:vAlign w:val="bottom"/>
            <w:vMerge w:val="continue"/>
          </w:tcPr>
          <w:p>
            <w:pPr>
              <w:spacing w:after="0"/>
              <w:rPr>
                <w:sz w:val="9"/>
                <w:szCs w:val="9"/>
                <w:color w:val="auto"/>
              </w:rPr>
            </w:pPr>
          </w:p>
        </w:tc>
        <w:tc>
          <w:tcPr>
            <w:tcW w:w="2940" w:type="dxa"/>
            <w:vAlign w:val="bottom"/>
            <w:vMerge w:val="restart"/>
          </w:tcPr>
          <w:p>
            <w:pPr>
              <w:jc w:val="center"/>
              <w:ind w:left="2"/>
              <w:spacing w:after="0" w:line="216" w:lineRule="exact"/>
              <w:rPr>
                <w:sz w:val="20"/>
                <w:szCs w:val="20"/>
                <w:color w:val="auto"/>
              </w:rPr>
            </w:pPr>
            <w:r>
              <w:rPr>
                <w:rFonts w:ascii="Arial" w:cs="Arial" w:eastAsia="Arial" w:hAnsi="Arial"/>
                <w:sz w:val="20"/>
                <w:szCs w:val="20"/>
                <w:color w:val="3E3935"/>
                <w:w w:val="98"/>
              </w:rPr>
              <w:t>receive awards through</w:t>
            </w:r>
          </w:p>
        </w:tc>
        <w:tc>
          <w:tcPr>
            <w:tcW w:w="0" w:type="dxa"/>
            <w:vAlign w:val="bottom"/>
          </w:tcPr>
          <w:p>
            <w:pPr>
              <w:spacing w:after="0"/>
              <w:rPr>
                <w:sz w:val="1"/>
                <w:szCs w:val="1"/>
                <w:color w:val="auto"/>
              </w:rPr>
            </w:pPr>
          </w:p>
        </w:tc>
      </w:tr>
      <w:tr>
        <w:trPr>
          <w:trHeight w:val="107"/>
        </w:trPr>
        <w:tc>
          <w:tcPr>
            <w:tcW w:w="5180" w:type="dxa"/>
            <w:vAlign w:val="bottom"/>
            <w:gridSpan w:val="2"/>
            <w:vMerge w:val="continue"/>
          </w:tcPr>
          <w:p>
            <w:pPr>
              <w:spacing w:after="0"/>
              <w:rPr>
                <w:sz w:val="9"/>
                <w:szCs w:val="9"/>
                <w:color w:val="auto"/>
              </w:rPr>
            </w:pP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7"/>
              </w:rPr>
              <w:t>senior leaders</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00" w:type="dxa"/>
            <w:vAlign w:val="bottom"/>
          </w:tcPr>
          <w:p>
            <w:pPr>
              <w:spacing w:after="0"/>
              <w:rPr>
                <w:sz w:val="13"/>
                <w:szCs w:val="13"/>
                <w:color w:val="auto"/>
              </w:rPr>
            </w:pPr>
          </w:p>
        </w:tc>
        <w:tc>
          <w:tcPr>
            <w:tcW w:w="3180" w:type="dxa"/>
            <w:vAlign w:val="bottom"/>
            <w:vMerge w:val="restart"/>
          </w:tcPr>
          <w:p>
            <w:pPr>
              <w:jc w:val="center"/>
              <w:spacing w:after="0"/>
              <w:rPr>
                <w:sz w:val="20"/>
                <w:szCs w:val="20"/>
                <w:color w:val="auto"/>
              </w:rPr>
            </w:pPr>
            <w:r>
              <w:rPr>
                <w:rFonts w:ascii="Arial" w:cs="Arial" w:eastAsia="Arial" w:hAnsi="Arial"/>
                <w:sz w:val="20"/>
                <w:szCs w:val="20"/>
                <w:color w:val="3E3935"/>
                <w:w w:val="98"/>
              </w:rPr>
              <w:t>the Committee</w:t>
            </w:r>
          </w:p>
        </w:tc>
        <w:tc>
          <w:tcPr>
            <w:tcW w:w="2800" w:type="dxa"/>
            <w:vAlign w:val="bottom"/>
            <w:vMerge w:val="continue"/>
          </w:tcPr>
          <w:p>
            <w:pPr>
              <w:spacing w:after="0"/>
              <w:rPr>
                <w:sz w:val="13"/>
                <w:szCs w:val="13"/>
                <w:color w:val="auto"/>
              </w:rPr>
            </w:pPr>
          </w:p>
        </w:tc>
        <w:tc>
          <w:tcPr>
            <w:tcW w:w="2940" w:type="dxa"/>
            <w:vAlign w:val="bottom"/>
            <w:vMerge w:val="restart"/>
          </w:tcPr>
          <w:p>
            <w:pPr>
              <w:jc w:val="center"/>
              <w:ind w:left="2"/>
              <w:spacing w:after="0"/>
              <w:rPr>
                <w:sz w:val="20"/>
                <w:szCs w:val="20"/>
                <w:color w:val="auto"/>
              </w:rPr>
            </w:pPr>
            <w:r>
              <w:rPr>
                <w:rFonts w:ascii="Arial" w:cs="Arial" w:eastAsia="Arial" w:hAnsi="Arial"/>
                <w:sz w:val="20"/>
                <w:szCs w:val="20"/>
                <w:color w:val="3E3935"/>
                <w:w w:val="96"/>
              </w:rPr>
              <w:t>STIP or LTIP</w:t>
            </w:r>
          </w:p>
        </w:tc>
        <w:tc>
          <w:tcPr>
            <w:tcW w:w="0" w:type="dxa"/>
            <w:vAlign w:val="bottom"/>
          </w:tcPr>
          <w:p>
            <w:pPr>
              <w:spacing w:after="0"/>
              <w:rPr>
                <w:sz w:val="1"/>
                <w:szCs w:val="1"/>
                <w:color w:val="auto"/>
              </w:rPr>
            </w:pPr>
          </w:p>
        </w:tc>
      </w:tr>
      <w:tr>
        <w:trPr>
          <w:trHeight w:val="120"/>
        </w:trPr>
        <w:tc>
          <w:tcPr>
            <w:tcW w:w="2000" w:type="dxa"/>
            <w:vAlign w:val="bottom"/>
          </w:tcPr>
          <w:p>
            <w:pPr>
              <w:spacing w:after="0"/>
              <w:rPr>
                <w:sz w:val="10"/>
                <w:szCs w:val="10"/>
                <w:color w:val="auto"/>
              </w:rPr>
            </w:pPr>
          </w:p>
        </w:tc>
        <w:tc>
          <w:tcPr>
            <w:tcW w:w="31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00" w:type="dxa"/>
            <w:vAlign w:val="bottom"/>
            <w:tcBorders>
              <w:bottom w:val="single" w:sz="8" w:color="3E3935"/>
            </w:tcBorders>
          </w:tcPr>
          <w:p>
            <w:pPr>
              <w:spacing w:after="0"/>
              <w:rPr>
                <w:sz w:val="2"/>
                <w:szCs w:val="2"/>
                <w:color w:val="auto"/>
              </w:rPr>
            </w:pPr>
          </w:p>
        </w:tc>
        <w:tc>
          <w:tcPr>
            <w:tcW w:w="3180" w:type="dxa"/>
            <w:vAlign w:val="bottom"/>
            <w:tcBorders>
              <w:bottom w:val="single" w:sz="8" w:color="3E3935"/>
            </w:tcBorders>
          </w:tcPr>
          <w:p>
            <w:pPr>
              <w:spacing w:after="0"/>
              <w:rPr>
                <w:sz w:val="2"/>
                <w:szCs w:val="2"/>
                <w:color w:val="auto"/>
              </w:rPr>
            </w:pPr>
          </w:p>
        </w:tc>
        <w:tc>
          <w:tcPr>
            <w:tcW w:w="2800" w:type="dxa"/>
            <w:vAlign w:val="bottom"/>
            <w:tcBorders>
              <w:bottom w:val="single" w:sz="8" w:color="3E3935"/>
            </w:tcBorders>
          </w:tcPr>
          <w:p>
            <w:pPr>
              <w:spacing w:after="0"/>
              <w:rPr>
                <w:sz w:val="2"/>
                <w:szCs w:val="2"/>
                <w:color w:val="auto"/>
              </w:rPr>
            </w:pPr>
          </w:p>
        </w:tc>
        <w:tc>
          <w:tcPr>
            <w:tcW w:w="294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20"/>
                <w:szCs w:val="20"/>
                <w:color w:val="3E3935"/>
                <w:w w:val="98"/>
              </w:rPr>
              <w:t>Following employee misconduct</w:t>
            </w:r>
          </w:p>
        </w:tc>
        <w:tc>
          <w:tcPr>
            <w:tcW w:w="2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8"/>
              </w:rPr>
              <w:t>that causes specified financial or</w:t>
            </w: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7"/>
              </w:rPr>
              <w:t>Employee violates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0" w:type="dxa"/>
            <w:vAlign w:val="bottom"/>
            <w:vMerge w:val="restart"/>
          </w:tcPr>
          <w:p>
            <w:pPr>
              <w:ind w:left="100"/>
              <w:spacing w:after="0"/>
              <w:rPr>
                <w:sz w:val="20"/>
                <w:szCs w:val="20"/>
                <w:color w:val="auto"/>
              </w:rPr>
            </w:pPr>
            <w:r>
              <w:rPr>
                <w:rFonts w:ascii="Arial" w:cs="Arial" w:eastAsia="Arial" w:hAnsi="Arial"/>
                <w:sz w:val="20"/>
                <w:szCs w:val="20"/>
                <w:b w:val="1"/>
                <w:bCs w:val="1"/>
                <w:color w:val="3E3935"/>
              </w:rPr>
              <w:t>Event Applicable</w:t>
            </w:r>
          </w:p>
        </w:tc>
        <w:tc>
          <w:tcPr>
            <w:tcW w:w="3180" w:type="dxa"/>
            <w:vAlign w:val="bottom"/>
          </w:tcPr>
          <w:p>
            <w:pPr>
              <w:jc w:val="center"/>
              <w:spacing w:after="0" w:line="201" w:lineRule="exact"/>
              <w:rPr>
                <w:sz w:val="20"/>
                <w:szCs w:val="20"/>
                <w:color w:val="auto"/>
              </w:rPr>
            </w:pPr>
            <w:r>
              <w:rPr>
                <w:rFonts w:ascii="Arial" w:cs="Arial" w:eastAsia="Arial" w:hAnsi="Arial"/>
                <w:sz w:val="20"/>
                <w:szCs w:val="20"/>
                <w:color w:val="3E3935"/>
                <w:w w:val="97"/>
              </w:rPr>
              <w:t>reputational damage, a</w:t>
            </w:r>
          </w:p>
        </w:tc>
        <w:tc>
          <w:tcPr>
            <w:tcW w:w="2800" w:type="dxa"/>
            <w:vAlign w:val="bottom"/>
            <w:vMerge w:val="continue"/>
          </w:tcPr>
          <w:p>
            <w:pPr>
              <w:spacing w:after="0"/>
              <w:rPr>
                <w:sz w:val="17"/>
                <w:szCs w:val="17"/>
                <w:color w:val="auto"/>
              </w:rPr>
            </w:pPr>
          </w:p>
        </w:tc>
        <w:tc>
          <w:tcPr>
            <w:tcW w:w="2940" w:type="dxa"/>
            <w:vAlign w:val="bottom"/>
          </w:tcPr>
          <w:p>
            <w:pPr>
              <w:jc w:val="center"/>
              <w:ind w:left="2"/>
              <w:spacing w:after="0" w:line="201" w:lineRule="exact"/>
              <w:rPr>
                <w:sz w:val="20"/>
                <w:szCs w:val="20"/>
                <w:color w:val="auto"/>
              </w:rPr>
            </w:pPr>
            <w:r>
              <w:rPr>
                <w:rFonts w:ascii="Arial" w:cs="Arial" w:eastAsia="Arial" w:hAnsi="Arial"/>
                <w:sz w:val="20"/>
                <w:szCs w:val="20"/>
                <w:color w:val="3E3935"/>
                <w:w w:val="98"/>
              </w:rPr>
              <w:t>Employee engages in conduct</w:t>
            </w:r>
          </w:p>
        </w:tc>
        <w:tc>
          <w:tcPr>
            <w:tcW w:w="0" w:type="dxa"/>
            <w:vAlign w:val="bottom"/>
          </w:tcPr>
          <w:p>
            <w:pPr>
              <w:spacing w:after="0"/>
              <w:rPr>
                <w:sz w:val="1"/>
                <w:szCs w:val="1"/>
                <w:color w:val="auto"/>
              </w:rPr>
            </w:pPr>
          </w:p>
        </w:tc>
      </w:tr>
      <w:tr>
        <w:trPr>
          <w:trHeight w:val="214"/>
        </w:trPr>
        <w:tc>
          <w:tcPr>
            <w:tcW w:w="2000" w:type="dxa"/>
            <w:vAlign w:val="bottom"/>
            <w:vMerge w:val="continue"/>
          </w:tcPr>
          <w:p>
            <w:pPr>
              <w:spacing w:after="0"/>
              <w:rPr>
                <w:sz w:val="18"/>
                <w:szCs w:val="18"/>
                <w:color w:val="auto"/>
              </w:rPr>
            </w:pP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8"/>
              </w:rPr>
              <w:t>materially inaccurate</w:t>
            </w:r>
          </w:p>
        </w:tc>
        <w:tc>
          <w:tcPr>
            <w:tcW w:w="2800" w:type="dxa"/>
            <w:vAlign w:val="bottom"/>
          </w:tcPr>
          <w:p>
            <w:pPr>
              <w:jc w:val="center"/>
              <w:spacing w:after="0" w:line="214" w:lineRule="exact"/>
              <w:rPr>
                <w:sz w:val="20"/>
                <w:szCs w:val="20"/>
                <w:color w:val="auto"/>
              </w:rPr>
            </w:pPr>
            <w:r>
              <w:rPr>
                <w:rFonts w:ascii="Arial" w:cs="Arial" w:eastAsia="Arial" w:hAnsi="Arial"/>
                <w:sz w:val="20"/>
                <w:szCs w:val="20"/>
                <w:color w:val="3E3935"/>
                <w:w w:val="98"/>
              </w:rPr>
              <w:t>non-compete or</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color w:val="3E3935"/>
                <w:w w:val="98"/>
              </w:rPr>
              <w:t>deemed detrimental to the</w:t>
            </w:r>
          </w:p>
        </w:tc>
        <w:tc>
          <w:tcPr>
            <w:tcW w:w="0" w:type="dxa"/>
            <w:vAlign w:val="bottom"/>
          </w:tcPr>
          <w:p>
            <w:pPr>
              <w:spacing w:after="0"/>
              <w:rPr>
                <w:sz w:val="1"/>
                <w:szCs w:val="1"/>
                <w:color w:val="auto"/>
              </w:rPr>
            </w:pPr>
          </w:p>
        </w:tc>
      </w:tr>
      <w:tr>
        <w:trPr>
          <w:trHeight w:val="227"/>
        </w:trPr>
        <w:tc>
          <w:tcPr>
            <w:tcW w:w="2000" w:type="dxa"/>
            <w:vAlign w:val="bottom"/>
          </w:tcPr>
          <w:p>
            <w:pPr>
              <w:spacing w:after="0"/>
              <w:rPr>
                <w:sz w:val="19"/>
                <w:szCs w:val="19"/>
                <w:color w:val="auto"/>
              </w:rPr>
            </w:pPr>
          </w:p>
        </w:tc>
        <w:tc>
          <w:tcPr>
            <w:tcW w:w="3180" w:type="dxa"/>
            <w:vAlign w:val="bottom"/>
          </w:tcPr>
          <w:p>
            <w:pPr>
              <w:jc w:val="center"/>
              <w:spacing w:after="0" w:line="228" w:lineRule="exact"/>
              <w:rPr>
                <w:sz w:val="20"/>
                <w:szCs w:val="20"/>
                <w:color w:val="auto"/>
              </w:rPr>
            </w:pPr>
            <w:r>
              <w:rPr>
                <w:rFonts w:ascii="Arial" w:cs="Arial" w:eastAsia="Arial" w:hAnsi="Arial"/>
                <w:sz w:val="20"/>
                <w:szCs w:val="20"/>
                <w:color w:val="3E3935"/>
                <w:w w:val="98"/>
              </w:rPr>
              <w:t>performance calculation, or an</w:t>
            </w:r>
          </w:p>
        </w:tc>
        <w:tc>
          <w:tcPr>
            <w:tcW w:w="2800" w:type="dxa"/>
            <w:vAlign w:val="bottom"/>
          </w:tcPr>
          <w:p>
            <w:pPr>
              <w:jc w:val="center"/>
              <w:spacing w:after="0" w:line="228" w:lineRule="exact"/>
              <w:rPr>
                <w:sz w:val="20"/>
                <w:szCs w:val="20"/>
                <w:color w:val="auto"/>
              </w:rPr>
            </w:pPr>
            <w:r>
              <w:rPr>
                <w:rFonts w:ascii="Arial" w:cs="Arial" w:eastAsia="Arial" w:hAnsi="Arial"/>
                <w:sz w:val="20"/>
                <w:szCs w:val="20"/>
                <w:color w:val="3E3935"/>
                <w:w w:val="98"/>
              </w:rPr>
              <w:t>non-solicitation terms</w:t>
            </w:r>
          </w:p>
        </w:tc>
        <w:tc>
          <w:tcPr>
            <w:tcW w:w="2940" w:type="dxa"/>
            <w:vAlign w:val="bottom"/>
          </w:tcPr>
          <w:p>
            <w:pPr>
              <w:jc w:val="center"/>
              <w:ind w:left="2"/>
              <w:spacing w:after="0" w:line="228" w:lineRule="exact"/>
              <w:rPr>
                <w:sz w:val="20"/>
                <w:szCs w:val="20"/>
                <w:color w:val="auto"/>
              </w:rPr>
            </w:pPr>
            <w:r>
              <w:rPr>
                <w:rFonts w:ascii="Arial" w:cs="Arial" w:eastAsia="Arial" w:hAnsi="Arial"/>
                <w:sz w:val="20"/>
                <w:szCs w:val="20"/>
                <w:color w:val="3E3935"/>
                <w:w w:val="98"/>
              </w:rPr>
              <w:t>Company</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8"/>
              </w:rPr>
              <w:t>accounting restatement, as</w:t>
            </w:r>
          </w:p>
        </w:tc>
        <w:tc>
          <w:tcPr>
            <w:tcW w:w="2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2"/>
                <w:szCs w:val="22"/>
                <w:color w:val="auto"/>
              </w:rPr>
            </w:pPr>
          </w:p>
        </w:tc>
        <w:tc>
          <w:tcPr>
            <w:tcW w:w="3180" w:type="dxa"/>
            <w:vAlign w:val="bottom"/>
          </w:tcPr>
          <w:p>
            <w:pPr>
              <w:jc w:val="center"/>
              <w:spacing w:after="0"/>
              <w:rPr>
                <w:sz w:val="20"/>
                <w:szCs w:val="20"/>
                <w:color w:val="auto"/>
              </w:rPr>
            </w:pPr>
            <w:r>
              <w:rPr>
                <w:rFonts w:ascii="Arial" w:cs="Arial" w:eastAsia="Arial" w:hAnsi="Arial"/>
                <w:sz w:val="20"/>
                <w:szCs w:val="20"/>
                <w:color w:val="3E3935"/>
                <w:w w:val="97"/>
              </w:rPr>
              <w:t>defined by the policy</w:t>
            </w:r>
          </w:p>
        </w:tc>
        <w:tc>
          <w:tcPr>
            <w:tcW w:w="28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2000" w:type="dxa"/>
            <w:vAlign w:val="bottom"/>
            <w:tcBorders>
              <w:bottom w:val="single" w:sz="8" w:color="3E3935"/>
            </w:tcBorders>
          </w:tcPr>
          <w:p>
            <w:pPr>
              <w:spacing w:after="0"/>
              <w:rPr>
                <w:sz w:val="2"/>
                <w:szCs w:val="2"/>
                <w:color w:val="auto"/>
              </w:rPr>
            </w:pPr>
          </w:p>
        </w:tc>
        <w:tc>
          <w:tcPr>
            <w:tcW w:w="3180" w:type="dxa"/>
            <w:vAlign w:val="bottom"/>
            <w:tcBorders>
              <w:bottom w:val="single" w:sz="8" w:color="3E3935"/>
            </w:tcBorders>
          </w:tcPr>
          <w:p>
            <w:pPr>
              <w:spacing w:after="0"/>
              <w:rPr>
                <w:sz w:val="2"/>
                <w:szCs w:val="2"/>
                <w:color w:val="auto"/>
              </w:rPr>
            </w:pPr>
          </w:p>
        </w:tc>
        <w:tc>
          <w:tcPr>
            <w:tcW w:w="2800" w:type="dxa"/>
            <w:vAlign w:val="bottom"/>
            <w:tcBorders>
              <w:bottom w:val="single" w:sz="8" w:color="3E3935"/>
            </w:tcBorders>
          </w:tcPr>
          <w:p>
            <w:pPr>
              <w:spacing w:after="0"/>
              <w:rPr>
                <w:sz w:val="2"/>
                <w:szCs w:val="2"/>
                <w:color w:val="auto"/>
              </w:rPr>
            </w:pPr>
          </w:p>
        </w:tc>
        <w:tc>
          <w:tcPr>
            <w:tcW w:w="294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000" w:type="dxa"/>
            <w:vAlign w:val="bottom"/>
          </w:tcPr>
          <w:p>
            <w:pPr>
              <w:ind w:left="100"/>
              <w:spacing w:after="0"/>
              <w:rPr>
                <w:sz w:val="20"/>
                <w:szCs w:val="20"/>
                <w:color w:val="auto"/>
              </w:rPr>
            </w:pPr>
            <w:r>
              <w:rPr>
                <w:rFonts w:ascii="Arial" w:cs="Arial" w:eastAsia="Arial" w:hAnsi="Arial"/>
                <w:sz w:val="20"/>
                <w:szCs w:val="20"/>
                <w:b w:val="1"/>
                <w:bCs w:val="1"/>
                <w:color w:val="3E3935"/>
              </w:rPr>
              <w:t>Awards Subject to</w:t>
            </w:r>
          </w:p>
        </w:tc>
        <w:tc>
          <w:tcPr>
            <w:tcW w:w="3180" w:type="dxa"/>
            <w:vAlign w:val="bottom"/>
            <w:vMerge w:val="restart"/>
          </w:tcPr>
          <w:p>
            <w:pPr>
              <w:jc w:val="center"/>
              <w:spacing w:after="0"/>
              <w:rPr>
                <w:sz w:val="20"/>
                <w:szCs w:val="20"/>
                <w:color w:val="auto"/>
              </w:rPr>
            </w:pPr>
            <w:r>
              <w:rPr>
                <w:rFonts w:ascii="Arial" w:cs="Arial" w:eastAsia="Arial" w:hAnsi="Arial"/>
                <w:sz w:val="20"/>
                <w:szCs w:val="20"/>
                <w:color w:val="3E3935"/>
                <w:w w:val="96"/>
              </w:rPr>
              <w:t>STIP, PSUs, RSUs,</w:t>
            </w: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8"/>
              </w:rPr>
              <w:t>PSUs, RSUs, and</w:t>
            </w:r>
          </w:p>
        </w:tc>
        <w:tc>
          <w:tcPr>
            <w:tcW w:w="2940" w:type="dxa"/>
            <w:vAlign w:val="bottom"/>
            <w:vMerge w:val="restart"/>
          </w:tcPr>
          <w:p>
            <w:pPr>
              <w:jc w:val="center"/>
              <w:ind w:left="22"/>
              <w:spacing w:after="0"/>
              <w:rPr>
                <w:sz w:val="20"/>
                <w:szCs w:val="20"/>
                <w:color w:val="auto"/>
              </w:rPr>
            </w:pPr>
            <w:r>
              <w:rPr>
                <w:rFonts w:ascii="Arial" w:cs="Arial" w:eastAsia="Arial" w:hAnsi="Arial"/>
                <w:sz w:val="20"/>
                <w:szCs w:val="20"/>
                <w:color w:val="3E3935"/>
                <w:w w:val="96"/>
              </w:rPr>
              <w:t>STIP, PSUs, RSUs,</w:t>
            </w:r>
          </w:p>
        </w:tc>
        <w:tc>
          <w:tcPr>
            <w:tcW w:w="0" w:type="dxa"/>
            <w:vAlign w:val="bottom"/>
          </w:tcPr>
          <w:p>
            <w:pPr>
              <w:spacing w:after="0"/>
              <w:rPr>
                <w:sz w:val="1"/>
                <w:szCs w:val="1"/>
                <w:color w:val="auto"/>
              </w:rPr>
            </w:pPr>
          </w:p>
        </w:tc>
      </w:tr>
      <w:tr>
        <w:trPr>
          <w:trHeight w:val="203"/>
        </w:trPr>
        <w:tc>
          <w:tcPr>
            <w:tcW w:w="2000" w:type="dxa"/>
            <w:vAlign w:val="bottom"/>
          </w:tcPr>
          <w:p>
            <w:pPr>
              <w:ind w:left="100"/>
              <w:spacing w:after="0" w:line="203" w:lineRule="exact"/>
              <w:rPr>
                <w:sz w:val="20"/>
                <w:szCs w:val="20"/>
                <w:color w:val="auto"/>
              </w:rPr>
            </w:pPr>
            <w:r>
              <w:rPr>
                <w:rFonts w:ascii="Arial" w:cs="Arial" w:eastAsia="Arial" w:hAnsi="Arial"/>
                <w:sz w:val="20"/>
                <w:szCs w:val="20"/>
                <w:b w:val="1"/>
                <w:bCs w:val="1"/>
                <w:color w:val="3E3935"/>
              </w:rPr>
              <w:t>Cancellation,</w:t>
            </w:r>
          </w:p>
        </w:tc>
        <w:tc>
          <w:tcPr>
            <w:tcW w:w="318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00" w:type="dxa"/>
            <w:vAlign w:val="bottom"/>
          </w:tcPr>
          <w:p>
            <w:pPr>
              <w:ind w:left="100"/>
              <w:spacing w:after="0" w:line="226" w:lineRule="exact"/>
              <w:rPr>
                <w:sz w:val="20"/>
                <w:szCs w:val="20"/>
                <w:color w:val="auto"/>
              </w:rPr>
            </w:pPr>
            <w:r>
              <w:rPr>
                <w:rFonts w:ascii="Arial" w:cs="Arial" w:eastAsia="Arial" w:hAnsi="Arial"/>
                <w:sz w:val="20"/>
                <w:szCs w:val="20"/>
                <w:b w:val="1"/>
                <w:bCs w:val="1"/>
                <w:color w:val="3E3935"/>
              </w:rPr>
              <w:t>Forfeiture, and/or</w:t>
            </w:r>
          </w:p>
        </w:tc>
        <w:tc>
          <w:tcPr>
            <w:tcW w:w="3180" w:type="dxa"/>
            <w:vAlign w:val="bottom"/>
          </w:tcPr>
          <w:p>
            <w:pPr>
              <w:jc w:val="center"/>
              <w:spacing w:after="0" w:line="226" w:lineRule="exact"/>
              <w:rPr>
                <w:sz w:val="20"/>
                <w:szCs w:val="20"/>
                <w:color w:val="auto"/>
              </w:rPr>
            </w:pPr>
            <w:r>
              <w:rPr>
                <w:rFonts w:ascii="Arial" w:cs="Arial" w:eastAsia="Arial" w:hAnsi="Arial"/>
                <w:sz w:val="20"/>
                <w:szCs w:val="20"/>
                <w:color w:val="3E3935"/>
                <w:w w:val="97"/>
              </w:rPr>
              <w:t>and Stock Options</w:t>
            </w:r>
          </w:p>
        </w:tc>
        <w:tc>
          <w:tcPr>
            <w:tcW w:w="2800" w:type="dxa"/>
            <w:vAlign w:val="bottom"/>
          </w:tcPr>
          <w:p>
            <w:pPr>
              <w:jc w:val="center"/>
              <w:spacing w:after="0" w:line="226" w:lineRule="exact"/>
              <w:rPr>
                <w:sz w:val="20"/>
                <w:szCs w:val="20"/>
                <w:color w:val="auto"/>
              </w:rPr>
            </w:pPr>
            <w:r>
              <w:rPr>
                <w:rFonts w:ascii="Arial" w:cs="Arial" w:eastAsia="Arial" w:hAnsi="Arial"/>
                <w:sz w:val="20"/>
                <w:szCs w:val="20"/>
                <w:color w:val="3E3935"/>
                <w:w w:val="97"/>
              </w:rPr>
              <w:t>Stock Options</w:t>
            </w:r>
          </w:p>
        </w:tc>
        <w:tc>
          <w:tcPr>
            <w:tcW w:w="2940" w:type="dxa"/>
            <w:vAlign w:val="bottom"/>
          </w:tcPr>
          <w:p>
            <w:pPr>
              <w:jc w:val="center"/>
              <w:ind w:left="2"/>
              <w:spacing w:after="0" w:line="226" w:lineRule="exact"/>
              <w:rPr>
                <w:sz w:val="20"/>
                <w:szCs w:val="20"/>
                <w:color w:val="auto"/>
              </w:rPr>
            </w:pPr>
            <w:r>
              <w:rPr>
                <w:rFonts w:ascii="Arial" w:cs="Arial" w:eastAsia="Arial" w:hAnsi="Arial"/>
                <w:sz w:val="20"/>
                <w:szCs w:val="20"/>
                <w:color w:val="3E3935"/>
                <w:w w:val="97"/>
              </w:rPr>
              <w:t>and Stock Options</w:t>
            </w:r>
          </w:p>
        </w:tc>
        <w:tc>
          <w:tcPr>
            <w:tcW w:w="0" w:type="dxa"/>
            <w:vAlign w:val="bottom"/>
          </w:tcPr>
          <w:p>
            <w:pPr>
              <w:spacing w:after="0"/>
              <w:rPr>
                <w:sz w:val="1"/>
                <w:szCs w:val="1"/>
                <w:color w:val="auto"/>
              </w:rPr>
            </w:pPr>
          </w:p>
        </w:tc>
      </w:tr>
      <w:tr>
        <w:trPr>
          <w:trHeight w:val="269"/>
        </w:trPr>
        <w:tc>
          <w:tcPr>
            <w:tcW w:w="2000" w:type="dxa"/>
            <w:vAlign w:val="bottom"/>
          </w:tcPr>
          <w:p>
            <w:pPr>
              <w:ind w:left="100"/>
              <w:spacing w:after="0"/>
              <w:rPr>
                <w:sz w:val="20"/>
                <w:szCs w:val="20"/>
                <w:color w:val="auto"/>
              </w:rPr>
            </w:pPr>
            <w:r>
              <w:rPr>
                <w:rFonts w:ascii="Arial" w:cs="Arial" w:eastAsia="Arial" w:hAnsi="Arial"/>
                <w:sz w:val="20"/>
                <w:szCs w:val="20"/>
                <w:b w:val="1"/>
                <w:bCs w:val="1"/>
                <w:color w:val="3E3935"/>
              </w:rPr>
              <w:t>Recoupment</w:t>
            </w:r>
          </w:p>
        </w:tc>
        <w:tc>
          <w:tcPr>
            <w:tcW w:w="31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0071CE"/>
            </w:tcBorders>
          </w:tcPr>
          <w:p>
            <w:pPr>
              <w:spacing w:after="0" w:line="20" w:lineRule="exact"/>
              <w:rPr>
                <w:sz w:val="1"/>
                <w:szCs w:val="1"/>
                <w:color w:val="auto"/>
              </w:rPr>
            </w:pPr>
          </w:p>
        </w:tc>
        <w:tc>
          <w:tcPr>
            <w:tcW w:w="3180" w:type="dxa"/>
            <w:vAlign w:val="bottom"/>
            <w:tcBorders>
              <w:bottom w:val="single" w:sz="8" w:color="0071CE"/>
            </w:tcBorders>
          </w:tcPr>
          <w:p>
            <w:pPr>
              <w:spacing w:after="0" w:line="20" w:lineRule="exact"/>
              <w:rPr>
                <w:sz w:val="1"/>
                <w:szCs w:val="1"/>
                <w:color w:val="auto"/>
              </w:rPr>
            </w:pPr>
          </w:p>
        </w:tc>
        <w:tc>
          <w:tcPr>
            <w:tcW w:w="2800" w:type="dxa"/>
            <w:vAlign w:val="bottom"/>
            <w:tcBorders>
              <w:bottom w:val="single" w:sz="8" w:color="0071CE"/>
            </w:tcBorders>
          </w:tcPr>
          <w:p>
            <w:pPr>
              <w:spacing w:after="0" w:line="20" w:lineRule="exact"/>
              <w:rPr>
                <w:sz w:val="1"/>
                <w:szCs w:val="1"/>
                <w:color w:val="auto"/>
              </w:rPr>
            </w:pPr>
          </w:p>
        </w:tc>
        <w:tc>
          <w:tcPr>
            <w:tcW w:w="2940" w:type="dxa"/>
            <w:vAlign w:val="bottom"/>
            <w:tcBorders>
              <w:bottom w:val="single" w:sz="8" w:color="0071C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700" w:hanging="533"/>
        <w:spacing w:after="0"/>
        <w:tabs>
          <w:tab w:leader="none" w:pos="700" w:val="left"/>
        </w:tabs>
        <w:numPr>
          <w:ilvl w:val="0"/>
          <w:numId w:val="119"/>
        </w:numPr>
        <w:rPr>
          <w:rFonts w:ascii="Times New Roman" w:cs="Times New Roman" w:eastAsia="Times New Roman" w:hAnsi="Times New Roman"/>
          <w:sz w:val="21"/>
          <w:szCs w:val="21"/>
          <w:color w:val="0071CE"/>
        </w:rPr>
      </w:pPr>
      <w:r>
        <w:rPr>
          <w:rFonts w:ascii="Arial" w:cs="Arial" w:eastAsia="Arial" w:hAnsi="Arial"/>
          <w:sz w:val="25"/>
          <w:szCs w:val="25"/>
          <w:color w:val="3E3935"/>
        </w:rPr>
        <w:t>Trading GM Securities</w:t>
      </w:r>
    </w:p>
    <w:p>
      <w:pPr>
        <w:spacing w:after="0" w:line="14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Our Insider Trading Policy, which applies to (i) directors, executive officers, and employees of GM, (ii) such persons’ family members, and (iii) GM contractors and consultants who have access to material nonpublic information concerning GM (collectively, “Insiders”), prohibits Insiders from buying or selling GM securities when in possession of material nonpublic information and during other closed periods. Any sale or purchase of common stock by directors, executive officers, and all other senior leaders must be made during pre-established periods after receiving preclearance by a member of the GM legal staff or pursuant to a pre-approved and pre-established Rule 10b5-1 plan.</w:t>
      </w:r>
    </w:p>
    <w:p>
      <w:pPr>
        <w:spacing w:after="0" w:line="12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 xml:space="preserve">Trading in GM derivatives (i.e., puts or calls), engaging in short sales or otherwise engaging in hedging activities, and pledging of GM securities is prohibited for all Insiders. All Insiders are expected to be in compliance with the Insider Trading Policy and to not hedge nor pledge any shares of GM common stock. This policy is posted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292" w:lineRule="exact"/>
        <w:rPr>
          <w:sz w:val="20"/>
          <w:szCs w:val="20"/>
          <w:color w:val="auto"/>
        </w:rPr>
      </w:pPr>
    </w:p>
    <w:p>
      <w:pPr>
        <w:ind w:left="700" w:hanging="533"/>
        <w:spacing w:after="0"/>
        <w:tabs>
          <w:tab w:leader="none" w:pos="700" w:val="left"/>
        </w:tabs>
        <w:numPr>
          <w:ilvl w:val="0"/>
          <w:numId w:val="120"/>
        </w:numPr>
        <w:rPr>
          <w:rFonts w:ascii="Times New Roman" w:cs="Times New Roman" w:eastAsia="Times New Roman" w:hAnsi="Times New Roman"/>
          <w:sz w:val="21"/>
          <w:szCs w:val="21"/>
          <w:color w:val="0071CE"/>
        </w:rPr>
      </w:pPr>
      <w:r>
        <w:rPr>
          <w:rFonts w:ascii="Arial" w:cs="Arial" w:eastAsia="Arial" w:hAnsi="Arial"/>
          <w:sz w:val="25"/>
          <w:szCs w:val="25"/>
          <w:color w:val="3E3935"/>
        </w:rPr>
        <w:t>Tax Considerations</w:t>
      </w:r>
    </w:p>
    <w:p>
      <w:pPr>
        <w:spacing w:after="0" w:line="15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Tax Cuts and Jobs Act enacted on December 22, 2017, modified Internal Revenue Code (“IRC”) Section 162(m) and, among other things, limits the federal tax deduction for annual individual compensation paid up to $1 million for NEOs beginning with the 2018 tax year. Previously, compensation paid in excess of $ 1 million could be deducted if it was performance-based. The Tax Cuts and Jobs Act includes a transition relief rule in which these changes do not apply to compensation payable pursuant to a written binding contract in effect on November 2, 2017, and is not materially modified after that date. To the extent it is applicable to our existing arrangements, the Compensation Committee may avail itself of this rule. The Committee continues to closely align executive pay with performance, regardless of the performance-based exception being removed under IRC Section 162(m).</w:t>
      </w:r>
    </w:p>
    <w:p>
      <w:pPr>
        <w:spacing w:after="0" w:line="297" w:lineRule="exact"/>
        <w:rPr>
          <w:sz w:val="20"/>
          <w:szCs w:val="20"/>
          <w:color w:val="auto"/>
        </w:rPr>
      </w:pPr>
    </w:p>
    <w:p>
      <w:pPr>
        <w:ind w:left="700" w:hanging="533"/>
        <w:spacing w:after="0"/>
        <w:tabs>
          <w:tab w:leader="none" w:pos="700" w:val="left"/>
        </w:tabs>
        <w:numPr>
          <w:ilvl w:val="0"/>
          <w:numId w:val="121"/>
        </w:numPr>
        <w:rPr>
          <w:rFonts w:ascii="Times New Roman" w:cs="Times New Roman" w:eastAsia="Times New Roman" w:hAnsi="Times New Roman"/>
          <w:sz w:val="21"/>
          <w:szCs w:val="21"/>
          <w:color w:val="0071CE"/>
        </w:rPr>
      </w:pPr>
      <w:r>
        <w:rPr>
          <w:rFonts w:ascii="Arial" w:cs="Arial" w:eastAsia="Arial" w:hAnsi="Arial"/>
          <w:sz w:val="25"/>
          <w:szCs w:val="25"/>
          <w:color w:val="3E3935"/>
        </w:rPr>
        <w:t>Compensation Committee and Consultant Independence</w:t>
      </w:r>
    </w:p>
    <w:p>
      <w:pPr>
        <w:spacing w:after="0" w:line="15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Our Compensation Committee is composed entirely of independent directors as determined by the Board under NYSE guidelines and as defined for various regulatory purposes. Under its charter, the Compensation Committee has the authority to hire outside consultants and advisors at the Company’s expense.</w:t>
      </w:r>
    </w:p>
    <w:p>
      <w:pPr>
        <w:spacing w:after="0" w:line="91"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For 2021, the Compensation Committee retained the services of Frederic W. Cook &amp; Co., Inc. (“FW Cook”), an independent consultant, for advice on issues related to the compensation of NEOs and other executive compensation-related matters. FW Cook takes direction from, and is solely responsible to, the Compensation Committee, and does not provide services to the Company’s management. A representative from FW Cook attended all Compensation Committee meetings, either in person or virtually, consulted with and advised the Compensation Committee members on executive compensation, including the structure and amounts of various pay elements, and developed executive benchmarking data. The Compensation Committee is also aided in its deliberations by in-house legal counsel.</w:t>
      </w:r>
    </w:p>
    <w:p>
      <w:pPr>
        <w:spacing w:after="0" w:line="109" w:lineRule="exact"/>
        <w:rPr>
          <w:sz w:val="20"/>
          <w:szCs w:val="20"/>
          <w:color w:val="auto"/>
        </w:rPr>
      </w:pPr>
    </w:p>
    <w:p>
      <w:pPr>
        <w:jc w:val="both"/>
        <w:ind w:left="160" w:right="20"/>
        <w:spacing w:after="0" w:line="251" w:lineRule="auto"/>
        <w:rPr>
          <w:sz w:val="20"/>
          <w:szCs w:val="20"/>
          <w:color w:val="auto"/>
        </w:rPr>
      </w:pPr>
      <w:r>
        <w:rPr>
          <w:rFonts w:ascii="Arial" w:cs="Arial" w:eastAsia="Arial" w:hAnsi="Arial"/>
          <w:sz w:val="20"/>
          <w:szCs w:val="20"/>
          <w:color w:val="3E3935"/>
        </w:rPr>
        <w:t>The Compensation Committee annually reviews the performance of its compensation consultant and considers the following factors when assessing the independence of FW Cook in accordance with NYSE standards:</w:t>
      </w:r>
    </w:p>
    <w:p>
      <w:pPr>
        <w:spacing w:after="0" w:line="27" w:lineRule="exact"/>
        <w:rPr>
          <w:sz w:val="20"/>
          <w:szCs w:val="20"/>
          <w:color w:val="auto"/>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Services provided to GM management outside the services provided to the Compensation Committee</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Fees paid as a percentage of FW Cook’s total revenue</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Policies and procedures designed to prevent conflicts of interest</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Any business or personal relationships between members of the Compensation Committee and FW Cook</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GM stock ownership by employees of FW Cook</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Any business or personal relationships between GM and FW Cook</w:t>
      </w:r>
    </w:p>
    <w:p>
      <w:pPr>
        <w:spacing w:after="0" w:line="131" w:lineRule="exact"/>
        <w:rPr>
          <w:sz w:val="20"/>
          <w:szCs w:val="20"/>
          <w:color w:val="auto"/>
        </w:rPr>
      </w:pPr>
    </w:p>
    <w:p>
      <w:pPr>
        <w:ind w:left="160" w:right="20"/>
        <w:spacing w:after="0" w:line="251" w:lineRule="auto"/>
        <w:rPr>
          <w:sz w:val="20"/>
          <w:szCs w:val="20"/>
          <w:color w:val="auto"/>
        </w:rPr>
      </w:pPr>
      <w:r>
        <w:rPr>
          <w:rFonts w:ascii="Arial" w:cs="Arial" w:eastAsia="Arial" w:hAnsi="Arial"/>
          <w:sz w:val="20"/>
          <w:szCs w:val="20"/>
          <w:color w:val="3E3935"/>
        </w:rPr>
        <w:t>After reviewing the performance and independence of its consultant, the Compensation Committee determined FW Cook was independent based on the standards above.</w:t>
      </w:r>
    </w:p>
    <w:p>
      <w:pPr>
        <w:spacing w:after="0" w:line="280" w:lineRule="exact"/>
        <w:rPr>
          <w:sz w:val="20"/>
          <w:szCs w:val="20"/>
          <w:color w:val="auto"/>
        </w:rPr>
      </w:pPr>
    </w:p>
    <w:p>
      <w:pPr>
        <w:ind w:left="700" w:hanging="533"/>
        <w:spacing w:after="0"/>
        <w:tabs>
          <w:tab w:leader="none" w:pos="700" w:val="left"/>
        </w:tabs>
        <w:numPr>
          <w:ilvl w:val="0"/>
          <w:numId w:val="123"/>
        </w:numPr>
        <w:rPr>
          <w:rFonts w:ascii="Times New Roman" w:cs="Times New Roman" w:eastAsia="Times New Roman" w:hAnsi="Times New Roman"/>
          <w:sz w:val="21"/>
          <w:szCs w:val="21"/>
          <w:color w:val="0071CE"/>
        </w:rPr>
      </w:pPr>
      <w:r>
        <w:rPr>
          <w:rFonts w:ascii="Arial" w:cs="Arial" w:eastAsia="Arial" w:hAnsi="Arial"/>
          <w:sz w:val="25"/>
          <w:szCs w:val="25"/>
          <w:color w:val="3E3935"/>
        </w:rPr>
        <w:t>Employment and Termination Agreements</w:t>
      </w:r>
    </w:p>
    <w:p>
      <w:pPr>
        <w:spacing w:after="0" w:line="141"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Company has no employment or pre-defined termination agreements with any of our 2021 NEOs. All NEOs participate in the General Motors LLC U.S. Executive Severance Program filed as an exhibit to the Company’s Annual Report on Form 10-K for the year ended December 31, 2021 (the “2021 Form 10-K”).</w:t>
      </w:r>
    </w:p>
    <w:p>
      <w:pPr>
        <w:spacing w:after="0" w:line="117"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Committee Report</w:t>
      </w:r>
    </w:p>
    <w:p>
      <w:pPr>
        <w:spacing w:after="0" w:line="16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2021, as filed with the U.S. Securities and Exchange Commission on February 2,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3E3935"/>
        </w:rPr>
        <w:t>Compensation Committee</w:t>
      </w:r>
    </w:p>
    <w:p>
      <w:pPr>
        <w:spacing w:after="0" w:line="106" w:lineRule="exact"/>
        <w:rPr>
          <w:sz w:val="20"/>
          <w:szCs w:val="20"/>
          <w:color w:val="auto"/>
        </w:rPr>
      </w:pPr>
    </w:p>
    <w:p>
      <w:pPr>
        <w:ind w:left="6620"/>
        <w:spacing w:after="0"/>
        <w:rPr>
          <w:sz w:val="20"/>
          <w:szCs w:val="20"/>
          <w:color w:val="auto"/>
        </w:rPr>
      </w:pPr>
      <w:r>
        <w:rPr>
          <w:rFonts w:ascii="Arial" w:cs="Arial" w:eastAsia="Arial" w:hAnsi="Arial"/>
          <w:sz w:val="20"/>
          <w:szCs w:val="20"/>
          <w:color w:val="3E3935"/>
        </w:rPr>
        <w:t>Carol M. Stephenson (Chair)</w:t>
      </w:r>
    </w:p>
    <w:p>
      <w:pPr>
        <w:ind w:left="6620"/>
        <w:spacing w:after="0" w:line="225" w:lineRule="auto"/>
        <w:rPr>
          <w:sz w:val="20"/>
          <w:szCs w:val="20"/>
          <w:color w:val="auto"/>
        </w:rPr>
      </w:pPr>
      <w:r>
        <w:rPr>
          <w:rFonts w:ascii="Arial" w:cs="Arial" w:eastAsia="Arial" w:hAnsi="Arial"/>
          <w:sz w:val="20"/>
          <w:szCs w:val="20"/>
          <w:color w:val="3E3935"/>
        </w:rPr>
        <w:t>Wesley G. Bush</w:t>
      </w:r>
    </w:p>
    <w:p>
      <w:pPr>
        <w:ind w:left="6620"/>
        <w:spacing w:after="0" w:line="223" w:lineRule="auto"/>
        <w:rPr>
          <w:sz w:val="20"/>
          <w:szCs w:val="20"/>
          <w:color w:val="auto"/>
        </w:rPr>
      </w:pPr>
      <w:r>
        <w:rPr>
          <w:rFonts w:ascii="Arial" w:cs="Arial" w:eastAsia="Arial" w:hAnsi="Arial"/>
          <w:sz w:val="20"/>
          <w:szCs w:val="20"/>
          <w:color w:val="3E3935"/>
        </w:rPr>
        <w:t>Joseph Jimenez</w:t>
      </w:r>
    </w:p>
    <w:p>
      <w:pPr>
        <w:ind w:left="6620"/>
        <w:spacing w:after="0" w:line="224" w:lineRule="auto"/>
        <w:rPr>
          <w:sz w:val="20"/>
          <w:szCs w:val="20"/>
          <w:color w:val="auto"/>
        </w:rPr>
      </w:pPr>
      <w:r>
        <w:rPr>
          <w:rFonts w:ascii="Arial" w:cs="Arial" w:eastAsia="Arial" w:hAnsi="Arial"/>
          <w:sz w:val="20"/>
          <w:szCs w:val="20"/>
          <w:color w:val="3E3935"/>
        </w:rPr>
        <w:t>Patricia F. Russo</w:t>
      </w:r>
    </w:p>
    <w:p>
      <w:pPr>
        <w:ind w:left="6620"/>
        <w:spacing w:after="0"/>
        <w:rPr>
          <w:sz w:val="20"/>
          <w:szCs w:val="20"/>
          <w:color w:val="auto"/>
        </w:rPr>
      </w:pPr>
      <w:r>
        <w:rPr>
          <w:rFonts w:ascii="Arial" w:cs="Arial" w:eastAsia="Arial" w:hAnsi="Arial"/>
          <w:sz w:val="20"/>
          <w:szCs w:val="20"/>
          <w:color w:val="3E3935"/>
        </w:rPr>
        <w:t>Margaret C. Whitman</w:t>
      </w:r>
    </w:p>
    <w:p>
      <w:pPr>
        <w:spacing w:after="0" w:line="139"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Executive Compensation Tables</w:t>
      </w:r>
    </w:p>
    <w:p>
      <w:pPr>
        <w:spacing w:after="0" w:line="161" w:lineRule="exact"/>
        <w:rPr>
          <w:sz w:val="20"/>
          <w:szCs w:val="20"/>
          <w:color w:val="auto"/>
        </w:rPr>
      </w:pPr>
    </w:p>
    <w:p>
      <w:pPr>
        <w:ind w:left="700" w:hanging="533"/>
        <w:spacing w:after="0"/>
        <w:tabs>
          <w:tab w:leader="none" w:pos="700" w:val="left"/>
        </w:tabs>
        <w:numPr>
          <w:ilvl w:val="0"/>
          <w:numId w:val="124"/>
        </w:numPr>
        <w:rPr>
          <w:rFonts w:ascii="Times New Roman" w:cs="Times New Roman" w:eastAsia="Times New Roman" w:hAnsi="Times New Roman"/>
          <w:sz w:val="21"/>
          <w:szCs w:val="21"/>
          <w:color w:val="0071CE"/>
        </w:rPr>
      </w:pPr>
      <w:r>
        <w:rPr>
          <w:rFonts w:ascii="Arial" w:cs="Arial" w:eastAsia="Arial" w:hAnsi="Arial"/>
          <w:sz w:val="25"/>
          <w:szCs w:val="25"/>
          <w:color w:val="3E3935"/>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171450</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7"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1"/>
              <w:spacing w:after="0"/>
              <w:rPr>
                <w:sz w:val="20"/>
                <w:szCs w:val="20"/>
                <w:color w:val="auto"/>
              </w:rPr>
            </w:pPr>
            <w:r>
              <w:rPr>
                <w:rFonts w:ascii="Arial" w:cs="Arial" w:eastAsia="Arial" w:hAnsi="Arial"/>
                <w:sz w:val="15"/>
                <w:szCs w:val="15"/>
                <w:b w:val="1"/>
                <w:bCs w:val="1"/>
                <w:color w:val="00C1DE"/>
              </w:rPr>
              <w:t>Change in</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31"/>
              <w:spacing w:after="0" w:line="161" w:lineRule="exact"/>
              <w:rPr>
                <w:sz w:val="20"/>
                <w:szCs w:val="20"/>
                <w:color w:val="auto"/>
              </w:rPr>
            </w:pPr>
            <w:r>
              <w:rPr>
                <w:rFonts w:ascii="Arial" w:cs="Arial" w:eastAsia="Arial" w:hAnsi="Arial"/>
                <w:sz w:val="15"/>
                <w:szCs w:val="15"/>
                <w:b w:val="1"/>
                <w:bCs w:val="1"/>
                <w:color w:val="00C1DE"/>
              </w:rPr>
              <w:t>Pension</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2"/>
            <w:vMerge w:val="restart"/>
          </w:tcPr>
          <w:p>
            <w:pPr>
              <w:jc w:val="right"/>
              <w:ind w:right="36"/>
              <w:spacing w:after="0"/>
              <w:rPr>
                <w:sz w:val="20"/>
                <w:szCs w:val="20"/>
                <w:color w:val="auto"/>
              </w:rPr>
            </w:pPr>
            <w:r>
              <w:rPr>
                <w:rFonts w:ascii="Arial" w:cs="Arial" w:eastAsia="Arial" w:hAnsi="Arial"/>
                <w:sz w:val="15"/>
                <w:szCs w:val="15"/>
                <w:b w:val="1"/>
                <w:bCs w:val="1"/>
                <w:color w:val="00C1DE"/>
              </w:rPr>
              <w:t>Nonequity</w:t>
            </w:r>
          </w:p>
        </w:tc>
        <w:tc>
          <w:tcPr>
            <w:tcW w:w="1260" w:type="dxa"/>
            <w:vAlign w:val="bottom"/>
          </w:tcPr>
          <w:p>
            <w:pPr>
              <w:jc w:val="right"/>
              <w:ind w:right="31"/>
              <w:spacing w:after="0" w:line="161" w:lineRule="exact"/>
              <w:rPr>
                <w:sz w:val="20"/>
                <w:szCs w:val="20"/>
                <w:color w:val="auto"/>
              </w:rPr>
            </w:pPr>
            <w:r>
              <w:rPr>
                <w:rFonts w:ascii="Arial" w:cs="Arial" w:eastAsia="Arial" w:hAnsi="Arial"/>
                <w:sz w:val="15"/>
                <w:szCs w:val="15"/>
                <w:b w:val="1"/>
                <w:bCs w:val="1"/>
                <w:color w:val="00C1DE"/>
              </w:rPr>
              <w:t>Value and</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vMerge w:val="restart"/>
          </w:tcPr>
          <w:p>
            <w:pPr>
              <w:ind w:left="100"/>
              <w:spacing w:after="0"/>
              <w:rPr>
                <w:sz w:val="20"/>
                <w:szCs w:val="20"/>
                <w:color w:val="auto"/>
              </w:rPr>
            </w:pPr>
            <w:r>
              <w:rPr>
                <w:rFonts w:ascii="Arial" w:cs="Arial" w:eastAsia="Arial" w:hAnsi="Arial"/>
                <w:sz w:val="15"/>
                <w:szCs w:val="15"/>
                <w:b w:val="1"/>
                <w:bCs w:val="1"/>
                <w:color w:val="00C1DE"/>
              </w:rPr>
              <w:t>Name and</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5"/>
                <w:szCs w:val="15"/>
                <w:b w:val="1"/>
                <w:bCs w:val="1"/>
                <w:color w:val="00C1DE"/>
              </w:rPr>
              <w:t>Stock</w:t>
            </w:r>
          </w:p>
        </w:tc>
        <w:tc>
          <w:tcPr>
            <w:tcW w:w="900" w:type="dxa"/>
            <w:vAlign w:val="bottom"/>
            <w:vMerge w:val="restart"/>
          </w:tcPr>
          <w:p>
            <w:pPr>
              <w:jc w:val="right"/>
              <w:ind w:right="32"/>
              <w:spacing w:after="0"/>
              <w:rPr>
                <w:sz w:val="20"/>
                <w:szCs w:val="20"/>
                <w:color w:val="auto"/>
              </w:rPr>
            </w:pPr>
            <w:r>
              <w:rPr>
                <w:rFonts w:ascii="Arial" w:cs="Arial" w:eastAsia="Arial" w:hAnsi="Arial"/>
                <w:sz w:val="15"/>
                <w:szCs w:val="15"/>
                <w:b w:val="1"/>
                <w:bCs w:val="1"/>
                <w:color w:val="00C1DE"/>
              </w:rPr>
              <w:t>Option</w:t>
            </w:r>
          </w:p>
        </w:tc>
        <w:tc>
          <w:tcPr>
            <w:tcW w:w="1400" w:type="dxa"/>
            <w:vAlign w:val="bottom"/>
            <w:gridSpan w:val="2"/>
            <w:vMerge w:val="continue"/>
          </w:tcPr>
          <w:p>
            <w:pPr>
              <w:spacing w:after="0"/>
              <w:rPr>
                <w:sz w:val="13"/>
                <w:szCs w:val="13"/>
                <w:color w:val="auto"/>
              </w:rPr>
            </w:pPr>
          </w:p>
        </w:tc>
        <w:tc>
          <w:tcPr>
            <w:tcW w:w="1260" w:type="dxa"/>
            <w:vAlign w:val="bottom"/>
          </w:tcPr>
          <w:p>
            <w:pPr>
              <w:jc w:val="right"/>
              <w:ind w:right="31"/>
              <w:spacing w:after="0" w:line="161" w:lineRule="exact"/>
              <w:rPr>
                <w:sz w:val="20"/>
                <w:szCs w:val="20"/>
                <w:color w:val="auto"/>
              </w:rPr>
            </w:pPr>
            <w:r>
              <w:rPr>
                <w:rFonts w:ascii="Arial" w:cs="Arial" w:eastAsia="Arial" w:hAnsi="Arial"/>
                <w:sz w:val="15"/>
                <w:szCs w:val="15"/>
                <w:b w:val="1"/>
                <w:bCs w:val="1"/>
                <w:color w:val="00C1DE"/>
              </w:rPr>
              <w:t>NQ Deferred</w:t>
            </w:r>
          </w:p>
        </w:tc>
        <w:tc>
          <w:tcPr>
            <w:tcW w:w="1380" w:type="dxa"/>
            <w:vAlign w:val="bottom"/>
            <w:gridSpan w:val="2"/>
            <w:vMerge w:val="restart"/>
          </w:tcPr>
          <w:p>
            <w:pPr>
              <w:jc w:val="right"/>
              <w:ind w:right="16"/>
              <w:spacing w:after="0"/>
              <w:rPr>
                <w:sz w:val="20"/>
                <w:szCs w:val="20"/>
                <w:color w:val="auto"/>
              </w:rPr>
            </w:pPr>
            <w:r>
              <w:rPr>
                <w:rFonts w:ascii="Arial" w:cs="Arial" w:eastAsia="Arial" w:hAnsi="Arial"/>
                <w:sz w:val="15"/>
                <w:szCs w:val="15"/>
                <w:b w:val="1"/>
                <w:bCs w:val="1"/>
                <w:color w:val="00C1DE"/>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00C1DE"/>
              </w:rPr>
              <w:t>Salary</w:t>
            </w:r>
          </w:p>
        </w:tc>
        <w:tc>
          <w:tcPr>
            <w:tcW w:w="70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00C1DE"/>
              </w:rPr>
              <w:t>Bonus</w:t>
            </w:r>
          </w:p>
        </w:tc>
        <w:tc>
          <w:tcPr>
            <w:tcW w:w="9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400" w:type="dxa"/>
            <w:vAlign w:val="bottom"/>
            <w:gridSpan w:val="2"/>
          </w:tcPr>
          <w:p>
            <w:pPr>
              <w:jc w:val="right"/>
              <w:ind w:right="36"/>
              <w:spacing w:after="0" w:line="161" w:lineRule="exact"/>
              <w:rPr>
                <w:sz w:val="20"/>
                <w:szCs w:val="20"/>
                <w:color w:val="auto"/>
              </w:rPr>
            </w:pPr>
            <w:r>
              <w:rPr>
                <w:rFonts w:ascii="Arial" w:cs="Arial" w:eastAsia="Arial" w:hAnsi="Arial"/>
                <w:sz w:val="15"/>
                <w:szCs w:val="15"/>
                <w:b w:val="1"/>
                <w:bCs w:val="1"/>
                <w:color w:val="00C1DE"/>
              </w:rPr>
              <w:t>Incentive Plan</w:t>
            </w:r>
          </w:p>
        </w:tc>
        <w:tc>
          <w:tcPr>
            <w:tcW w:w="1260" w:type="dxa"/>
            <w:vAlign w:val="bottom"/>
          </w:tcPr>
          <w:p>
            <w:pPr>
              <w:jc w:val="right"/>
              <w:ind w:right="31"/>
              <w:spacing w:after="0" w:line="161" w:lineRule="exact"/>
              <w:rPr>
                <w:sz w:val="20"/>
                <w:szCs w:val="20"/>
                <w:color w:val="auto"/>
              </w:rPr>
            </w:pPr>
            <w:r>
              <w:rPr>
                <w:rFonts w:ascii="Arial" w:cs="Arial" w:eastAsia="Arial" w:hAnsi="Arial"/>
                <w:sz w:val="15"/>
                <w:szCs w:val="15"/>
                <w:b w:val="1"/>
                <w:bCs w:val="1"/>
                <w:color w:val="00C1DE"/>
              </w:rPr>
              <w:t>Compensation</w:t>
            </w:r>
          </w:p>
        </w:tc>
        <w:tc>
          <w:tcPr>
            <w:tcW w:w="1380" w:type="dxa"/>
            <w:vAlign w:val="bottom"/>
            <w:gridSpan w:val="2"/>
            <w:vMerge w:val="continue"/>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00C1DE"/>
              </w:rPr>
              <w:t>Total</w:t>
            </w:r>
          </w:p>
        </w:tc>
        <w:tc>
          <w:tcPr>
            <w:tcW w:w="0" w:type="dxa"/>
            <w:vAlign w:val="bottom"/>
          </w:tcPr>
          <w:p>
            <w:pPr>
              <w:spacing w:after="0"/>
              <w:rPr>
                <w:sz w:val="1"/>
                <w:szCs w:val="1"/>
                <w:color w:val="auto"/>
              </w:rPr>
            </w:pPr>
          </w:p>
        </w:tc>
      </w:tr>
      <w:tr>
        <w:trPr>
          <w:trHeight w:val="21"/>
        </w:trPr>
        <w:tc>
          <w:tcPr>
            <w:tcW w:w="1980" w:type="dxa"/>
            <w:vAlign w:val="bottom"/>
          </w:tcPr>
          <w:p>
            <w:pPr>
              <w:ind w:left="100"/>
              <w:spacing w:after="0" w:line="22" w:lineRule="exact"/>
              <w:rPr>
                <w:sz w:val="20"/>
                <w:szCs w:val="20"/>
                <w:color w:val="auto"/>
              </w:rPr>
            </w:pPr>
            <w:r>
              <w:rPr>
                <w:rFonts w:ascii="Arial" w:cs="Arial" w:eastAsia="Arial" w:hAnsi="Arial"/>
                <w:sz w:val="2"/>
                <w:szCs w:val="2"/>
                <w:b w:val="1"/>
                <w:bCs w:val="1"/>
                <w:color w:val="00C1DE"/>
              </w:rPr>
              <w:t>Principal</w:t>
            </w:r>
          </w:p>
        </w:tc>
        <w:tc>
          <w:tcPr>
            <w:tcW w:w="6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920" w:type="dxa"/>
            <w:vAlign w:val="bottom"/>
          </w:tcPr>
          <w:p>
            <w:pPr>
              <w:jc w:val="right"/>
              <w:ind w:right="172"/>
              <w:spacing w:after="0" w:line="22" w:lineRule="exact"/>
              <w:rPr>
                <w:sz w:val="20"/>
                <w:szCs w:val="20"/>
                <w:color w:val="auto"/>
              </w:rPr>
            </w:pPr>
            <w:r>
              <w:rPr>
                <w:rFonts w:ascii="Arial" w:cs="Arial" w:eastAsia="Arial" w:hAnsi="Arial"/>
                <w:sz w:val="2"/>
                <w:szCs w:val="2"/>
                <w:b w:val="1"/>
                <w:bCs w:val="1"/>
                <w:color w:val="00C1DE"/>
              </w:rPr>
              <w:t>Awards</w:t>
            </w:r>
          </w:p>
        </w:tc>
        <w:tc>
          <w:tcPr>
            <w:tcW w:w="900" w:type="dxa"/>
            <w:vAlign w:val="bottom"/>
          </w:tcPr>
          <w:p>
            <w:pPr>
              <w:jc w:val="right"/>
              <w:ind w:right="192"/>
              <w:spacing w:after="0" w:line="22" w:lineRule="exact"/>
              <w:rPr>
                <w:sz w:val="20"/>
                <w:szCs w:val="20"/>
                <w:color w:val="auto"/>
              </w:rPr>
            </w:pPr>
            <w:r>
              <w:rPr>
                <w:rFonts w:ascii="Arial" w:cs="Arial" w:eastAsia="Arial" w:hAnsi="Arial"/>
                <w:sz w:val="2"/>
                <w:szCs w:val="2"/>
                <w:b w:val="1"/>
                <w:bCs w:val="1"/>
                <w:color w:val="00C1DE"/>
              </w:rPr>
              <w:t>Awards</w:t>
            </w:r>
          </w:p>
        </w:tc>
        <w:tc>
          <w:tcPr>
            <w:tcW w:w="1160" w:type="dxa"/>
            <w:vAlign w:val="bottom"/>
          </w:tcPr>
          <w:p>
            <w:pPr>
              <w:ind w:left="100"/>
              <w:spacing w:after="0" w:line="22" w:lineRule="exact"/>
              <w:rPr>
                <w:sz w:val="20"/>
                <w:szCs w:val="20"/>
                <w:color w:val="auto"/>
              </w:rPr>
            </w:pPr>
            <w:r>
              <w:rPr>
                <w:rFonts w:ascii="Arial" w:cs="Arial" w:eastAsia="Arial" w:hAnsi="Arial"/>
                <w:sz w:val="2"/>
                <w:szCs w:val="2"/>
                <w:b w:val="1"/>
                <w:bCs w:val="1"/>
                <w:color w:val="00C1DE"/>
              </w:rPr>
              <w:t>Compensation</w:t>
            </w:r>
          </w:p>
        </w:tc>
        <w:tc>
          <w:tcPr>
            <w:tcW w:w="24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00C1DE"/>
                <w:w w:val="75"/>
              </w:rPr>
              <w:t>(4)</w:t>
            </w:r>
          </w:p>
        </w:tc>
        <w:tc>
          <w:tcPr>
            <w:tcW w:w="1260" w:type="dxa"/>
            <w:vAlign w:val="bottom"/>
          </w:tcPr>
          <w:p>
            <w:pPr>
              <w:jc w:val="right"/>
              <w:ind w:right="191"/>
              <w:spacing w:after="0" w:line="22" w:lineRule="exact"/>
              <w:rPr>
                <w:sz w:val="20"/>
                <w:szCs w:val="20"/>
                <w:color w:val="auto"/>
              </w:rPr>
            </w:pPr>
            <w:r>
              <w:rPr>
                <w:rFonts w:ascii="Arial" w:cs="Arial" w:eastAsia="Arial" w:hAnsi="Arial"/>
                <w:sz w:val="2"/>
                <w:szCs w:val="2"/>
                <w:b w:val="1"/>
                <w:bCs w:val="1"/>
                <w:color w:val="00C1DE"/>
              </w:rPr>
              <w:t>Earnings</w:t>
            </w:r>
          </w:p>
        </w:tc>
        <w:tc>
          <w:tcPr>
            <w:tcW w:w="1140" w:type="dxa"/>
            <w:vAlign w:val="bottom"/>
          </w:tcPr>
          <w:p>
            <w:pPr>
              <w:ind w:left="80"/>
              <w:spacing w:after="0" w:line="22" w:lineRule="exact"/>
              <w:rPr>
                <w:sz w:val="20"/>
                <w:szCs w:val="20"/>
                <w:color w:val="auto"/>
              </w:rPr>
            </w:pPr>
            <w:r>
              <w:rPr>
                <w:rFonts w:ascii="Arial" w:cs="Arial" w:eastAsia="Arial" w:hAnsi="Arial"/>
                <w:sz w:val="2"/>
                <w:szCs w:val="2"/>
                <w:b w:val="1"/>
                <w:bCs w:val="1"/>
                <w:color w:val="00C1DE"/>
              </w:rPr>
              <w:t>Compensation</w:t>
            </w:r>
          </w:p>
        </w:tc>
        <w:tc>
          <w:tcPr>
            <w:tcW w:w="2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00C1DE"/>
                <w:w w:val="87"/>
              </w:rPr>
              <w:t>(6)</w:t>
            </w: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jc w:val="right"/>
              <w:ind w:right="32"/>
              <w:spacing w:after="0" w:line="139" w:lineRule="exact"/>
              <w:rPr>
                <w:sz w:val="20"/>
                <w:szCs w:val="20"/>
                <w:color w:val="auto"/>
              </w:rPr>
            </w:pPr>
            <w:r>
              <w:rPr>
                <w:rFonts w:ascii="Arial" w:cs="Arial" w:eastAsia="Arial" w:hAnsi="Arial"/>
                <w:sz w:val="13"/>
                <w:szCs w:val="13"/>
                <w:b w:val="1"/>
                <w:bCs w:val="1"/>
                <w:color w:val="00C1DE"/>
              </w:rPr>
              <w:t>(2)</w:t>
            </w:r>
          </w:p>
        </w:tc>
        <w:tc>
          <w:tcPr>
            <w:tcW w:w="900" w:type="dxa"/>
            <w:vAlign w:val="bottom"/>
          </w:tcPr>
          <w:p>
            <w:pPr>
              <w:jc w:val="right"/>
              <w:ind w:right="32"/>
              <w:spacing w:after="0" w:line="139" w:lineRule="exact"/>
              <w:rPr>
                <w:sz w:val="20"/>
                <w:szCs w:val="20"/>
                <w:color w:val="auto"/>
              </w:rPr>
            </w:pPr>
            <w:r>
              <w:rPr>
                <w:rFonts w:ascii="Arial" w:cs="Arial" w:eastAsia="Arial" w:hAnsi="Arial"/>
                <w:sz w:val="13"/>
                <w:szCs w:val="13"/>
                <w:b w:val="1"/>
                <w:bCs w:val="1"/>
                <w:color w:val="00C1DE"/>
              </w:rPr>
              <w:t>(3)</w:t>
            </w:r>
          </w:p>
        </w:tc>
        <w:tc>
          <w:tcPr>
            <w:tcW w:w="11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260" w:type="dxa"/>
            <w:vAlign w:val="bottom"/>
          </w:tcPr>
          <w:p>
            <w:pPr>
              <w:jc w:val="right"/>
              <w:ind w:right="31"/>
              <w:spacing w:after="0" w:line="139" w:lineRule="exact"/>
              <w:rPr>
                <w:sz w:val="20"/>
                <w:szCs w:val="20"/>
                <w:color w:val="auto"/>
              </w:rPr>
            </w:pPr>
            <w:r>
              <w:rPr>
                <w:rFonts w:ascii="Arial" w:cs="Arial" w:eastAsia="Arial" w:hAnsi="Arial"/>
                <w:sz w:val="13"/>
                <w:szCs w:val="13"/>
                <w:b w:val="1"/>
                <w:bCs w:val="1"/>
                <w:color w:val="00C1DE"/>
              </w:rPr>
              <w:t>(5)</w:t>
            </w:r>
          </w:p>
        </w:tc>
        <w:tc>
          <w:tcPr>
            <w:tcW w:w="11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980" w:type="dxa"/>
            <w:vAlign w:val="bottom"/>
            <w:tcBorders>
              <w:bottom w:val="single" w:sz="8" w:color="00C1DE"/>
            </w:tcBorders>
          </w:tcPr>
          <w:p>
            <w:pPr>
              <w:ind w:left="100"/>
              <w:spacing w:after="0"/>
              <w:rPr>
                <w:sz w:val="20"/>
                <w:szCs w:val="20"/>
                <w:color w:val="auto"/>
              </w:rPr>
            </w:pPr>
            <w:r>
              <w:rPr>
                <w:rFonts w:ascii="Arial" w:cs="Arial" w:eastAsia="Arial" w:hAnsi="Arial"/>
                <w:sz w:val="15"/>
                <w:szCs w:val="15"/>
                <w:b w:val="1"/>
                <w:bCs w:val="1"/>
                <w:color w:val="00C1DE"/>
              </w:rPr>
              <w:t>Position</w:t>
            </w:r>
            <w:r>
              <w:rPr>
                <w:rFonts w:ascii="Arial" w:cs="Arial" w:eastAsia="Arial" w:hAnsi="Arial"/>
                <w:sz w:val="12"/>
                <w:szCs w:val="12"/>
                <w:b w:val="1"/>
                <w:bCs w:val="1"/>
                <w:color w:val="00C1DE"/>
              </w:rPr>
              <w:t>(1)</w:t>
            </w:r>
          </w:p>
        </w:tc>
        <w:tc>
          <w:tcPr>
            <w:tcW w:w="620" w:type="dxa"/>
            <w:vAlign w:val="bottom"/>
            <w:tcBorders>
              <w:bottom w:val="single" w:sz="8" w:color="00C1DE"/>
            </w:tcBorders>
          </w:tcPr>
          <w:p>
            <w:pPr>
              <w:ind w:left="180"/>
              <w:spacing w:after="0"/>
              <w:rPr>
                <w:sz w:val="20"/>
                <w:szCs w:val="20"/>
                <w:color w:val="auto"/>
              </w:rPr>
            </w:pPr>
            <w:r>
              <w:rPr>
                <w:rFonts w:ascii="Arial" w:cs="Arial" w:eastAsia="Arial" w:hAnsi="Arial"/>
                <w:sz w:val="15"/>
                <w:szCs w:val="15"/>
                <w:b w:val="1"/>
                <w:bCs w:val="1"/>
                <w:color w:val="00C1DE"/>
              </w:rPr>
              <w:t>Year</w:t>
            </w:r>
          </w:p>
        </w:tc>
        <w:tc>
          <w:tcPr>
            <w:tcW w:w="840" w:type="dxa"/>
            <w:vAlign w:val="bottom"/>
            <w:tcBorders>
              <w:bottom w:val="single" w:sz="8" w:color="00C1DE"/>
            </w:tcBorders>
          </w:tcPr>
          <w:p>
            <w:pPr>
              <w:jc w:val="right"/>
              <w:ind w:right="8"/>
              <w:spacing w:after="0"/>
              <w:rPr>
                <w:sz w:val="20"/>
                <w:szCs w:val="20"/>
                <w:color w:val="auto"/>
              </w:rPr>
            </w:pPr>
            <w:r>
              <w:rPr>
                <w:rFonts w:ascii="Arial" w:cs="Arial" w:eastAsia="Arial" w:hAnsi="Arial"/>
                <w:sz w:val="15"/>
                <w:szCs w:val="15"/>
                <w:b w:val="1"/>
                <w:bCs w:val="1"/>
                <w:color w:val="00C1DE"/>
              </w:rPr>
              <w:t>($)</w:t>
            </w:r>
          </w:p>
        </w:tc>
        <w:tc>
          <w:tcPr>
            <w:tcW w:w="700" w:type="dxa"/>
            <w:vAlign w:val="bottom"/>
            <w:tcBorders>
              <w:bottom w:val="single" w:sz="8" w:color="00C1DE"/>
            </w:tcBorders>
          </w:tcPr>
          <w:p>
            <w:pPr>
              <w:jc w:val="right"/>
              <w:ind w:right="48"/>
              <w:spacing w:after="0"/>
              <w:rPr>
                <w:sz w:val="20"/>
                <w:szCs w:val="20"/>
                <w:color w:val="auto"/>
              </w:rPr>
            </w:pPr>
            <w:r>
              <w:rPr>
                <w:rFonts w:ascii="Arial" w:cs="Arial" w:eastAsia="Arial" w:hAnsi="Arial"/>
                <w:sz w:val="15"/>
                <w:szCs w:val="15"/>
                <w:b w:val="1"/>
                <w:bCs w:val="1"/>
                <w:color w:val="00C1DE"/>
              </w:rPr>
              <w:t>($)</w:t>
            </w:r>
          </w:p>
        </w:tc>
        <w:tc>
          <w:tcPr>
            <w:tcW w:w="920" w:type="dxa"/>
            <w:vAlign w:val="bottom"/>
            <w:tcBorders>
              <w:bottom w:val="single" w:sz="8" w:color="00C1DE"/>
            </w:tcBorders>
          </w:tcPr>
          <w:p>
            <w:pPr>
              <w:jc w:val="right"/>
              <w:ind w:right="32"/>
              <w:spacing w:after="0"/>
              <w:rPr>
                <w:sz w:val="20"/>
                <w:szCs w:val="20"/>
                <w:color w:val="auto"/>
              </w:rPr>
            </w:pPr>
            <w:r>
              <w:rPr>
                <w:rFonts w:ascii="Arial" w:cs="Arial" w:eastAsia="Arial" w:hAnsi="Arial"/>
                <w:sz w:val="15"/>
                <w:szCs w:val="15"/>
                <w:b w:val="1"/>
                <w:bCs w:val="1"/>
                <w:color w:val="00C1DE"/>
              </w:rPr>
              <w:t>($)</w:t>
            </w:r>
          </w:p>
        </w:tc>
        <w:tc>
          <w:tcPr>
            <w:tcW w:w="900" w:type="dxa"/>
            <w:vAlign w:val="bottom"/>
            <w:tcBorders>
              <w:bottom w:val="single" w:sz="8" w:color="00C1DE"/>
            </w:tcBorders>
          </w:tcPr>
          <w:p>
            <w:pPr>
              <w:jc w:val="right"/>
              <w:ind w:right="32"/>
              <w:spacing w:after="0"/>
              <w:rPr>
                <w:sz w:val="20"/>
                <w:szCs w:val="20"/>
                <w:color w:val="auto"/>
              </w:rPr>
            </w:pPr>
            <w:r>
              <w:rPr>
                <w:rFonts w:ascii="Arial" w:cs="Arial" w:eastAsia="Arial" w:hAnsi="Arial"/>
                <w:sz w:val="15"/>
                <w:szCs w:val="15"/>
                <w:b w:val="1"/>
                <w:bCs w:val="1"/>
                <w:color w:val="00C1DE"/>
              </w:rPr>
              <w:t>($)</w:t>
            </w:r>
          </w:p>
        </w:tc>
        <w:tc>
          <w:tcPr>
            <w:tcW w:w="1400" w:type="dxa"/>
            <w:vAlign w:val="bottom"/>
            <w:tcBorders>
              <w:bottom w:val="single" w:sz="8" w:color="00C1DE"/>
            </w:tcBorders>
            <w:gridSpan w:val="2"/>
          </w:tcPr>
          <w:p>
            <w:pPr>
              <w:jc w:val="right"/>
              <w:ind w:right="36"/>
              <w:spacing w:after="0"/>
              <w:rPr>
                <w:sz w:val="20"/>
                <w:szCs w:val="20"/>
                <w:color w:val="auto"/>
              </w:rPr>
            </w:pPr>
            <w:r>
              <w:rPr>
                <w:rFonts w:ascii="Arial" w:cs="Arial" w:eastAsia="Arial" w:hAnsi="Arial"/>
                <w:sz w:val="15"/>
                <w:szCs w:val="15"/>
                <w:b w:val="1"/>
                <w:bCs w:val="1"/>
                <w:color w:val="00C1DE"/>
              </w:rPr>
              <w:t>($)</w:t>
            </w:r>
          </w:p>
        </w:tc>
        <w:tc>
          <w:tcPr>
            <w:tcW w:w="1260" w:type="dxa"/>
            <w:vAlign w:val="bottom"/>
            <w:tcBorders>
              <w:bottom w:val="single" w:sz="8" w:color="00C1DE"/>
            </w:tcBorders>
          </w:tcPr>
          <w:p>
            <w:pPr>
              <w:jc w:val="right"/>
              <w:ind w:right="31"/>
              <w:spacing w:after="0"/>
              <w:rPr>
                <w:sz w:val="20"/>
                <w:szCs w:val="20"/>
                <w:color w:val="auto"/>
              </w:rPr>
            </w:pPr>
            <w:r>
              <w:rPr>
                <w:rFonts w:ascii="Arial" w:cs="Arial" w:eastAsia="Arial" w:hAnsi="Arial"/>
                <w:sz w:val="15"/>
                <w:szCs w:val="15"/>
                <w:b w:val="1"/>
                <w:bCs w:val="1"/>
                <w:color w:val="00C1DE"/>
              </w:rPr>
              <w:t>($)</w:t>
            </w:r>
          </w:p>
        </w:tc>
        <w:tc>
          <w:tcPr>
            <w:tcW w:w="1380" w:type="dxa"/>
            <w:vAlign w:val="bottom"/>
            <w:tcBorders>
              <w:bottom w:val="single" w:sz="8" w:color="00C1DE"/>
            </w:tcBorders>
            <w:gridSpan w:val="2"/>
          </w:tcPr>
          <w:p>
            <w:pPr>
              <w:jc w:val="right"/>
              <w:ind w:right="16"/>
              <w:spacing w:after="0"/>
              <w:rPr>
                <w:sz w:val="20"/>
                <w:szCs w:val="20"/>
                <w:color w:val="auto"/>
              </w:rPr>
            </w:pPr>
            <w:r>
              <w:rPr>
                <w:rFonts w:ascii="Arial" w:cs="Arial" w:eastAsia="Arial" w:hAnsi="Arial"/>
                <w:sz w:val="15"/>
                <w:szCs w:val="15"/>
                <w:b w:val="1"/>
                <w:bCs w:val="1"/>
                <w:color w:val="00C1DE"/>
              </w:rPr>
              <w:t>($)</w:t>
            </w:r>
          </w:p>
        </w:tc>
        <w:tc>
          <w:tcPr>
            <w:tcW w:w="920" w:type="dxa"/>
            <w:vAlign w:val="bottom"/>
            <w:tcBorders>
              <w:bottom w:val="single" w:sz="8" w:color="00C1DE"/>
            </w:tcBorders>
          </w:tcPr>
          <w:p>
            <w:pPr>
              <w:jc w:val="right"/>
              <w:ind w:right="68"/>
              <w:spacing w:after="0"/>
              <w:rPr>
                <w:sz w:val="20"/>
                <w:szCs w:val="20"/>
                <w:color w:val="auto"/>
              </w:rPr>
            </w:pPr>
            <w:r>
              <w:rPr>
                <w:rFonts w:ascii="Arial" w:cs="Arial" w:eastAsia="Arial" w:hAnsi="Arial"/>
                <w:sz w:val="15"/>
                <w:szCs w:val="15"/>
                <w:b w:val="1"/>
                <w:bCs w:val="1"/>
                <w:color w:val="00C1DE"/>
              </w:rPr>
              <w:t>($)</w:t>
            </w:r>
          </w:p>
        </w:tc>
        <w:tc>
          <w:tcPr>
            <w:tcW w:w="0" w:type="dxa"/>
            <w:vAlign w:val="bottom"/>
          </w:tcPr>
          <w:p>
            <w:pPr>
              <w:spacing w:after="0"/>
              <w:rPr>
                <w:sz w:val="1"/>
                <w:szCs w:val="1"/>
                <w:color w:val="auto"/>
              </w:rPr>
            </w:pPr>
          </w:p>
        </w:tc>
      </w:tr>
      <w:tr>
        <w:trPr>
          <w:trHeight w:val="207"/>
        </w:trPr>
        <w:tc>
          <w:tcPr>
            <w:tcW w:w="1980" w:type="dxa"/>
            <w:vAlign w:val="bottom"/>
          </w:tcPr>
          <w:p>
            <w:pPr>
              <w:ind w:left="80"/>
              <w:spacing w:after="0"/>
              <w:rPr>
                <w:sz w:val="20"/>
                <w:szCs w:val="20"/>
                <w:color w:val="auto"/>
              </w:rPr>
            </w:pPr>
            <w:r>
              <w:rPr>
                <w:rFonts w:ascii="Arial" w:cs="Arial" w:eastAsia="Arial" w:hAnsi="Arial"/>
                <w:sz w:val="14"/>
                <w:szCs w:val="14"/>
                <w:b w:val="1"/>
                <w:bCs w:val="1"/>
                <w:color w:val="3E3935"/>
              </w:rPr>
              <w:t>Mary T. Barra</w:t>
            </w:r>
          </w:p>
        </w:tc>
        <w:tc>
          <w:tcPr>
            <w:tcW w:w="620" w:type="dxa"/>
            <w:vAlign w:val="bottom"/>
            <w:tcBorders>
              <w:bottom w:val="single" w:sz="8" w:color="3E3935"/>
            </w:tcBorders>
          </w:tcPr>
          <w:p>
            <w:pPr>
              <w:ind w:left="180"/>
              <w:spacing w:after="0"/>
              <w:rPr>
                <w:sz w:val="20"/>
                <w:szCs w:val="20"/>
                <w:color w:val="auto"/>
              </w:rPr>
            </w:pPr>
            <w:r>
              <w:rPr>
                <w:rFonts w:ascii="Arial" w:cs="Arial" w:eastAsia="Arial" w:hAnsi="Arial"/>
                <w:sz w:val="14"/>
                <w:szCs w:val="14"/>
                <w:color w:val="3E3935"/>
              </w:rPr>
              <w:t>2021</w:t>
            </w:r>
          </w:p>
        </w:tc>
        <w:tc>
          <w:tcPr>
            <w:tcW w:w="84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2,100,000</w:t>
            </w:r>
          </w:p>
        </w:tc>
        <w:tc>
          <w:tcPr>
            <w:tcW w:w="70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14,582,198</w:t>
            </w:r>
          </w:p>
        </w:tc>
        <w:tc>
          <w:tcPr>
            <w:tcW w:w="90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3,937,507</w:t>
            </w:r>
          </w:p>
        </w:tc>
        <w:tc>
          <w:tcPr>
            <w:tcW w:w="1400" w:type="dxa"/>
            <w:vAlign w:val="bottom"/>
            <w:tcBorders>
              <w:bottom w:val="single" w:sz="8" w:color="3E3935"/>
            </w:tcBorders>
            <w:gridSpan w:val="2"/>
          </w:tcPr>
          <w:p>
            <w:pPr>
              <w:jc w:val="right"/>
              <w:ind w:right="36"/>
              <w:spacing w:after="0"/>
              <w:rPr>
                <w:sz w:val="20"/>
                <w:szCs w:val="20"/>
                <w:color w:val="auto"/>
              </w:rPr>
            </w:pPr>
            <w:r>
              <w:rPr>
                <w:rFonts w:ascii="Arial" w:cs="Arial" w:eastAsia="Arial" w:hAnsi="Arial"/>
                <w:sz w:val="14"/>
                <w:szCs w:val="14"/>
                <w:color w:val="3E3935"/>
              </w:rPr>
              <w:t>7,644,000</w:t>
            </w:r>
          </w:p>
        </w:tc>
        <w:tc>
          <w:tcPr>
            <w:tcW w:w="1260" w:type="dxa"/>
            <w:vAlign w:val="bottom"/>
            <w:tcBorders>
              <w:bottom w:val="single" w:sz="8" w:color="3E3935"/>
            </w:tcBorders>
          </w:tcPr>
          <w:p>
            <w:pPr>
              <w:jc w:val="right"/>
              <w:ind w:right="31"/>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gridSpan w:val="2"/>
          </w:tcPr>
          <w:p>
            <w:pPr>
              <w:jc w:val="right"/>
              <w:ind w:right="16"/>
              <w:spacing w:after="0"/>
              <w:rPr>
                <w:sz w:val="20"/>
                <w:szCs w:val="20"/>
                <w:color w:val="auto"/>
              </w:rPr>
            </w:pPr>
            <w:r>
              <w:rPr>
                <w:rFonts w:ascii="Arial" w:cs="Arial" w:eastAsia="Arial" w:hAnsi="Arial"/>
                <w:sz w:val="14"/>
                <w:szCs w:val="14"/>
                <w:color w:val="3E3935"/>
              </w:rPr>
              <w:t>873,075</w:t>
            </w:r>
          </w:p>
        </w:tc>
        <w:tc>
          <w:tcPr>
            <w:tcW w:w="920" w:type="dxa"/>
            <w:vAlign w:val="bottom"/>
            <w:tcBorders>
              <w:bottom w:val="single" w:sz="8" w:color="3E3935"/>
            </w:tcBorders>
          </w:tcPr>
          <w:p>
            <w:pPr>
              <w:jc w:val="right"/>
              <w:ind w:right="68"/>
              <w:spacing w:after="0"/>
              <w:rPr>
                <w:sz w:val="20"/>
                <w:szCs w:val="20"/>
                <w:color w:val="auto"/>
              </w:rPr>
            </w:pPr>
            <w:r>
              <w:rPr>
                <w:rFonts w:ascii="Arial" w:cs="Arial" w:eastAsia="Arial" w:hAnsi="Arial"/>
                <w:sz w:val="14"/>
                <w:szCs w:val="14"/>
                <w:color w:val="3E3935"/>
              </w:rPr>
              <w:t>29,136,780</w:t>
            </w:r>
          </w:p>
        </w:tc>
        <w:tc>
          <w:tcPr>
            <w:tcW w:w="0" w:type="dxa"/>
            <w:vAlign w:val="bottom"/>
          </w:tcPr>
          <w:p>
            <w:pPr>
              <w:spacing w:after="0"/>
              <w:rPr>
                <w:sz w:val="1"/>
                <w:szCs w:val="1"/>
                <w:color w:val="auto"/>
              </w:rPr>
            </w:pPr>
          </w:p>
        </w:tc>
      </w:tr>
      <w:tr>
        <w:trPr>
          <w:trHeight w:val="131"/>
        </w:trPr>
        <w:tc>
          <w:tcPr>
            <w:tcW w:w="1980" w:type="dxa"/>
            <w:vAlign w:val="bottom"/>
          </w:tcPr>
          <w:p>
            <w:pPr>
              <w:ind w:left="80"/>
              <w:spacing w:after="0" w:line="131" w:lineRule="exact"/>
              <w:rPr>
                <w:sz w:val="20"/>
                <w:szCs w:val="20"/>
                <w:color w:val="auto"/>
              </w:rPr>
            </w:pPr>
            <w:r>
              <w:rPr>
                <w:rFonts w:ascii="Arial" w:cs="Arial" w:eastAsia="Arial" w:hAnsi="Arial"/>
                <w:sz w:val="14"/>
                <w:szCs w:val="14"/>
                <w:color w:val="3E3935"/>
              </w:rPr>
              <w:t>Chair and Chief</w:t>
            </w:r>
          </w:p>
        </w:tc>
        <w:tc>
          <w:tcPr>
            <w:tcW w:w="620" w:type="dxa"/>
            <w:vAlign w:val="bottom"/>
          </w:tcPr>
          <w:p>
            <w:pPr>
              <w:ind w:left="180"/>
              <w:spacing w:after="0" w:line="131" w:lineRule="exact"/>
              <w:rPr>
                <w:sz w:val="20"/>
                <w:szCs w:val="20"/>
                <w:color w:val="auto"/>
              </w:rPr>
            </w:pPr>
            <w:r>
              <w:rPr>
                <w:rFonts w:ascii="Arial" w:cs="Arial" w:eastAsia="Arial" w:hAnsi="Arial"/>
                <w:sz w:val="14"/>
                <w:szCs w:val="14"/>
                <w:color w:val="3E3935"/>
              </w:rPr>
              <w:t>2020</w:t>
            </w:r>
          </w:p>
        </w:tc>
        <w:tc>
          <w:tcPr>
            <w:tcW w:w="840" w:type="dxa"/>
            <w:vAlign w:val="bottom"/>
          </w:tcPr>
          <w:p>
            <w:pPr>
              <w:jc w:val="right"/>
              <w:ind w:right="8"/>
              <w:spacing w:after="0" w:line="131" w:lineRule="exact"/>
              <w:rPr>
                <w:sz w:val="20"/>
                <w:szCs w:val="20"/>
                <w:color w:val="auto"/>
              </w:rPr>
            </w:pPr>
            <w:r>
              <w:rPr>
                <w:rFonts w:ascii="Arial" w:cs="Arial" w:eastAsia="Arial" w:hAnsi="Arial"/>
                <w:sz w:val="14"/>
                <w:szCs w:val="14"/>
                <w:color w:val="3E3935"/>
              </w:rPr>
              <w:t>1,995,000</w:t>
            </w:r>
          </w:p>
        </w:tc>
        <w:tc>
          <w:tcPr>
            <w:tcW w:w="700" w:type="dxa"/>
            <w:vAlign w:val="bottom"/>
          </w:tcPr>
          <w:p>
            <w:pPr>
              <w:jc w:val="right"/>
              <w:ind w:right="48"/>
              <w:spacing w:after="0" w:line="131"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13,093,722</w:t>
            </w:r>
          </w:p>
        </w:tc>
        <w:tc>
          <w:tcPr>
            <w:tcW w:w="90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3,750,002</w:t>
            </w:r>
          </w:p>
        </w:tc>
        <w:tc>
          <w:tcPr>
            <w:tcW w:w="1400" w:type="dxa"/>
            <w:vAlign w:val="bottom"/>
            <w:gridSpan w:val="2"/>
          </w:tcPr>
          <w:p>
            <w:pPr>
              <w:jc w:val="right"/>
              <w:ind w:right="36"/>
              <w:spacing w:after="0" w:line="131" w:lineRule="exact"/>
              <w:rPr>
                <w:sz w:val="20"/>
                <w:szCs w:val="20"/>
                <w:color w:val="auto"/>
              </w:rPr>
            </w:pPr>
            <w:r>
              <w:rPr>
                <w:rFonts w:ascii="Arial" w:cs="Arial" w:eastAsia="Arial" w:hAnsi="Arial"/>
                <w:sz w:val="14"/>
                <w:szCs w:val="14"/>
                <w:color w:val="3E3935"/>
              </w:rPr>
              <w:t>3,780,000</w:t>
            </w:r>
          </w:p>
        </w:tc>
        <w:tc>
          <w:tcPr>
            <w:tcW w:w="1260" w:type="dxa"/>
            <w:vAlign w:val="bottom"/>
          </w:tcPr>
          <w:p>
            <w:pPr>
              <w:jc w:val="right"/>
              <w:ind w:right="31"/>
              <w:spacing w:after="0" w:line="131" w:lineRule="exact"/>
              <w:rPr>
                <w:sz w:val="20"/>
                <w:szCs w:val="20"/>
                <w:color w:val="auto"/>
              </w:rPr>
            </w:pPr>
            <w:r>
              <w:rPr>
                <w:rFonts w:ascii="Arial" w:cs="Arial" w:eastAsia="Arial" w:hAnsi="Arial"/>
                <w:sz w:val="14"/>
                <w:szCs w:val="14"/>
                <w:color w:val="3E3935"/>
              </w:rPr>
              <w:t>423,608</w:t>
            </w:r>
          </w:p>
        </w:tc>
        <w:tc>
          <w:tcPr>
            <w:tcW w:w="1380" w:type="dxa"/>
            <w:vAlign w:val="bottom"/>
            <w:gridSpan w:val="2"/>
          </w:tcPr>
          <w:p>
            <w:pPr>
              <w:jc w:val="right"/>
              <w:ind w:right="16"/>
              <w:spacing w:after="0" w:line="131" w:lineRule="exact"/>
              <w:rPr>
                <w:sz w:val="20"/>
                <w:szCs w:val="20"/>
                <w:color w:val="auto"/>
              </w:rPr>
            </w:pPr>
            <w:r>
              <w:rPr>
                <w:rFonts w:ascii="Arial" w:cs="Arial" w:eastAsia="Arial" w:hAnsi="Arial"/>
                <w:sz w:val="14"/>
                <w:szCs w:val="14"/>
                <w:color w:val="3E3935"/>
              </w:rPr>
              <w:t>615,655</w:t>
            </w:r>
          </w:p>
        </w:tc>
        <w:tc>
          <w:tcPr>
            <w:tcW w:w="920" w:type="dxa"/>
            <w:vAlign w:val="bottom"/>
          </w:tcPr>
          <w:p>
            <w:pPr>
              <w:jc w:val="right"/>
              <w:ind w:right="68"/>
              <w:spacing w:after="0" w:line="131" w:lineRule="exact"/>
              <w:rPr>
                <w:sz w:val="20"/>
                <w:szCs w:val="20"/>
                <w:color w:val="auto"/>
              </w:rPr>
            </w:pPr>
            <w:r>
              <w:rPr>
                <w:rFonts w:ascii="Arial" w:cs="Arial" w:eastAsia="Arial" w:hAnsi="Arial"/>
                <w:sz w:val="14"/>
                <w:szCs w:val="14"/>
                <w:color w:val="3E3935"/>
              </w:rPr>
              <w:t>23,657,987</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80"/>
              <w:spacing w:after="0"/>
              <w:rPr>
                <w:sz w:val="20"/>
                <w:szCs w:val="20"/>
                <w:color w:val="auto"/>
              </w:rPr>
            </w:pPr>
            <w:r>
              <w:rPr>
                <w:rFonts w:ascii="Arial" w:cs="Arial" w:eastAsia="Arial" w:hAnsi="Arial"/>
                <w:sz w:val="14"/>
                <w:szCs w:val="14"/>
                <w:color w:val="3E3935"/>
              </w:rPr>
              <w:t>Executive Officer</w:t>
            </w:r>
          </w:p>
        </w:tc>
        <w:tc>
          <w:tcPr>
            <w:tcW w:w="620" w:type="dxa"/>
            <w:vAlign w:val="bottom"/>
            <w:tcBorders>
              <w:bottom w:val="single" w:sz="8" w:color="3E3935"/>
            </w:tcBorders>
          </w:tcPr>
          <w:p>
            <w:pPr>
              <w:spacing w:after="0" w:line="20" w:lineRule="exact"/>
              <w:rPr>
                <w:sz w:val="1"/>
                <w:szCs w:val="1"/>
                <w:color w:val="auto"/>
              </w:rPr>
            </w:pPr>
          </w:p>
        </w:tc>
        <w:tc>
          <w:tcPr>
            <w:tcW w:w="840" w:type="dxa"/>
            <w:vAlign w:val="bottom"/>
            <w:tcBorders>
              <w:bottom w:val="single" w:sz="8" w:color="3E3935"/>
            </w:tcBorders>
          </w:tcPr>
          <w:p>
            <w:pPr>
              <w:spacing w:after="0" w:line="20" w:lineRule="exact"/>
              <w:rPr>
                <w:sz w:val="1"/>
                <w:szCs w:val="1"/>
                <w:color w:val="auto"/>
              </w:rPr>
            </w:pPr>
          </w:p>
        </w:tc>
        <w:tc>
          <w:tcPr>
            <w:tcW w:w="700" w:type="dxa"/>
            <w:vAlign w:val="bottom"/>
            <w:tcBorders>
              <w:bottom w:val="single" w:sz="8" w:color="3E3935"/>
            </w:tcBorders>
          </w:tcPr>
          <w:p>
            <w:pPr>
              <w:spacing w:after="0" w:line="20" w:lineRule="exact"/>
              <w:rPr>
                <w:sz w:val="1"/>
                <w:szCs w:val="1"/>
                <w:color w:val="auto"/>
              </w:rPr>
            </w:pPr>
          </w:p>
        </w:tc>
        <w:tc>
          <w:tcPr>
            <w:tcW w:w="920" w:type="dxa"/>
            <w:vAlign w:val="bottom"/>
            <w:tcBorders>
              <w:bottom w:val="single" w:sz="8" w:color="3E3935"/>
            </w:tcBorders>
          </w:tcPr>
          <w:p>
            <w:pPr>
              <w:spacing w:after="0" w:line="20" w:lineRule="exact"/>
              <w:rPr>
                <w:sz w:val="1"/>
                <w:szCs w:val="1"/>
                <w:color w:val="auto"/>
              </w:rPr>
            </w:pPr>
          </w:p>
        </w:tc>
        <w:tc>
          <w:tcPr>
            <w:tcW w:w="90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gridSpan w:val="2"/>
          </w:tcPr>
          <w:p>
            <w:pPr>
              <w:spacing w:after="0" w:line="20" w:lineRule="exact"/>
              <w:rPr>
                <w:sz w:val="1"/>
                <w:szCs w:val="1"/>
                <w:color w:val="auto"/>
              </w:rPr>
            </w:pPr>
          </w:p>
        </w:tc>
        <w:tc>
          <w:tcPr>
            <w:tcW w:w="1260" w:type="dxa"/>
            <w:vAlign w:val="bottom"/>
            <w:tcBorders>
              <w:bottom w:val="single" w:sz="8" w:color="3E3935"/>
            </w:tcBorders>
          </w:tcPr>
          <w:p>
            <w:pPr>
              <w:spacing w:after="0" w:line="20" w:lineRule="exact"/>
              <w:rPr>
                <w:sz w:val="1"/>
                <w:szCs w:val="1"/>
                <w:color w:val="auto"/>
              </w:rPr>
            </w:pPr>
          </w:p>
        </w:tc>
        <w:tc>
          <w:tcPr>
            <w:tcW w:w="1380" w:type="dxa"/>
            <w:vAlign w:val="bottom"/>
            <w:tcBorders>
              <w:bottom w:val="single" w:sz="8" w:color="3E3935"/>
            </w:tcBorders>
            <w:gridSpan w:val="2"/>
          </w:tcPr>
          <w:p>
            <w:pPr>
              <w:spacing w:after="0" w:line="20" w:lineRule="exact"/>
              <w:rPr>
                <w:sz w:val="1"/>
                <w:szCs w:val="1"/>
                <w:color w:val="auto"/>
              </w:rPr>
            </w:pPr>
          </w:p>
        </w:tc>
        <w:tc>
          <w:tcPr>
            <w:tcW w:w="92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1980" w:type="dxa"/>
            <w:vAlign w:val="bottom"/>
            <w:tcBorders>
              <w:bottom w:val="single" w:sz="8" w:color="3E3935"/>
            </w:tcBorders>
            <w:vMerge w:val="continue"/>
          </w:tcPr>
          <w:p>
            <w:pPr>
              <w:spacing w:after="0"/>
              <w:rPr>
                <w:sz w:val="13"/>
                <w:szCs w:val="13"/>
                <w:color w:val="auto"/>
              </w:rPr>
            </w:pPr>
          </w:p>
        </w:tc>
        <w:tc>
          <w:tcPr>
            <w:tcW w:w="620" w:type="dxa"/>
            <w:vAlign w:val="bottom"/>
            <w:tcBorders>
              <w:bottom w:val="single" w:sz="8" w:color="3E3935"/>
            </w:tcBorders>
          </w:tcPr>
          <w:p>
            <w:pPr>
              <w:ind w:left="180"/>
              <w:spacing w:after="0" w:line="154" w:lineRule="exact"/>
              <w:rPr>
                <w:sz w:val="20"/>
                <w:szCs w:val="20"/>
                <w:color w:val="auto"/>
              </w:rPr>
            </w:pPr>
            <w:r>
              <w:rPr>
                <w:rFonts w:ascii="Arial" w:cs="Arial" w:eastAsia="Arial" w:hAnsi="Arial"/>
                <w:sz w:val="14"/>
                <w:szCs w:val="14"/>
                <w:color w:val="3E3935"/>
              </w:rPr>
              <w:t>2019</w:t>
            </w:r>
          </w:p>
        </w:tc>
        <w:tc>
          <w:tcPr>
            <w:tcW w:w="84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2,100,000</w:t>
            </w:r>
          </w:p>
        </w:tc>
        <w:tc>
          <w:tcPr>
            <w:tcW w:w="700" w:type="dxa"/>
            <w:vAlign w:val="bottom"/>
            <w:tcBorders>
              <w:bottom w:val="single" w:sz="8" w:color="3E3935"/>
            </w:tcBorders>
          </w:tcPr>
          <w:p>
            <w:pPr>
              <w:jc w:val="right"/>
              <w:ind w:right="48"/>
              <w:spacing w:after="0" w:line="154" w:lineRule="exact"/>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line="154" w:lineRule="exact"/>
              <w:rPr>
                <w:sz w:val="20"/>
                <w:szCs w:val="20"/>
                <w:color w:val="auto"/>
              </w:rPr>
            </w:pPr>
            <w:r>
              <w:rPr>
                <w:rFonts w:ascii="Arial" w:cs="Arial" w:eastAsia="Arial" w:hAnsi="Arial"/>
                <w:sz w:val="14"/>
                <w:szCs w:val="14"/>
                <w:color w:val="3E3935"/>
              </w:rPr>
              <w:t>12,141,801</w:t>
            </w:r>
          </w:p>
        </w:tc>
        <w:tc>
          <w:tcPr>
            <w:tcW w:w="900" w:type="dxa"/>
            <w:vAlign w:val="bottom"/>
            <w:tcBorders>
              <w:bottom w:val="single" w:sz="8" w:color="3E3935"/>
            </w:tcBorders>
          </w:tcPr>
          <w:p>
            <w:pPr>
              <w:jc w:val="right"/>
              <w:ind w:right="32"/>
              <w:spacing w:after="0" w:line="154" w:lineRule="exact"/>
              <w:rPr>
                <w:sz w:val="20"/>
                <w:szCs w:val="20"/>
                <w:color w:val="auto"/>
              </w:rPr>
            </w:pPr>
            <w:r>
              <w:rPr>
                <w:rFonts w:ascii="Arial" w:cs="Arial" w:eastAsia="Arial" w:hAnsi="Arial"/>
                <w:sz w:val="14"/>
                <w:szCs w:val="14"/>
                <w:color w:val="3E3935"/>
              </w:rPr>
              <w:t>3,525,000</w:t>
            </w:r>
          </w:p>
        </w:tc>
        <w:tc>
          <w:tcPr>
            <w:tcW w:w="1400" w:type="dxa"/>
            <w:vAlign w:val="bottom"/>
            <w:tcBorders>
              <w:bottom w:val="single" w:sz="8" w:color="3E3935"/>
            </w:tcBorders>
            <w:gridSpan w:val="2"/>
          </w:tcPr>
          <w:p>
            <w:pPr>
              <w:jc w:val="right"/>
              <w:ind w:right="36"/>
              <w:spacing w:after="0" w:line="154" w:lineRule="exact"/>
              <w:rPr>
                <w:sz w:val="20"/>
                <w:szCs w:val="20"/>
                <w:color w:val="auto"/>
              </w:rPr>
            </w:pPr>
            <w:r>
              <w:rPr>
                <w:rFonts w:ascii="Arial" w:cs="Arial" w:eastAsia="Arial" w:hAnsi="Arial"/>
                <w:sz w:val="14"/>
                <w:szCs w:val="14"/>
                <w:color w:val="3E3935"/>
              </w:rPr>
              <w:t>2,730,000</w:t>
            </w:r>
          </w:p>
        </w:tc>
        <w:tc>
          <w:tcPr>
            <w:tcW w:w="1260" w:type="dxa"/>
            <w:vAlign w:val="bottom"/>
            <w:tcBorders>
              <w:bottom w:val="single" w:sz="8" w:color="3E3935"/>
            </w:tcBorders>
          </w:tcPr>
          <w:p>
            <w:pPr>
              <w:jc w:val="right"/>
              <w:ind w:right="31"/>
              <w:spacing w:after="0" w:line="154" w:lineRule="exact"/>
              <w:rPr>
                <w:sz w:val="20"/>
                <w:szCs w:val="20"/>
                <w:color w:val="auto"/>
              </w:rPr>
            </w:pPr>
            <w:r>
              <w:rPr>
                <w:rFonts w:ascii="Arial" w:cs="Arial" w:eastAsia="Arial" w:hAnsi="Arial"/>
                <w:sz w:val="14"/>
                <w:szCs w:val="14"/>
                <w:color w:val="3E3935"/>
              </w:rPr>
              <w:t>302,986</w:t>
            </w:r>
          </w:p>
        </w:tc>
        <w:tc>
          <w:tcPr>
            <w:tcW w:w="1380" w:type="dxa"/>
            <w:vAlign w:val="bottom"/>
            <w:tcBorders>
              <w:bottom w:val="single" w:sz="8" w:color="3E3935"/>
            </w:tcBorders>
            <w:gridSpan w:val="2"/>
          </w:tcPr>
          <w:p>
            <w:pPr>
              <w:jc w:val="right"/>
              <w:ind w:right="16"/>
              <w:spacing w:after="0" w:line="154" w:lineRule="exact"/>
              <w:rPr>
                <w:sz w:val="20"/>
                <w:szCs w:val="20"/>
                <w:color w:val="auto"/>
              </w:rPr>
            </w:pPr>
            <w:r>
              <w:rPr>
                <w:rFonts w:ascii="Arial" w:cs="Arial" w:eastAsia="Arial" w:hAnsi="Arial"/>
                <w:sz w:val="14"/>
                <w:szCs w:val="14"/>
                <w:color w:val="3E3935"/>
              </w:rPr>
              <w:t>831,080</w:t>
            </w:r>
          </w:p>
        </w:tc>
        <w:tc>
          <w:tcPr>
            <w:tcW w:w="920" w:type="dxa"/>
            <w:vAlign w:val="bottom"/>
            <w:tcBorders>
              <w:bottom w:val="single" w:sz="8" w:color="3E3935"/>
            </w:tcBorders>
          </w:tcPr>
          <w:p>
            <w:pPr>
              <w:jc w:val="right"/>
              <w:ind w:right="68"/>
              <w:spacing w:after="0" w:line="154" w:lineRule="exact"/>
              <w:rPr>
                <w:sz w:val="20"/>
                <w:szCs w:val="20"/>
                <w:color w:val="auto"/>
              </w:rPr>
            </w:pPr>
            <w:r>
              <w:rPr>
                <w:rFonts w:ascii="Arial" w:cs="Arial" w:eastAsia="Arial" w:hAnsi="Arial"/>
                <w:sz w:val="14"/>
                <w:szCs w:val="14"/>
                <w:color w:val="3E3935"/>
              </w:rPr>
              <w:t>21,630,867</w:t>
            </w:r>
          </w:p>
        </w:tc>
        <w:tc>
          <w:tcPr>
            <w:tcW w:w="0" w:type="dxa"/>
            <w:vAlign w:val="bottom"/>
          </w:tcPr>
          <w:p>
            <w:pPr>
              <w:spacing w:after="0"/>
              <w:rPr>
                <w:sz w:val="1"/>
                <w:szCs w:val="1"/>
                <w:color w:val="auto"/>
              </w:rPr>
            </w:pPr>
          </w:p>
        </w:tc>
      </w:tr>
      <w:tr>
        <w:trPr>
          <w:trHeight w:val="207"/>
        </w:trPr>
        <w:tc>
          <w:tcPr>
            <w:tcW w:w="1980" w:type="dxa"/>
            <w:vAlign w:val="bottom"/>
          </w:tcPr>
          <w:p>
            <w:pPr>
              <w:ind w:left="80"/>
              <w:spacing w:after="0"/>
              <w:rPr>
                <w:sz w:val="20"/>
                <w:szCs w:val="20"/>
                <w:color w:val="auto"/>
              </w:rPr>
            </w:pPr>
            <w:r>
              <w:rPr>
                <w:rFonts w:ascii="Arial" w:cs="Arial" w:eastAsia="Arial" w:hAnsi="Arial"/>
                <w:sz w:val="14"/>
                <w:szCs w:val="14"/>
                <w:b w:val="1"/>
                <w:bCs w:val="1"/>
                <w:color w:val="3E3935"/>
              </w:rPr>
              <w:t>Paul A. Jacobson</w:t>
            </w:r>
          </w:p>
        </w:tc>
        <w:tc>
          <w:tcPr>
            <w:tcW w:w="620" w:type="dxa"/>
            <w:vAlign w:val="bottom"/>
            <w:tcBorders>
              <w:bottom w:val="single" w:sz="8" w:color="3E3935"/>
            </w:tcBorders>
          </w:tcPr>
          <w:p>
            <w:pPr>
              <w:ind w:left="180"/>
              <w:spacing w:after="0"/>
              <w:rPr>
                <w:sz w:val="20"/>
                <w:szCs w:val="20"/>
                <w:color w:val="auto"/>
              </w:rPr>
            </w:pPr>
            <w:r>
              <w:rPr>
                <w:rFonts w:ascii="Arial" w:cs="Arial" w:eastAsia="Arial" w:hAnsi="Arial"/>
                <w:sz w:val="14"/>
                <w:szCs w:val="14"/>
                <w:color w:val="3E3935"/>
              </w:rPr>
              <w:t>2021</w:t>
            </w:r>
          </w:p>
        </w:tc>
        <w:tc>
          <w:tcPr>
            <w:tcW w:w="84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1,000,000</w:t>
            </w:r>
          </w:p>
        </w:tc>
        <w:tc>
          <w:tcPr>
            <w:tcW w:w="70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4,860,724</w:t>
            </w:r>
          </w:p>
        </w:tc>
        <w:tc>
          <w:tcPr>
            <w:tcW w:w="90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1,312,502</w:t>
            </w:r>
          </w:p>
        </w:tc>
        <w:tc>
          <w:tcPr>
            <w:tcW w:w="1400" w:type="dxa"/>
            <w:vAlign w:val="bottom"/>
            <w:tcBorders>
              <w:bottom w:val="single" w:sz="8" w:color="3E3935"/>
            </w:tcBorders>
            <w:gridSpan w:val="2"/>
          </w:tcPr>
          <w:p>
            <w:pPr>
              <w:jc w:val="right"/>
              <w:ind w:right="36"/>
              <w:spacing w:after="0"/>
              <w:rPr>
                <w:sz w:val="20"/>
                <w:szCs w:val="20"/>
                <w:color w:val="auto"/>
              </w:rPr>
            </w:pPr>
            <w:r>
              <w:rPr>
                <w:rFonts w:ascii="Arial" w:cs="Arial" w:eastAsia="Arial" w:hAnsi="Arial"/>
                <w:sz w:val="14"/>
                <w:szCs w:val="14"/>
                <w:color w:val="3E3935"/>
              </w:rPr>
              <w:t>2,250,000</w:t>
            </w:r>
          </w:p>
        </w:tc>
        <w:tc>
          <w:tcPr>
            <w:tcW w:w="1260" w:type="dxa"/>
            <w:vAlign w:val="bottom"/>
            <w:tcBorders>
              <w:bottom w:val="single" w:sz="8" w:color="3E3935"/>
            </w:tcBorders>
          </w:tcPr>
          <w:p>
            <w:pPr>
              <w:jc w:val="right"/>
              <w:ind w:right="31"/>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gridSpan w:val="2"/>
          </w:tcPr>
          <w:p>
            <w:pPr>
              <w:jc w:val="right"/>
              <w:ind w:right="16"/>
              <w:spacing w:after="0"/>
              <w:rPr>
                <w:sz w:val="20"/>
                <w:szCs w:val="20"/>
                <w:color w:val="auto"/>
              </w:rPr>
            </w:pPr>
            <w:r>
              <w:rPr>
                <w:rFonts w:ascii="Arial" w:cs="Arial" w:eastAsia="Arial" w:hAnsi="Arial"/>
                <w:sz w:val="14"/>
                <w:szCs w:val="14"/>
                <w:color w:val="3E3935"/>
              </w:rPr>
              <w:t>155,422</w:t>
            </w:r>
          </w:p>
        </w:tc>
        <w:tc>
          <w:tcPr>
            <w:tcW w:w="920" w:type="dxa"/>
            <w:vAlign w:val="bottom"/>
            <w:tcBorders>
              <w:bottom w:val="single" w:sz="8" w:color="3E3935"/>
            </w:tcBorders>
          </w:tcPr>
          <w:p>
            <w:pPr>
              <w:jc w:val="right"/>
              <w:ind w:right="68"/>
              <w:spacing w:after="0"/>
              <w:rPr>
                <w:sz w:val="20"/>
                <w:szCs w:val="20"/>
                <w:color w:val="auto"/>
              </w:rPr>
            </w:pPr>
            <w:r>
              <w:rPr>
                <w:rFonts w:ascii="Arial" w:cs="Arial" w:eastAsia="Arial" w:hAnsi="Arial"/>
                <w:sz w:val="14"/>
                <w:szCs w:val="14"/>
                <w:color w:val="3E3935"/>
              </w:rPr>
              <w:t>9,578,648</w:t>
            </w:r>
          </w:p>
        </w:tc>
        <w:tc>
          <w:tcPr>
            <w:tcW w:w="0" w:type="dxa"/>
            <w:vAlign w:val="bottom"/>
          </w:tcPr>
          <w:p>
            <w:pPr>
              <w:spacing w:after="0"/>
              <w:rPr>
                <w:sz w:val="1"/>
                <w:szCs w:val="1"/>
                <w:color w:val="auto"/>
              </w:rPr>
            </w:pPr>
          </w:p>
        </w:tc>
      </w:tr>
      <w:tr>
        <w:trPr>
          <w:trHeight w:val="131"/>
        </w:trPr>
        <w:tc>
          <w:tcPr>
            <w:tcW w:w="1980" w:type="dxa"/>
            <w:vAlign w:val="bottom"/>
          </w:tcPr>
          <w:p>
            <w:pPr>
              <w:ind w:left="80"/>
              <w:spacing w:after="0" w:line="131" w:lineRule="exact"/>
              <w:rPr>
                <w:sz w:val="20"/>
                <w:szCs w:val="20"/>
                <w:color w:val="auto"/>
              </w:rPr>
            </w:pPr>
            <w:r>
              <w:rPr>
                <w:rFonts w:ascii="Arial" w:cs="Arial" w:eastAsia="Arial" w:hAnsi="Arial"/>
                <w:sz w:val="14"/>
                <w:szCs w:val="14"/>
                <w:color w:val="3E3935"/>
              </w:rPr>
              <w:t>Executive Vice</w:t>
            </w:r>
          </w:p>
        </w:tc>
        <w:tc>
          <w:tcPr>
            <w:tcW w:w="620" w:type="dxa"/>
            <w:vAlign w:val="bottom"/>
          </w:tcPr>
          <w:p>
            <w:pPr>
              <w:ind w:left="180"/>
              <w:spacing w:after="0" w:line="131" w:lineRule="exact"/>
              <w:rPr>
                <w:sz w:val="20"/>
                <w:szCs w:val="20"/>
                <w:color w:val="auto"/>
              </w:rPr>
            </w:pPr>
            <w:r>
              <w:rPr>
                <w:rFonts w:ascii="Arial" w:cs="Arial" w:eastAsia="Arial" w:hAnsi="Arial"/>
                <w:sz w:val="14"/>
                <w:szCs w:val="14"/>
                <w:color w:val="3E3935"/>
              </w:rPr>
              <w:t>2020</w:t>
            </w:r>
          </w:p>
        </w:tc>
        <w:tc>
          <w:tcPr>
            <w:tcW w:w="840" w:type="dxa"/>
            <w:vAlign w:val="bottom"/>
          </w:tcPr>
          <w:p>
            <w:pPr>
              <w:jc w:val="right"/>
              <w:ind w:right="8"/>
              <w:spacing w:after="0" w:line="131" w:lineRule="exact"/>
              <w:rPr>
                <w:sz w:val="20"/>
                <w:szCs w:val="20"/>
                <w:color w:val="auto"/>
              </w:rPr>
            </w:pPr>
            <w:r>
              <w:rPr>
                <w:rFonts w:ascii="Arial" w:cs="Arial" w:eastAsia="Arial" w:hAnsi="Arial"/>
                <w:sz w:val="14"/>
                <w:szCs w:val="14"/>
                <w:color w:val="3E3935"/>
              </w:rPr>
              <w:t>83,333</w:t>
            </w:r>
          </w:p>
        </w:tc>
        <w:tc>
          <w:tcPr>
            <w:tcW w:w="700" w:type="dxa"/>
            <w:vAlign w:val="bottom"/>
          </w:tcPr>
          <w:p>
            <w:pPr>
              <w:jc w:val="right"/>
              <w:ind w:right="48"/>
              <w:spacing w:after="0" w:line="131"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4,475,128</w:t>
            </w:r>
          </w:p>
        </w:tc>
        <w:tc>
          <w:tcPr>
            <w:tcW w:w="90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525,001</w:t>
            </w:r>
          </w:p>
        </w:tc>
        <w:tc>
          <w:tcPr>
            <w:tcW w:w="1400" w:type="dxa"/>
            <w:vAlign w:val="bottom"/>
            <w:gridSpan w:val="2"/>
          </w:tcPr>
          <w:p>
            <w:pPr>
              <w:jc w:val="right"/>
              <w:ind w:right="36"/>
              <w:spacing w:after="0" w:line="131" w:lineRule="exact"/>
              <w:rPr>
                <w:sz w:val="20"/>
                <w:szCs w:val="20"/>
                <w:color w:val="auto"/>
              </w:rPr>
            </w:pPr>
            <w:r>
              <w:rPr>
                <w:rFonts w:ascii="Arial" w:cs="Arial" w:eastAsia="Arial" w:hAnsi="Arial"/>
                <w:sz w:val="14"/>
                <w:szCs w:val="14"/>
                <w:color w:val="3E3935"/>
              </w:rPr>
              <w:t>88,600</w:t>
            </w:r>
          </w:p>
        </w:tc>
        <w:tc>
          <w:tcPr>
            <w:tcW w:w="1260" w:type="dxa"/>
            <w:vAlign w:val="bottom"/>
          </w:tcPr>
          <w:p>
            <w:pPr>
              <w:jc w:val="right"/>
              <w:ind w:right="31"/>
              <w:spacing w:after="0" w:line="131" w:lineRule="exact"/>
              <w:rPr>
                <w:sz w:val="20"/>
                <w:szCs w:val="20"/>
                <w:color w:val="auto"/>
              </w:rPr>
            </w:pPr>
            <w:r>
              <w:rPr>
                <w:rFonts w:ascii="Arial" w:cs="Arial" w:eastAsia="Arial" w:hAnsi="Arial"/>
                <w:sz w:val="14"/>
                <w:szCs w:val="14"/>
                <w:color w:val="3E3935"/>
              </w:rPr>
              <w:t>—</w:t>
            </w:r>
          </w:p>
        </w:tc>
        <w:tc>
          <w:tcPr>
            <w:tcW w:w="1380" w:type="dxa"/>
            <w:vAlign w:val="bottom"/>
            <w:gridSpan w:val="2"/>
          </w:tcPr>
          <w:p>
            <w:pPr>
              <w:jc w:val="right"/>
              <w:ind w:right="16"/>
              <w:spacing w:after="0" w:line="131" w:lineRule="exact"/>
              <w:rPr>
                <w:sz w:val="20"/>
                <w:szCs w:val="20"/>
                <w:color w:val="auto"/>
              </w:rPr>
            </w:pPr>
            <w:r>
              <w:rPr>
                <w:rFonts w:ascii="Arial" w:cs="Arial" w:eastAsia="Arial" w:hAnsi="Arial"/>
                <w:sz w:val="14"/>
                <w:szCs w:val="14"/>
                <w:color w:val="3E3935"/>
              </w:rPr>
              <w:t>7,610</w:t>
            </w:r>
          </w:p>
        </w:tc>
        <w:tc>
          <w:tcPr>
            <w:tcW w:w="920" w:type="dxa"/>
            <w:vAlign w:val="bottom"/>
          </w:tcPr>
          <w:p>
            <w:pPr>
              <w:jc w:val="right"/>
              <w:ind w:right="68"/>
              <w:spacing w:after="0" w:line="131" w:lineRule="exact"/>
              <w:rPr>
                <w:sz w:val="20"/>
                <w:szCs w:val="20"/>
                <w:color w:val="auto"/>
              </w:rPr>
            </w:pPr>
            <w:r>
              <w:rPr>
                <w:rFonts w:ascii="Arial" w:cs="Arial" w:eastAsia="Arial" w:hAnsi="Arial"/>
                <w:sz w:val="14"/>
                <w:szCs w:val="14"/>
                <w:color w:val="3E3935"/>
              </w:rPr>
              <w:t>5,179,672</w:t>
            </w:r>
          </w:p>
        </w:tc>
        <w:tc>
          <w:tcPr>
            <w:tcW w:w="0" w:type="dxa"/>
            <w:vAlign w:val="bottom"/>
          </w:tcPr>
          <w:p>
            <w:pPr>
              <w:spacing w:after="0"/>
              <w:rPr>
                <w:sz w:val="1"/>
                <w:szCs w:val="1"/>
                <w:color w:val="auto"/>
              </w:rPr>
            </w:pPr>
          </w:p>
        </w:tc>
      </w:tr>
      <w:tr>
        <w:trPr>
          <w:trHeight w:val="160"/>
        </w:trPr>
        <w:tc>
          <w:tcPr>
            <w:tcW w:w="1980" w:type="dxa"/>
            <w:vAlign w:val="bottom"/>
          </w:tcPr>
          <w:p>
            <w:pPr>
              <w:ind w:left="80"/>
              <w:spacing w:after="0"/>
              <w:rPr>
                <w:sz w:val="20"/>
                <w:szCs w:val="20"/>
                <w:color w:val="auto"/>
              </w:rPr>
            </w:pPr>
            <w:r>
              <w:rPr>
                <w:rFonts w:ascii="Arial" w:cs="Arial" w:eastAsia="Arial" w:hAnsi="Arial"/>
                <w:sz w:val="14"/>
                <w:szCs w:val="14"/>
                <w:color w:val="3E3935"/>
              </w:rPr>
              <w:t>President and Chief</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8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Financial Officer</w:t>
            </w:r>
          </w:p>
        </w:tc>
        <w:tc>
          <w:tcPr>
            <w:tcW w:w="620" w:type="dxa"/>
            <w:vAlign w:val="bottom"/>
            <w:tcBorders>
              <w:bottom w:val="single" w:sz="8" w:color="3E3935"/>
            </w:tcBorders>
          </w:tcPr>
          <w:p>
            <w:pPr>
              <w:spacing w:after="0"/>
              <w:rPr>
                <w:sz w:val="15"/>
                <w:szCs w:val="15"/>
                <w:color w:val="auto"/>
              </w:rPr>
            </w:pPr>
          </w:p>
        </w:tc>
        <w:tc>
          <w:tcPr>
            <w:tcW w:w="840" w:type="dxa"/>
            <w:vAlign w:val="bottom"/>
            <w:tcBorders>
              <w:bottom w:val="single" w:sz="8" w:color="3E3935"/>
            </w:tcBorders>
          </w:tcPr>
          <w:p>
            <w:pPr>
              <w:spacing w:after="0"/>
              <w:rPr>
                <w:sz w:val="15"/>
                <w:szCs w:val="15"/>
                <w:color w:val="auto"/>
              </w:rPr>
            </w:pPr>
          </w:p>
        </w:tc>
        <w:tc>
          <w:tcPr>
            <w:tcW w:w="700" w:type="dxa"/>
            <w:vAlign w:val="bottom"/>
            <w:tcBorders>
              <w:bottom w:val="single" w:sz="8" w:color="3E3935"/>
            </w:tcBorders>
          </w:tcPr>
          <w:p>
            <w:pPr>
              <w:spacing w:after="0"/>
              <w:rPr>
                <w:sz w:val="15"/>
                <w:szCs w:val="15"/>
                <w:color w:val="auto"/>
              </w:rPr>
            </w:pPr>
          </w:p>
        </w:tc>
        <w:tc>
          <w:tcPr>
            <w:tcW w:w="920" w:type="dxa"/>
            <w:vAlign w:val="bottom"/>
            <w:tcBorders>
              <w:bottom w:val="single" w:sz="8" w:color="3E3935"/>
            </w:tcBorders>
          </w:tcPr>
          <w:p>
            <w:pPr>
              <w:spacing w:after="0"/>
              <w:rPr>
                <w:sz w:val="15"/>
                <w:szCs w:val="15"/>
                <w:color w:val="auto"/>
              </w:rPr>
            </w:pPr>
          </w:p>
        </w:tc>
        <w:tc>
          <w:tcPr>
            <w:tcW w:w="900" w:type="dxa"/>
            <w:vAlign w:val="bottom"/>
            <w:tcBorders>
              <w:bottom w:val="single" w:sz="8" w:color="3E3935"/>
            </w:tcBorders>
          </w:tcPr>
          <w:p>
            <w:pPr>
              <w:spacing w:after="0"/>
              <w:rPr>
                <w:sz w:val="15"/>
                <w:szCs w:val="15"/>
                <w:color w:val="auto"/>
              </w:rPr>
            </w:pPr>
          </w:p>
        </w:tc>
        <w:tc>
          <w:tcPr>
            <w:tcW w:w="1160" w:type="dxa"/>
            <w:vAlign w:val="bottom"/>
            <w:tcBorders>
              <w:bottom w:val="single" w:sz="8" w:color="3E3935"/>
            </w:tcBorders>
          </w:tcPr>
          <w:p>
            <w:pPr>
              <w:spacing w:after="0"/>
              <w:rPr>
                <w:sz w:val="15"/>
                <w:szCs w:val="15"/>
                <w:color w:val="auto"/>
              </w:rPr>
            </w:pPr>
          </w:p>
        </w:tc>
        <w:tc>
          <w:tcPr>
            <w:tcW w:w="240" w:type="dxa"/>
            <w:vAlign w:val="bottom"/>
            <w:tcBorders>
              <w:bottom w:val="single" w:sz="8" w:color="3E3935"/>
            </w:tcBorders>
          </w:tcPr>
          <w:p>
            <w:pPr>
              <w:spacing w:after="0"/>
              <w:rPr>
                <w:sz w:val="15"/>
                <w:szCs w:val="15"/>
                <w:color w:val="auto"/>
              </w:rPr>
            </w:pPr>
          </w:p>
        </w:tc>
        <w:tc>
          <w:tcPr>
            <w:tcW w:w="1260" w:type="dxa"/>
            <w:vAlign w:val="bottom"/>
            <w:tcBorders>
              <w:bottom w:val="single" w:sz="8" w:color="3E3935"/>
            </w:tcBorders>
          </w:tcPr>
          <w:p>
            <w:pPr>
              <w:spacing w:after="0"/>
              <w:rPr>
                <w:sz w:val="15"/>
                <w:szCs w:val="15"/>
                <w:color w:val="auto"/>
              </w:rPr>
            </w:pPr>
          </w:p>
        </w:tc>
        <w:tc>
          <w:tcPr>
            <w:tcW w:w="1140" w:type="dxa"/>
            <w:vAlign w:val="bottom"/>
            <w:tcBorders>
              <w:bottom w:val="single" w:sz="8" w:color="3E3935"/>
            </w:tcBorders>
          </w:tcPr>
          <w:p>
            <w:pPr>
              <w:spacing w:after="0"/>
              <w:rPr>
                <w:sz w:val="15"/>
                <w:szCs w:val="15"/>
                <w:color w:val="auto"/>
              </w:rPr>
            </w:pPr>
          </w:p>
        </w:tc>
        <w:tc>
          <w:tcPr>
            <w:tcW w:w="240" w:type="dxa"/>
            <w:vAlign w:val="bottom"/>
            <w:tcBorders>
              <w:bottom w:val="single" w:sz="8" w:color="3E3935"/>
            </w:tcBorders>
          </w:tcPr>
          <w:p>
            <w:pPr>
              <w:spacing w:after="0"/>
              <w:rPr>
                <w:sz w:val="15"/>
                <w:szCs w:val="15"/>
                <w:color w:val="auto"/>
              </w:rPr>
            </w:pPr>
          </w:p>
        </w:tc>
        <w:tc>
          <w:tcPr>
            <w:tcW w:w="920" w:type="dxa"/>
            <w:vAlign w:val="bottom"/>
            <w:tcBorders>
              <w:bottom w:val="single" w:sz="8" w:color="3E3935"/>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80"/>
              <w:spacing w:after="0"/>
              <w:rPr>
                <w:sz w:val="20"/>
                <w:szCs w:val="20"/>
                <w:color w:val="auto"/>
              </w:rPr>
            </w:pPr>
            <w:r>
              <w:rPr>
                <w:rFonts w:ascii="Arial" w:cs="Arial" w:eastAsia="Arial" w:hAnsi="Arial"/>
                <w:sz w:val="14"/>
                <w:szCs w:val="14"/>
                <w:b w:val="1"/>
                <w:bCs w:val="1"/>
                <w:color w:val="3E3935"/>
              </w:rPr>
              <w:t>Mark L. Reuss</w:t>
            </w:r>
          </w:p>
        </w:tc>
        <w:tc>
          <w:tcPr>
            <w:tcW w:w="620" w:type="dxa"/>
            <w:vAlign w:val="bottom"/>
            <w:tcBorders>
              <w:bottom w:val="single" w:sz="8" w:color="3E3935"/>
            </w:tcBorders>
          </w:tcPr>
          <w:p>
            <w:pPr>
              <w:ind w:left="180"/>
              <w:spacing w:after="0"/>
              <w:rPr>
                <w:sz w:val="20"/>
                <w:szCs w:val="20"/>
                <w:color w:val="auto"/>
              </w:rPr>
            </w:pPr>
            <w:r>
              <w:rPr>
                <w:rFonts w:ascii="Arial" w:cs="Arial" w:eastAsia="Arial" w:hAnsi="Arial"/>
                <w:sz w:val="14"/>
                <w:szCs w:val="14"/>
                <w:color w:val="3E3935"/>
              </w:rPr>
              <w:t>2021</w:t>
            </w:r>
          </w:p>
        </w:tc>
        <w:tc>
          <w:tcPr>
            <w:tcW w:w="84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1,300,000</w:t>
            </w:r>
          </w:p>
        </w:tc>
        <w:tc>
          <w:tcPr>
            <w:tcW w:w="70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6,180,076</w:t>
            </w:r>
          </w:p>
        </w:tc>
        <w:tc>
          <w:tcPr>
            <w:tcW w:w="90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1,668,752</w:t>
            </w:r>
          </w:p>
        </w:tc>
        <w:tc>
          <w:tcPr>
            <w:tcW w:w="1400" w:type="dxa"/>
            <w:vAlign w:val="bottom"/>
            <w:tcBorders>
              <w:bottom w:val="single" w:sz="8" w:color="3E3935"/>
            </w:tcBorders>
            <w:gridSpan w:val="2"/>
          </w:tcPr>
          <w:p>
            <w:pPr>
              <w:jc w:val="right"/>
              <w:ind w:right="36"/>
              <w:spacing w:after="0"/>
              <w:rPr>
                <w:sz w:val="20"/>
                <w:szCs w:val="20"/>
                <w:color w:val="auto"/>
              </w:rPr>
            </w:pPr>
            <w:r>
              <w:rPr>
                <w:rFonts w:ascii="Arial" w:cs="Arial" w:eastAsia="Arial" w:hAnsi="Arial"/>
                <w:sz w:val="14"/>
                <w:szCs w:val="14"/>
                <w:color w:val="3E3935"/>
              </w:rPr>
              <w:t>3,038,800</w:t>
            </w:r>
          </w:p>
        </w:tc>
        <w:tc>
          <w:tcPr>
            <w:tcW w:w="1260" w:type="dxa"/>
            <w:vAlign w:val="bottom"/>
            <w:tcBorders>
              <w:bottom w:val="single" w:sz="8" w:color="3E3935"/>
            </w:tcBorders>
          </w:tcPr>
          <w:p>
            <w:pPr>
              <w:jc w:val="right"/>
              <w:ind w:right="31"/>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gridSpan w:val="2"/>
          </w:tcPr>
          <w:p>
            <w:pPr>
              <w:jc w:val="right"/>
              <w:ind w:right="16"/>
              <w:spacing w:after="0"/>
              <w:rPr>
                <w:sz w:val="20"/>
                <w:szCs w:val="20"/>
                <w:color w:val="auto"/>
              </w:rPr>
            </w:pPr>
            <w:r>
              <w:rPr>
                <w:rFonts w:ascii="Arial" w:cs="Arial" w:eastAsia="Arial" w:hAnsi="Arial"/>
                <w:sz w:val="14"/>
                <w:szCs w:val="14"/>
                <w:color w:val="3E3935"/>
              </w:rPr>
              <w:t>348,119</w:t>
            </w:r>
          </w:p>
        </w:tc>
        <w:tc>
          <w:tcPr>
            <w:tcW w:w="920" w:type="dxa"/>
            <w:vAlign w:val="bottom"/>
            <w:tcBorders>
              <w:bottom w:val="single" w:sz="8" w:color="3E3935"/>
            </w:tcBorders>
          </w:tcPr>
          <w:p>
            <w:pPr>
              <w:jc w:val="right"/>
              <w:ind w:right="68"/>
              <w:spacing w:after="0"/>
              <w:rPr>
                <w:sz w:val="20"/>
                <w:szCs w:val="20"/>
                <w:color w:val="auto"/>
              </w:rPr>
            </w:pPr>
            <w:r>
              <w:rPr>
                <w:rFonts w:ascii="Arial" w:cs="Arial" w:eastAsia="Arial" w:hAnsi="Arial"/>
                <w:sz w:val="14"/>
                <w:szCs w:val="14"/>
                <w:color w:val="3E3935"/>
              </w:rPr>
              <w:t>12,535,747</w:t>
            </w:r>
          </w:p>
        </w:tc>
        <w:tc>
          <w:tcPr>
            <w:tcW w:w="0" w:type="dxa"/>
            <w:vAlign w:val="bottom"/>
          </w:tcPr>
          <w:p>
            <w:pPr>
              <w:spacing w:after="0"/>
              <w:rPr>
                <w:sz w:val="1"/>
                <w:szCs w:val="1"/>
                <w:color w:val="auto"/>
              </w:rPr>
            </w:pPr>
          </w:p>
        </w:tc>
      </w:tr>
      <w:tr>
        <w:trPr>
          <w:trHeight w:val="154"/>
        </w:trPr>
        <w:tc>
          <w:tcPr>
            <w:tcW w:w="1980" w:type="dxa"/>
            <w:vAlign w:val="bottom"/>
          </w:tcPr>
          <w:p>
            <w:pPr>
              <w:ind w:left="80"/>
              <w:spacing w:after="0" w:line="154" w:lineRule="exact"/>
              <w:rPr>
                <w:sz w:val="20"/>
                <w:szCs w:val="20"/>
                <w:color w:val="auto"/>
              </w:rPr>
            </w:pPr>
            <w:r>
              <w:rPr>
                <w:rFonts w:ascii="Arial" w:cs="Arial" w:eastAsia="Arial" w:hAnsi="Arial"/>
                <w:sz w:val="14"/>
                <w:szCs w:val="14"/>
                <w:color w:val="3E3935"/>
              </w:rPr>
              <w:t>President</w:t>
            </w:r>
          </w:p>
        </w:tc>
        <w:tc>
          <w:tcPr>
            <w:tcW w:w="620" w:type="dxa"/>
            <w:vAlign w:val="bottom"/>
            <w:tcBorders>
              <w:bottom w:val="single" w:sz="8" w:color="3E3935"/>
            </w:tcBorders>
          </w:tcPr>
          <w:p>
            <w:pPr>
              <w:ind w:left="180"/>
              <w:spacing w:after="0" w:line="154" w:lineRule="exact"/>
              <w:rPr>
                <w:sz w:val="20"/>
                <w:szCs w:val="20"/>
                <w:color w:val="auto"/>
              </w:rPr>
            </w:pPr>
            <w:r>
              <w:rPr>
                <w:rFonts w:ascii="Arial" w:cs="Arial" w:eastAsia="Arial" w:hAnsi="Arial"/>
                <w:sz w:val="14"/>
                <w:szCs w:val="14"/>
                <w:color w:val="3E3935"/>
              </w:rPr>
              <w:t>2020</w:t>
            </w:r>
          </w:p>
        </w:tc>
        <w:tc>
          <w:tcPr>
            <w:tcW w:w="84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1,235,000</w:t>
            </w:r>
          </w:p>
        </w:tc>
        <w:tc>
          <w:tcPr>
            <w:tcW w:w="700" w:type="dxa"/>
            <w:vAlign w:val="bottom"/>
            <w:tcBorders>
              <w:bottom w:val="single" w:sz="8" w:color="3E3935"/>
            </w:tcBorders>
          </w:tcPr>
          <w:p>
            <w:pPr>
              <w:jc w:val="right"/>
              <w:ind w:right="48"/>
              <w:spacing w:after="0" w:line="154" w:lineRule="exact"/>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line="154" w:lineRule="exact"/>
              <w:rPr>
                <w:sz w:val="20"/>
                <w:szCs w:val="20"/>
                <w:color w:val="auto"/>
              </w:rPr>
            </w:pPr>
            <w:r>
              <w:rPr>
                <w:rFonts w:ascii="Arial" w:cs="Arial" w:eastAsia="Arial" w:hAnsi="Arial"/>
                <w:sz w:val="14"/>
                <w:szCs w:val="14"/>
                <w:color w:val="3E3935"/>
              </w:rPr>
              <w:t>5,217,207</w:t>
            </w:r>
          </w:p>
        </w:tc>
        <w:tc>
          <w:tcPr>
            <w:tcW w:w="900" w:type="dxa"/>
            <w:vAlign w:val="bottom"/>
            <w:tcBorders>
              <w:bottom w:val="single" w:sz="8" w:color="3E3935"/>
            </w:tcBorders>
          </w:tcPr>
          <w:p>
            <w:pPr>
              <w:jc w:val="right"/>
              <w:ind w:right="32"/>
              <w:spacing w:after="0" w:line="154" w:lineRule="exact"/>
              <w:rPr>
                <w:sz w:val="20"/>
                <w:szCs w:val="20"/>
                <w:color w:val="auto"/>
              </w:rPr>
            </w:pPr>
            <w:r>
              <w:rPr>
                <w:rFonts w:ascii="Arial" w:cs="Arial" w:eastAsia="Arial" w:hAnsi="Arial"/>
                <w:sz w:val="14"/>
                <w:szCs w:val="14"/>
                <w:color w:val="3E3935"/>
              </w:rPr>
              <w:t>1,487,501</w:t>
            </w:r>
          </w:p>
        </w:tc>
        <w:tc>
          <w:tcPr>
            <w:tcW w:w="1400" w:type="dxa"/>
            <w:vAlign w:val="bottom"/>
            <w:tcBorders>
              <w:bottom w:val="single" w:sz="8" w:color="3E3935"/>
            </w:tcBorders>
            <w:gridSpan w:val="2"/>
          </w:tcPr>
          <w:p>
            <w:pPr>
              <w:jc w:val="right"/>
              <w:ind w:right="36"/>
              <w:spacing w:after="0" w:line="154" w:lineRule="exact"/>
              <w:rPr>
                <w:sz w:val="20"/>
                <w:szCs w:val="20"/>
                <w:color w:val="auto"/>
              </w:rPr>
            </w:pPr>
            <w:r>
              <w:rPr>
                <w:rFonts w:ascii="Arial" w:cs="Arial" w:eastAsia="Arial" w:hAnsi="Arial"/>
                <w:sz w:val="14"/>
                <w:szCs w:val="14"/>
                <w:color w:val="3E3935"/>
              </w:rPr>
              <w:t>1,462,500</w:t>
            </w:r>
          </w:p>
        </w:tc>
        <w:tc>
          <w:tcPr>
            <w:tcW w:w="1260" w:type="dxa"/>
            <w:vAlign w:val="bottom"/>
            <w:tcBorders>
              <w:bottom w:val="single" w:sz="8" w:color="3E3935"/>
            </w:tcBorders>
          </w:tcPr>
          <w:p>
            <w:pPr>
              <w:jc w:val="right"/>
              <w:ind w:right="31"/>
              <w:spacing w:after="0" w:line="154" w:lineRule="exact"/>
              <w:rPr>
                <w:sz w:val="20"/>
                <w:szCs w:val="20"/>
                <w:color w:val="auto"/>
              </w:rPr>
            </w:pPr>
            <w:r>
              <w:rPr>
                <w:rFonts w:ascii="Arial" w:cs="Arial" w:eastAsia="Arial" w:hAnsi="Arial"/>
                <w:sz w:val="14"/>
                <w:szCs w:val="14"/>
                <w:color w:val="3E3935"/>
              </w:rPr>
              <w:t>333,492</w:t>
            </w:r>
          </w:p>
        </w:tc>
        <w:tc>
          <w:tcPr>
            <w:tcW w:w="1380" w:type="dxa"/>
            <w:vAlign w:val="bottom"/>
            <w:tcBorders>
              <w:bottom w:val="single" w:sz="8" w:color="3E3935"/>
            </w:tcBorders>
            <w:gridSpan w:val="2"/>
          </w:tcPr>
          <w:p>
            <w:pPr>
              <w:jc w:val="right"/>
              <w:ind w:right="16"/>
              <w:spacing w:after="0" w:line="154" w:lineRule="exact"/>
              <w:rPr>
                <w:sz w:val="20"/>
                <w:szCs w:val="20"/>
                <w:color w:val="auto"/>
              </w:rPr>
            </w:pPr>
            <w:r>
              <w:rPr>
                <w:rFonts w:ascii="Arial" w:cs="Arial" w:eastAsia="Arial" w:hAnsi="Arial"/>
                <w:sz w:val="14"/>
                <w:szCs w:val="14"/>
                <w:color w:val="3E3935"/>
              </w:rPr>
              <w:t>227,702</w:t>
            </w:r>
          </w:p>
        </w:tc>
        <w:tc>
          <w:tcPr>
            <w:tcW w:w="920" w:type="dxa"/>
            <w:vAlign w:val="bottom"/>
            <w:tcBorders>
              <w:bottom w:val="single" w:sz="8" w:color="3E3935"/>
            </w:tcBorders>
          </w:tcPr>
          <w:p>
            <w:pPr>
              <w:jc w:val="right"/>
              <w:ind w:right="68"/>
              <w:spacing w:after="0" w:line="154" w:lineRule="exact"/>
              <w:rPr>
                <w:sz w:val="20"/>
                <w:szCs w:val="20"/>
                <w:color w:val="auto"/>
              </w:rPr>
            </w:pPr>
            <w:r>
              <w:rPr>
                <w:rFonts w:ascii="Arial" w:cs="Arial" w:eastAsia="Arial" w:hAnsi="Arial"/>
                <w:sz w:val="14"/>
                <w:szCs w:val="14"/>
                <w:color w:val="3E3935"/>
              </w:rPr>
              <w:t>9,963,402</w:t>
            </w:r>
          </w:p>
        </w:tc>
        <w:tc>
          <w:tcPr>
            <w:tcW w:w="0" w:type="dxa"/>
            <w:vAlign w:val="bottom"/>
          </w:tcPr>
          <w:p>
            <w:pPr>
              <w:spacing w:after="0"/>
              <w:rPr>
                <w:sz w:val="1"/>
                <w:szCs w:val="1"/>
                <w:color w:val="auto"/>
              </w:rPr>
            </w:pPr>
          </w:p>
        </w:tc>
      </w:tr>
      <w:tr>
        <w:trPr>
          <w:trHeight w:val="154"/>
        </w:trPr>
        <w:tc>
          <w:tcPr>
            <w:tcW w:w="1980" w:type="dxa"/>
            <w:vAlign w:val="bottom"/>
            <w:tcBorders>
              <w:bottom w:val="single" w:sz="8" w:color="3E3935"/>
            </w:tcBorders>
          </w:tcPr>
          <w:p>
            <w:pPr>
              <w:spacing w:after="0"/>
              <w:rPr>
                <w:sz w:val="13"/>
                <w:szCs w:val="13"/>
                <w:color w:val="auto"/>
              </w:rPr>
            </w:pPr>
          </w:p>
        </w:tc>
        <w:tc>
          <w:tcPr>
            <w:tcW w:w="620" w:type="dxa"/>
            <w:vAlign w:val="bottom"/>
            <w:tcBorders>
              <w:bottom w:val="single" w:sz="8" w:color="3E3935"/>
            </w:tcBorders>
          </w:tcPr>
          <w:p>
            <w:pPr>
              <w:ind w:left="180"/>
              <w:spacing w:after="0" w:line="154" w:lineRule="exact"/>
              <w:rPr>
                <w:sz w:val="20"/>
                <w:szCs w:val="20"/>
                <w:color w:val="auto"/>
              </w:rPr>
            </w:pPr>
            <w:r>
              <w:rPr>
                <w:rFonts w:ascii="Arial" w:cs="Arial" w:eastAsia="Arial" w:hAnsi="Arial"/>
                <w:sz w:val="14"/>
                <w:szCs w:val="14"/>
                <w:color w:val="3E3935"/>
              </w:rPr>
              <w:t>2019</w:t>
            </w:r>
          </w:p>
        </w:tc>
        <w:tc>
          <w:tcPr>
            <w:tcW w:w="84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1,200,000</w:t>
            </w:r>
          </w:p>
        </w:tc>
        <w:tc>
          <w:tcPr>
            <w:tcW w:w="700" w:type="dxa"/>
            <w:vAlign w:val="bottom"/>
            <w:tcBorders>
              <w:bottom w:val="single" w:sz="8" w:color="3E3935"/>
            </w:tcBorders>
          </w:tcPr>
          <w:p>
            <w:pPr>
              <w:jc w:val="right"/>
              <w:ind w:right="48"/>
              <w:spacing w:after="0" w:line="154" w:lineRule="exact"/>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line="154" w:lineRule="exact"/>
              <w:rPr>
                <w:sz w:val="20"/>
                <w:szCs w:val="20"/>
                <w:color w:val="auto"/>
              </w:rPr>
            </w:pPr>
            <w:r>
              <w:rPr>
                <w:rFonts w:ascii="Arial" w:cs="Arial" w:eastAsia="Arial" w:hAnsi="Arial"/>
                <w:sz w:val="14"/>
                <w:szCs w:val="14"/>
                <w:color w:val="3E3935"/>
              </w:rPr>
              <w:t>4,133,385</w:t>
            </w:r>
          </w:p>
        </w:tc>
        <w:tc>
          <w:tcPr>
            <w:tcW w:w="900" w:type="dxa"/>
            <w:vAlign w:val="bottom"/>
            <w:tcBorders>
              <w:bottom w:val="single" w:sz="8" w:color="3E3935"/>
            </w:tcBorders>
          </w:tcPr>
          <w:p>
            <w:pPr>
              <w:jc w:val="right"/>
              <w:ind w:right="32"/>
              <w:spacing w:after="0" w:line="154" w:lineRule="exact"/>
              <w:rPr>
                <w:sz w:val="20"/>
                <w:szCs w:val="20"/>
                <w:color w:val="auto"/>
              </w:rPr>
            </w:pPr>
            <w:r>
              <w:rPr>
                <w:rFonts w:ascii="Arial" w:cs="Arial" w:eastAsia="Arial" w:hAnsi="Arial"/>
                <w:sz w:val="14"/>
                <w:szCs w:val="14"/>
                <w:color w:val="3E3935"/>
              </w:rPr>
              <w:t>1,200,000</w:t>
            </w:r>
          </w:p>
        </w:tc>
        <w:tc>
          <w:tcPr>
            <w:tcW w:w="1400" w:type="dxa"/>
            <w:vAlign w:val="bottom"/>
            <w:tcBorders>
              <w:bottom w:val="single" w:sz="8" w:color="3E3935"/>
            </w:tcBorders>
            <w:gridSpan w:val="2"/>
          </w:tcPr>
          <w:p>
            <w:pPr>
              <w:jc w:val="right"/>
              <w:ind w:right="36"/>
              <w:spacing w:after="0" w:line="154" w:lineRule="exact"/>
              <w:rPr>
                <w:sz w:val="20"/>
                <w:szCs w:val="20"/>
                <w:color w:val="auto"/>
              </w:rPr>
            </w:pPr>
            <w:r>
              <w:rPr>
                <w:rFonts w:ascii="Arial" w:cs="Arial" w:eastAsia="Arial" w:hAnsi="Arial"/>
                <w:sz w:val="14"/>
                <w:szCs w:val="14"/>
                <w:color w:val="3E3935"/>
              </w:rPr>
              <w:t>1,050,000</w:t>
            </w:r>
          </w:p>
        </w:tc>
        <w:tc>
          <w:tcPr>
            <w:tcW w:w="1260" w:type="dxa"/>
            <w:vAlign w:val="bottom"/>
            <w:tcBorders>
              <w:bottom w:val="single" w:sz="8" w:color="3E3935"/>
            </w:tcBorders>
          </w:tcPr>
          <w:p>
            <w:pPr>
              <w:jc w:val="right"/>
              <w:ind w:right="31"/>
              <w:spacing w:after="0" w:line="154" w:lineRule="exact"/>
              <w:rPr>
                <w:sz w:val="20"/>
                <w:szCs w:val="20"/>
                <w:color w:val="auto"/>
              </w:rPr>
            </w:pPr>
            <w:r>
              <w:rPr>
                <w:rFonts w:ascii="Arial" w:cs="Arial" w:eastAsia="Arial" w:hAnsi="Arial"/>
                <w:sz w:val="14"/>
                <w:szCs w:val="14"/>
                <w:color w:val="3E3935"/>
              </w:rPr>
              <w:t>250,488</w:t>
            </w:r>
          </w:p>
        </w:tc>
        <w:tc>
          <w:tcPr>
            <w:tcW w:w="1380" w:type="dxa"/>
            <w:vAlign w:val="bottom"/>
            <w:tcBorders>
              <w:bottom w:val="single" w:sz="8" w:color="3E3935"/>
            </w:tcBorders>
            <w:gridSpan w:val="2"/>
          </w:tcPr>
          <w:p>
            <w:pPr>
              <w:jc w:val="right"/>
              <w:ind w:right="16"/>
              <w:spacing w:after="0" w:line="154" w:lineRule="exact"/>
              <w:rPr>
                <w:sz w:val="20"/>
                <w:szCs w:val="20"/>
                <w:color w:val="auto"/>
              </w:rPr>
            </w:pPr>
            <w:r>
              <w:rPr>
                <w:rFonts w:ascii="Arial" w:cs="Arial" w:eastAsia="Arial" w:hAnsi="Arial"/>
                <w:sz w:val="14"/>
                <w:szCs w:val="14"/>
                <w:color w:val="3E3935"/>
              </w:rPr>
              <w:t>348,374</w:t>
            </w:r>
          </w:p>
        </w:tc>
        <w:tc>
          <w:tcPr>
            <w:tcW w:w="920" w:type="dxa"/>
            <w:vAlign w:val="bottom"/>
            <w:tcBorders>
              <w:bottom w:val="single" w:sz="8" w:color="3E3935"/>
            </w:tcBorders>
          </w:tcPr>
          <w:p>
            <w:pPr>
              <w:jc w:val="right"/>
              <w:ind w:right="68"/>
              <w:spacing w:after="0" w:line="154" w:lineRule="exact"/>
              <w:rPr>
                <w:sz w:val="20"/>
                <w:szCs w:val="20"/>
                <w:color w:val="auto"/>
              </w:rPr>
            </w:pPr>
            <w:r>
              <w:rPr>
                <w:rFonts w:ascii="Arial" w:cs="Arial" w:eastAsia="Arial" w:hAnsi="Arial"/>
                <w:sz w:val="14"/>
                <w:szCs w:val="14"/>
                <w:color w:val="3E3935"/>
              </w:rPr>
              <w:t>8,182,247</w:t>
            </w:r>
          </w:p>
        </w:tc>
        <w:tc>
          <w:tcPr>
            <w:tcW w:w="0" w:type="dxa"/>
            <w:vAlign w:val="bottom"/>
          </w:tcPr>
          <w:p>
            <w:pPr>
              <w:spacing w:after="0"/>
              <w:rPr>
                <w:sz w:val="1"/>
                <w:szCs w:val="1"/>
                <w:color w:val="auto"/>
              </w:rPr>
            </w:pPr>
          </w:p>
        </w:tc>
      </w:tr>
      <w:tr>
        <w:trPr>
          <w:trHeight w:val="207"/>
        </w:trPr>
        <w:tc>
          <w:tcPr>
            <w:tcW w:w="1980" w:type="dxa"/>
            <w:vAlign w:val="bottom"/>
          </w:tcPr>
          <w:p>
            <w:pPr>
              <w:ind w:left="80"/>
              <w:spacing w:after="0"/>
              <w:rPr>
                <w:sz w:val="20"/>
                <w:szCs w:val="20"/>
                <w:color w:val="auto"/>
              </w:rPr>
            </w:pPr>
            <w:r>
              <w:rPr>
                <w:rFonts w:ascii="Arial" w:cs="Arial" w:eastAsia="Arial" w:hAnsi="Arial"/>
                <w:sz w:val="14"/>
                <w:szCs w:val="14"/>
                <w:b w:val="1"/>
                <w:bCs w:val="1"/>
                <w:color w:val="3E3935"/>
              </w:rPr>
              <w:t>Douglas L. Parks</w:t>
            </w:r>
          </w:p>
        </w:tc>
        <w:tc>
          <w:tcPr>
            <w:tcW w:w="620" w:type="dxa"/>
            <w:vAlign w:val="bottom"/>
            <w:tcBorders>
              <w:bottom w:val="single" w:sz="8" w:color="3E3935"/>
            </w:tcBorders>
          </w:tcPr>
          <w:p>
            <w:pPr>
              <w:ind w:left="180"/>
              <w:spacing w:after="0"/>
              <w:rPr>
                <w:sz w:val="20"/>
                <w:szCs w:val="20"/>
                <w:color w:val="auto"/>
              </w:rPr>
            </w:pPr>
            <w:r>
              <w:rPr>
                <w:rFonts w:ascii="Arial" w:cs="Arial" w:eastAsia="Arial" w:hAnsi="Arial"/>
                <w:sz w:val="14"/>
                <w:szCs w:val="14"/>
                <w:color w:val="3E3935"/>
              </w:rPr>
              <w:t>2021</w:t>
            </w:r>
          </w:p>
        </w:tc>
        <w:tc>
          <w:tcPr>
            <w:tcW w:w="84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850,000</w:t>
            </w:r>
          </w:p>
        </w:tc>
        <w:tc>
          <w:tcPr>
            <w:tcW w:w="70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4,617,717</w:t>
            </w:r>
          </w:p>
        </w:tc>
        <w:tc>
          <w:tcPr>
            <w:tcW w:w="90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1,246,876</w:t>
            </w:r>
          </w:p>
        </w:tc>
        <w:tc>
          <w:tcPr>
            <w:tcW w:w="1400" w:type="dxa"/>
            <w:vAlign w:val="bottom"/>
            <w:tcBorders>
              <w:bottom w:val="single" w:sz="8" w:color="3E3935"/>
            </w:tcBorders>
            <w:gridSpan w:val="2"/>
          </w:tcPr>
          <w:p>
            <w:pPr>
              <w:jc w:val="right"/>
              <w:ind w:right="36"/>
              <w:spacing w:after="0"/>
              <w:rPr>
                <w:sz w:val="20"/>
                <w:szCs w:val="20"/>
                <w:color w:val="auto"/>
              </w:rPr>
            </w:pPr>
            <w:r>
              <w:rPr>
                <w:rFonts w:ascii="Arial" w:cs="Arial" w:eastAsia="Arial" w:hAnsi="Arial"/>
                <w:sz w:val="14"/>
                <w:szCs w:val="14"/>
                <w:color w:val="3E3935"/>
              </w:rPr>
              <w:t>1,933,800</w:t>
            </w:r>
          </w:p>
        </w:tc>
        <w:tc>
          <w:tcPr>
            <w:tcW w:w="1260" w:type="dxa"/>
            <w:vAlign w:val="bottom"/>
            <w:tcBorders>
              <w:bottom w:val="single" w:sz="8" w:color="3E3935"/>
            </w:tcBorders>
          </w:tcPr>
          <w:p>
            <w:pPr>
              <w:jc w:val="right"/>
              <w:ind w:right="31"/>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gridSpan w:val="2"/>
          </w:tcPr>
          <w:p>
            <w:pPr>
              <w:jc w:val="right"/>
              <w:ind w:right="16"/>
              <w:spacing w:after="0"/>
              <w:rPr>
                <w:sz w:val="20"/>
                <w:szCs w:val="20"/>
                <w:color w:val="auto"/>
              </w:rPr>
            </w:pPr>
            <w:r>
              <w:rPr>
                <w:rFonts w:ascii="Arial" w:cs="Arial" w:eastAsia="Arial" w:hAnsi="Arial"/>
                <w:sz w:val="14"/>
                <w:szCs w:val="14"/>
                <w:color w:val="3E3935"/>
              </w:rPr>
              <w:t>187,084</w:t>
            </w:r>
          </w:p>
        </w:tc>
        <w:tc>
          <w:tcPr>
            <w:tcW w:w="920" w:type="dxa"/>
            <w:vAlign w:val="bottom"/>
            <w:tcBorders>
              <w:bottom w:val="single" w:sz="8" w:color="3E3935"/>
            </w:tcBorders>
          </w:tcPr>
          <w:p>
            <w:pPr>
              <w:jc w:val="right"/>
              <w:ind w:right="68"/>
              <w:spacing w:after="0"/>
              <w:rPr>
                <w:sz w:val="20"/>
                <w:szCs w:val="20"/>
                <w:color w:val="auto"/>
              </w:rPr>
            </w:pPr>
            <w:r>
              <w:rPr>
                <w:rFonts w:ascii="Arial" w:cs="Arial" w:eastAsia="Arial" w:hAnsi="Arial"/>
                <w:sz w:val="14"/>
                <w:szCs w:val="14"/>
                <w:color w:val="3E3935"/>
              </w:rPr>
              <w:t>8,835,477</w:t>
            </w:r>
          </w:p>
        </w:tc>
        <w:tc>
          <w:tcPr>
            <w:tcW w:w="0" w:type="dxa"/>
            <w:vAlign w:val="bottom"/>
          </w:tcPr>
          <w:p>
            <w:pPr>
              <w:spacing w:after="0"/>
              <w:rPr>
                <w:sz w:val="1"/>
                <w:szCs w:val="1"/>
                <w:color w:val="auto"/>
              </w:rPr>
            </w:pPr>
          </w:p>
        </w:tc>
      </w:tr>
      <w:tr>
        <w:trPr>
          <w:trHeight w:val="131"/>
        </w:trPr>
        <w:tc>
          <w:tcPr>
            <w:tcW w:w="1980" w:type="dxa"/>
            <w:vAlign w:val="bottom"/>
          </w:tcPr>
          <w:p>
            <w:pPr>
              <w:ind w:left="80"/>
              <w:spacing w:after="0" w:line="131" w:lineRule="exact"/>
              <w:rPr>
                <w:sz w:val="20"/>
                <w:szCs w:val="20"/>
                <w:color w:val="auto"/>
              </w:rPr>
            </w:pPr>
            <w:r>
              <w:rPr>
                <w:rFonts w:ascii="Arial" w:cs="Arial" w:eastAsia="Arial" w:hAnsi="Arial"/>
                <w:sz w:val="14"/>
                <w:szCs w:val="14"/>
                <w:color w:val="3E3935"/>
              </w:rPr>
              <w:t>Executive Vice</w:t>
            </w:r>
          </w:p>
        </w:tc>
        <w:tc>
          <w:tcPr>
            <w:tcW w:w="620" w:type="dxa"/>
            <w:vAlign w:val="bottom"/>
          </w:tcPr>
          <w:p>
            <w:pPr>
              <w:ind w:left="180"/>
              <w:spacing w:after="0" w:line="131" w:lineRule="exact"/>
              <w:rPr>
                <w:sz w:val="20"/>
                <w:szCs w:val="20"/>
                <w:color w:val="auto"/>
              </w:rPr>
            </w:pPr>
            <w:r>
              <w:rPr>
                <w:rFonts w:ascii="Arial" w:cs="Arial" w:eastAsia="Arial" w:hAnsi="Arial"/>
                <w:sz w:val="14"/>
                <w:szCs w:val="14"/>
                <w:color w:val="3E3935"/>
              </w:rPr>
              <w:t>2020</w:t>
            </w:r>
          </w:p>
        </w:tc>
        <w:tc>
          <w:tcPr>
            <w:tcW w:w="840" w:type="dxa"/>
            <w:vAlign w:val="bottom"/>
          </w:tcPr>
          <w:p>
            <w:pPr>
              <w:jc w:val="right"/>
              <w:ind w:right="8"/>
              <w:spacing w:after="0" w:line="131" w:lineRule="exact"/>
              <w:rPr>
                <w:sz w:val="20"/>
                <w:szCs w:val="20"/>
                <w:color w:val="auto"/>
              </w:rPr>
            </w:pPr>
            <w:r>
              <w:rPr>
                <w:rFonts w:ascii="Arial" w:cs="Arial" w:eastAsia="Arial" w:hAnsi="Arial"/>
                <w:sz w:val="14"/>
                <w:szCs w:val="14"/>
                <w:color w:val="3E3935"/>
              </w:rPr>
              <w:t>767,500</w:t>
            </w:r>
          </w:p>
        </w:tc>
        <w:tc>
          <w:tcPr>
            <w:tcW w:w="700" w:type="dxa"/>
            <w:vAlign w:val="bottom"/>
          </w:tcPr>
          <w:p>
            <w:pPr>
              <w:jc w:val="right"/>
              <w:ind w:right="48"/>
              <w:spacing w:after="0" w:line="131"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3,543,682</w:t>
            </w:r>
          </w:p>
        </w:tc>
        <w:tc>
          <w:tcPr>
            <w:tcW w:w="90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1,021,888</w:t>
            </w:r>
          </w:p>
        </w:tc>
        <w:tc>
          <w:tcPr>
            <w:tcW w:w="1400" w:type="dxa"/>
            <w:vAlign w:val="bottom"/>
            <w:gridSpan w:val="2"/>
          </w:tcPr>
          <w:p>
            <w:pPr>
              <w:jc w:val="right"/>
              <w:ind w:right="36"/>
              <w:spacing w:after="0" w:line="131" w:lineRule="exact"/>
              <w:rPr>
                <w:sz w:val="20"/>
                <w:szCs w:val="20"/>
                <w:color w:val="auto"/>
              </w:rPr>
            </w:pPr>
            <w:r>
              <w:rPr>
                <w:rFonts w:ascii="Arial" w:cs="Arial" w:eastAsia="Arial" w:hAnsi="Arial"/>
                <w:sz w:val="14"/>
                <w:szCs w:val="14"/>
                <w:color w:val="3E3935"/>
              </w:rPr>
              <w:t>977,500</w:t>
            </w:r>
          </w:p>
        </w:tc>
        <w:tc>
          <w:tcPr>
            <w:tcW w:w="1260" w:type="dxa"/>
            <w:vAlign w:val="bottom"/>
          </w:tcPr>
          <w:p>
            <w:pPr>
              <w:jc w:val="right"/>
              <w:ind w:right="31"/>
              <w:spacing w:after="0" w:line="131" w:lineRule="exact"/>
              <w:rPr>
                <w:sz w:val="20"/>
                <w:szCs w:val="20"/>
                <w:color w:val="auto"/>
              </w:rPr>
            </w:pPr>
            <w:r>
              <w:rPr>
                <w:rFonts w:ascii="Arial" w:cs="Arial" w:eastAsia="Arial" w:hAnsi="Arial"/>
                <w:sz w:val="14"/>
                <w:szCs w:val="14"/>
                <w:color w:val="3E3935"/>
              </w:rPr>
              <w:t>260,113</w:t>
            </w:r>
          </w:p>
        </w:tc>
        <w:tc>
          <w:tcPr>
            <w:tcW w:w="1380" w:type="dxa"/>
            <w:vAlign w:val="bottom"/>
            <w:gridSpan w:val="2"/>
          </w:tcPr>
          <w:p>
            <w:pPr>
              <w:jc w:val="right"/>
              <w:ind w:right="16"/>
              <w:spacing w:after="0" w:line="131" w:lineRule="exact"/>
              <w:rPr>
                <w:sz w:val="20"/>
                <w:szCs w:val="20"/>
                <w:color w:val="auto"/>
              </w:rPr>
            </w:pPr>
            <w:r>
              <w:rPr>
                <w:rFonts w:ascii="Arial" w:cs="Arial" w:eastAsia="Arial" w:hAnsi="Arial"/>
                <w:sz w:val="14"/>
                <w:szCs w:val="14"/>
                <w:color w:val="3E3935"/>
              </w:rPr>
              <w:t>163,025</w:t>
            </w:r>
          </w:p>
        </w:tc>
        <w:tc>
          <w:tcPr>
            <w:tcW w:w="920" w:type="dxa"/>
            <w:vAlign w:val="bottom"/>
          </w:tcPr>
          <w:p>
            <w:pPr>
              <w:jc w:val="right"/>
              <w:ind w:right="68"/>
              <w:spacing w:after="0" w:line="131" w:lineRule="exact"/>
              <w:rPr>
                <w:sz w:val="20"/>
                <w:szCs w:val="20"/>
                <w:color w:val="auto"/>
              </w:rPr>
            </w:pPr>
            <w:r>
              <w:rPr>
                <w:rFonts w:ascii="Arial" w:cs="Arial" w:eastAsia="Arial" w:hAnsi="Arial"/>
                <w:sz w:val="14"/>
                <w:szCs w:val="14"/>
                <w:color w:val="3E3935"/>
              </w:rPr>
              <w:t>6,733,708</w:t>
            </w:r>
          </w:p>
        </w:tc>
        <w:tc>
          <w:tcPr>
            <w:tcW w:w="0" w:type="dxa"/>
            <w:vAlign w:val="bottom"/>
          </w:tcPr>
          <w:p>
            <w:pPr>
              <w:spacing w:after="0"/>
              <w:rPr>
                <w:sz w:val="1"/>
                <w:szCs w:val="1"/>
                <w:color w:val="auto"/>
              </w:rPr>
            </w:pPr>
          </w:p>
        </w:tc>
      </w:tr>
      <w:tr>
        <w:trPr>
          <w:trHeight w:val="160"/>
        </w:trPr>
        <w:tc>
          <w:tcPr>
            <w:tcW w:w="1980" w:type="dxa"/>
            <w:vAlign w:val="bottom"/>
          </w:tcPr>
          <w:p>
            <w:pPr>
              <w:ind w:left="80"/>
              <w:spacing w:after="0"/>
              <w:rPr>
                <w:sz w:val="20"/>
                <w:szCs w:val="20"/>
                <w:color w:val="auto"/>
              </w:rPr>
            </w:pPr>
            <w:r>
              <w:rPr>
                <w:rFonts w:ascii="Arial" w:cs="Arial" w:eastAsia="Arial" w:hAnsi="Arial"/>
                <w:sz w:val="14"/>
                <w:szCs w:val="14"/>
                <w:color w:val="3E3935"/>
              </w:rPr>
              <w:t>President, Global</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ind w:left="80"/>
              <w:spacing w:after="0"/>
              <w:rPr>
                <w:sz w:val="20"/>
                <w:szCs w:val="20"/>
                <w:color w:val="auto"/>
              </w:rPr>
            </w:pPr>
            <w:r>
              <w:rPr>
                <w:rFonts w:ascii="Arial" w:cs="Arial" w:eastAsia="Arial" w:hAnsi="Arial"/>
                <w:sz w:val="14"/>
                <w:szCs w:val="14"/>
                <w:color w:val="3E3935"/>
              </w:rPr>
              <w:t>Product Development,</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ind w:left="80"/>
              <w:spacing w:after="0"/>
              <w:rPr>
                <w:sz w:val="20"/>
                <w:szCs w:val="20"/>
                <w:color w:val="auto"/>
              </w:rPr>
            </w:pPr>
            <w:r>
              <w:rPr>
                <w:rFonts w:ascii="Arial" w:cs="Arial" w:eastAsia="Arial" w:hAnsi="Arial"/>
                <w:sz w:val="14"/>
                <w:szCs w:val="14"/>
                <w:color w:val="3E3935"/>
              </w:rPr>
              <w:t>Purchasing and Supply</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8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Chain</w:t>
            </w:r>
          </w:p>
        </w:tc>
        <w:tc>
          <w:tcPr>
            <w:tcW w:w="620" w:type="dxa"/>
            <w:vAlign w:val="bottom"/>
            <w:tcBorders>
              <w:bottom w:val="single" w:sz="8" w:color="3E3935"/>
            </w:tcBorders>
          </w:tcPr>
          <w:p>
            <w:pPr>
              <w:spacing w:after="0"/>
              <w:rPr>
                <w:sz w:val="15"/>
                <w:szCs w:val="15"/>
                <w:color w:val="auto"/>
              </w:rPr>
            </w:pPr>
          </w:p>
        </w:tc>
        <w:tc>
          <w:tcPr>
            <w:tcW w:w="840" w:type="dxa"/>
            <w:vAlign w:val="bottom"/>
            <w:tcBorders>
              <w:bottom w:val="single" w:sz="8" w:color="3E3935"/>
            </w:tcBorders>
          </w:tcPr>
          <w:p>
            <w:pPr>
              <w:spacing w:after="0"/>
              <w:rPr>
                <w:sz w:val="15"/>
                <w:szCs w:val="15"/>
                <w:color w:val="auto"/>
              </w:rPr>
            </w:pPr>
          </w:p>
        </w:tc>
        <w:tc>
          <w:tcPr>
            <w:tcW w:w="700" w:type="dxa"/>
            <w:vAlign w:val="bottom"/>
            <w:tcBorders>
              <w:bottom w:val="single" w:sz="8" w:color="3E3935"/>
            </w:tcBorders>
          </w:tcPr>
          <w:p>
            <w:pPr>
              <w:spacing w:after="0"/>
              <w:rPr>
                <w:sz w:val="15"/>
                <w:szCs w:val="15"/>
                <w:color w:val="auto"/>
              </w:rPr>
            </w:pPr>
          </w:p>
        </w:tc>
        <w:tc>
          <w:tcPr>
            <w:tcW w:w="920" w:type="dxa"/>
            <w:vAlign w:val="bottom"/>
            <w:tcBorders>
              <w:bottom w:val="single" w:sz="8" w:color="3E3935"/>
            </w:tcBorders>
          </w:tcPr>
          <w:p>
            <w:pPr>
              <w:spacing w:after="0"/>
              <w:rPr>
                <w:sz w:val="15"/>
                <w:szCs w:val="15"/>
                <w:color w:val="auto"/>
              </w:rPr>
            </w:pPr>
          </w:p>
        </w:tc>
        <w:tc>
          <w:tcPr>
            <w:tcW w:w="900" w:type="dxa"/>
            <w:vAlign w:val="bottom"/>
            <w:tcBorders>
              <w:bottom w:val="single" w:sz="8" w:color="3E3935"/>
            </w:tcBorders>
          </w:tcPr>
          <w:p>
            <w:pPr>
              <w:spacing w:after="0"/>
              <w:rPr>
                <w:sz w:val="15"/>
                <w:szCs w:val="15"/>
                <w:color w:val="auto"/>
              </w:rPr>
            </w:pPr>
          </w:p>
        </w:tc>
        <w:tc>
          <w:tcPr>
            <w:tcW w:w="1160" w:type="dxa"/>
            <w:vAlign w:val="bottom"/>
            <w:tcBorders>
              <w:bottom w:val="single" w:sz="8" w:color="3E3935"/>
            </w:tcBorders>
          </w:tcPr>
          <w:p>
            <w:pPr>
              <w:spacing w:after="0"/>
              <w:rPr>
                <w:sz w:val="15"/>
                <w:szCs w:val="15"/>
                <w:color w:val="auto"/>
              </w:rPr>
            </w:pPr>
          </w:p>
        </w:tc>
        <w:tc>
          <w:tcPr>
            <w:tcW w:w="240" w:type="dxa"/>
            <w:vAlign w:val="bottom"/>
            <w:tcBorders>
              <w:bottom w:val="single" w:sz="8" w:color="3E3935"/>
            </w:tcBorders>
          </w:tcPr>
          <w:p>
            <w:pPr>
              <w:spacing w:after="0"/>
              <w:rPr>
                <w:sz w:val="15"/>
                <w:szCs w:val="15"/>
                <w:color w:val="auto"/>
              </w:rPr>
            </w:pPr>
          </w:p>
        </w:tc>
        <w:tc>
          <w:tcPr>
            <w:tcW w:w="1260" w:type="dxa"/>
            <w:vAlign w:val="bottom"/>
            <w:tcBorders>
              <w:bottom w:val="single" w:sz="8" w:color="3E3935"/>
            </w:tcBorders>
          </w:tcPr>
          <w:p>
            <w:pPr>
              <w:spacing w:after="0"/>
              <w:rPr>
                <w:sz w:val="15"/>
                <w:szCs w:val="15"/>
                <w:color w:val="auto"/>
              </w:rPr>
            </w:pPr>
          </w:p>
        </w:tc>
        <w:tc>
          <w:tcPr>
            <w:tcW w:w="1140" w:type="dxa"/>
            <w:vAlign w:val="bottom"/>
            <w:tcBorders>
              <w:bottom w:val="single" w:sz="8" w:color="3E3935"/>
            </w:tcBorders>
          </w:tcPr>
          <w:p>
            <w:pPr>
              <w:spacing w:after="0"/>
              <w:rPr>
                <w:sz w:val="15"/>
                <w:szCs w:val="15"/>
                <w:color w:val="auto"/>
              </w:rPr>
            </w:pPr>
          </w:p>
        </w:tc>
        <w:tc>
          <w:tcPr>
            <w:tcW w:w="240" w:type="dxa"/>
            <w:vAlign w:val="bottom"/>
            <w:tcBorders>
              <w:bottom w:val="single" w:sz="8" w:color="3E3935"/>
            </w:tcBorders>
          </w:tcPr>
          <w:p>
            <w:pPr>
              <w:spacing w:after="0"/>
              <w:rPr>
                <w:sz w:val="15"/>
                <w:szCs w:val="15"/>
                <w:color w:val="auto"/>
              </w:rPr>
            </w:pPr>
          </w:p>
        </w:tc>
        <w:tc>
          <w:tcPr>
            <w:tcW w:w="920" w:type="dxa"/>
            <w:vAlign w:val="bottom"/>
            <w:tcBorders>
              <w:bottom w:val="single" w:sz="8" w:color="3E3935"/>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80"/>
              <w:spacing w:after="0"/>
              <w:rPr>
                <w:sz w:val="20"/>
                <w:szCs w:val="20"/>
                <w:color w:val="auto"/>
              </w:rPr>
            </w:pPr>
            <w:r>
              <w:rPr>
                <w:rFonts w:ascii="Arial" w:cs="Arial" w:eastAsia="Arial" w:hAnsi="Arial"/>
                <w:sz w:val="14"/>
                <w:szCs w:val="14"/>
                <w:b w:val="1"/>
                <w:bCs w:val="1"/>
                <w:color w:val="3E3935"/>
              </w:rPr>
              <w:t>Stephen K. Carlisle</w:t>
            </w:r>
          </w:p>
        </w:tc>
        <w:tc>
          <w:tcPr>
            <w:tcW w:w="620" w:type="dxa"/>
            <w:vAlign w:val="bottom"/>
            <w:tcBorders>
              <w:bottom w:val="single" w:sz="8" w:color="3E3935"/>
            </w:tcBorders>
          </w:tcPr>
          <w:p>
            <w:pPr>
              <w:ind w:left="180"/>
              <w:spacing w:after="0"/>
              <w:rPr>
                <w:sz w:val="20"/>
                <w:szCs w:val="20"/>
                <w:color w:val="auto"/>
              </w:rPr>
            </w:pPr>
            <w:r>
              <w:rPr>
                <w:rFonts w:ascii="Arial" w:cs="Arial" w:eastAsia="Arial" w:hAnsi="Arial"/>
                <w:sz w:val="14"/>
                <w:szCs w:val="14"/>
                <w:color w:val="3E3935"/>
              </w:rPr>
              <w:t>2021</w:t>
            </w:r>
          </w:p>
        </w:tc>
        <w:tc>
          <w:tcPr>
            <w:tcW w:w="84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850,000</w:t>
            </w:r>
          </w:p>
        </w:tc>
        <w:tc>
          <w:tcPr>
            <w:tcW w:w="70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4,617,717</w:t>
            </w:r>
          </w:p>
        </w:tc>
        <w:tc>
          <w:tcPr>
            <w:tcW w:w="900" w:type="dxa"/>
            <w:vAlign w:val="bottom"/>
            <w:tcBorders>
              <w:bottom w:val="single" w:sz="8" w:color="3E3935"/>
            </w:tcBorders>
          </w:tcPr>
          <w:p>
            <w:pPr>
              <w:jc w:val="right"/>
              <w:ind w:right="32"/>
              <w:spacing w:after="0"/>
              <w:rPr>
                <w:sz w:val="20"/>
                <w:szCs w:val="20"/>
                <w:color w:val="auto"/>
              </w:rPr>
            </w:pPr>
            <w:r>
              <w:rPr>
                <w:rFonts w:ascii="Arial" w:cs="Arial" w:eastAsia="Arial" w:hAnsi="Arial"/>
                <w:sz w:val="14"/>
                <w:szCs w:val="14"/>
                <w:color w:val="3E3935"/>
              </w:rPr>
              <w:t>1,246,876</w:t>
            </w:r>
          </w:p>
        </w:tc>
        <w:tc>
          <w:tcPr>
            <w:tcW w:w="1400" w:type="dxa"/>
            <w:vAlign w:val="bottom"/>
            <w:tcBorders>
              <w:bottom w:val="single" w:sz="8" w:color="3E3935"/>
            </w:tcBorders>
            <w:gridSpan w:val="2"/>
          </w:tcPr>
          <w:p>
            <w:pPr>
              <w:jc w:val="right"/>
              <w:ind w:right="36"/>
              <w:spacing w:after="0"/>
              <w:rPr>
                <w:sz w:val="20"/>
                <w:szCs w:val="20"/>
                <w:color w:val="auto"/>
              </w:rPr>
            </w:pPr>
            <w:r>
              <w:rPr>
                <w:rFonts w:ascii="Arial" w:cs="Arial" w:eastAsia="Arial" w:hAnsi="Arial"/>
                <w:sz w:val="14"/>
                <w:szCs w:val="14"/>
                <w:color w:val="3E3935"/>
              </w:rPr>
              <w:t>1,933,800</w:t>
            </w:r>
          </w:p>
        </w:tc>
        <w:tc>
          <w:tcPr>
            <w:tcW w:w="1260" w:type="dxa"/>
            <w:vAlign w:val="bottom"/>
            <w:tcBorders>
              <w:bottom w:val="single" w:sz="8" w:color="3E3935"/>
            </w:tcBorders>
          </w:tcPr>
          <w:p>
            <w:pPr>
              <w:jc w:val="right"/>
              <w:ind w:right="31"/>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gridSpan w:val="2"/>
          </w:tcPr>
          <w:p>
            <w:pPr>
              <w:jc w:val="right"/>
              <w:ind w:right="16"/>
              <w:spacing w:after="0"/>
              <w:rPr>
                <w:sz w:val="20"/>
                <w:szCs w:val="20"/>
                <w:color w:val="auto"/>
              </w:rPr>
            </w:pPr>
            <w:r>
              <w:rPr>
                <w:rFonts w:ascii="Arial" w:cs="Arial" w:eastAsia="Arial" w:hAnsi="Arial"/>
                <w:sz w:val="14"/>
                <w:szCs w:val="14"/>
                <w:color w:val="3E3935"/>
              </w:rPr>
              <w:t>331,811</w:t>
            </w:r>
          </w:p>
        </w:tc>
        <w:tc>
          <w:tcPr>
            <w:tcW w:w="920" w:type="dxa"/>
            <w:vAlign w:val="bottom"/>
            <w:tcBorders>
              <w:bottom w:val="single" w:sz="8" w:color="3E3935"/>
            </w:tcBorders>
          </w:tcPr>
          <w:p>
            <w:pPr>
              <w:jc w:val="right"/>
              <w:ind w:right="68"/>
              <w:spacing w:after="0"/>
              <w:rPr>
                <w:sz w:val="20"/>
                <w:szCs w:val="20"/>
                <w:color w:val="auto"/>
              </w:rPr>
            </w:pPr>
            <w:r>
              <w:rPr>
                <w:rFonts w:ascii="Arial" w:cs="Arial" w:eastAsia="Arial" w:hAnsi="Arial"/>
                <w:sz w:val="14"/>
                <w:szCs w:val="14"/>
                <w:color w:val="3E3935"/>
              </w:rPr>
              <w:t>8,980,204</w:t>
            </w:r>
          </w:p>
        </w:tc>
        <w:tc>
          <w:tcPr>
            <w:tcW w:w="0" w:type="dxa"/>
            <w:vAlign w:val="bottom"/>
          </w:tcPr>
          <w:p>
            <w:pPr>
              <w:spacing w:after="0"/>
              <w:rPr>
                <w:sz w:val="1"/>
                <w:szCs w:val="1"/>
                <w:color w:val="auto"/>
              </w:rPr>
            </w:pPr>
          </w:p>
        </w:tc>
      </w:tr>
      <w:tr>
        <w:trPr>
          <w:trHeight w:val="131"/>
        </w:trPr>
        <w:tc>
          <w:tcPr>
            <w:tcW w:w="1980" w:type="dxa"/>
            <w:vAlign w:val="bottom"/>
          </w:tcPr>
          <w:p>
            <w:pPr>
              <w:ind w:left="80"/>
              <w:spacing w:after="0" w:line="131" w:lineRule="exact"/>
              <w:rPr>
                <w:sz w:val="20"/>
                <w:szCs w:val="20"/>
                <w:color w:val="auto"/>
              </w:rPr>
            </w:pPr>
            <w:r>
              <w:rPr>
                <w:rFonts w:ascii="Arial" w:cs="Arial" w:eastAsia="Arial" w:hAnsi="Arial"/>
                <w:sz w:val="14"/>
                <w:szCs w:val="14"/>
                <w:color w:val="3E3935"/>
              </w:rPr>
              <w:t>Executive Vice</w:t>
            </w:r>
          </w:p>
        </w:tc>
        <w:tc>
          <w:tcPr>
            <w:tcW w:w="620" w:type="dxa"/>
            <w:vAlign w:val="bottom"/>
          </w:tcPr>
          <w:p>
            <w:pPr>
              <w:ind w:left="180"/>
              <w:spacing w:after="0" w:line="131" w:lineRule="exact"/>
              <w:rPr>
                <w:sz w:val="20"/>
                <w:szCs w:val="20"/>
                <w:color w:val="auto"/>
              </w:rPr>
            </w:pPr>
            <w:r>
              <w:rPr>
                <w:rFonts w:ascii="Arial" w:cs="Arial" w:eastAsia="Arial" w:hAnsi="Arial"/>
                <w:sz w:val="14"/>
                <w:szCs w:val="14"/>
                <w:color w:val="3E3935"/>
              </w:rPr>
              <w:t>2020</w:t>
            </w:r>
          </w:p>
        </w:tc>
        <w:tc>
          <w:tcPr>
            <w:tcW w:w="840" w:type="dxa"/>
            <w:vAlign w:val="bottom"/>
          </w:tcPr>
          <w:p>
            <w:pPr>
              <w:jc w:val="right"/>
              <w:ind w:right="8"/>
              <w:spacing w:after="0" w:line="131" w:lineRule="exact"/>
              <w:rPr>
                <w:sz w:val="20"/>
                <w:szCs w:val="20"/>
                <w:color w:val="auto"/>
              </w:rPr>
            </w:pPr>
            <w:r>
              <w:rPr>
                <w:rFonts w:ascii="Arial" w:cs="Arial" w:eastAsia="Arial" w:hAnsi="Arial"/>
                <w:sz w:val="14"/>
                <w:szCs w:val="14"/>
                <w:color w:val="3E3935"/>
              </w:rPr>
              <w:t>711,136</w:t>
            </w:r>
          </w:p>
        </w:tc>
        <w:tc>
          <w:tcPr>
            <w:tcW w:w="700" w:type="dxa"/>
            <w:vAlign w:val="bottom"/>
          </w:tcPr>
          <w:p>
            <w:pPr>
              <w:jc w:val="right"/>
              <w:ind w:right="48"/>
              <w:spacing w:after="0" w:line="131"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3,390,773</w:t>
            </w:r>
          </w:p>
        </w:tc>
        <w:tc>
          <w:tcPr>
            <w:tcW w:w="900" w:type="dxa"/>
            <w:vAlign w:val="bottom"/>
          </w:tcPr>
          <w:p>
            <w:pPr>
              <w:jc w:val="right"/>
              <w:ind w:right="32"/>
              <w:spacing w:after="0" w:line="131" w:lineRule="exact"/>
              <w:rPr>
                <w:sz w:val="20"/>
                <w:szCs w:val="20"/>
                <w:color w:val="auto"/>
              </w:rPr>
            </w:pPr>
            <w:r>
              <w:rPr>
                <w:rFonts w:ascii="Arial" w:cs="Arial" w:eastAsia="Arial" w:hAnsi="Arial"/>
                <w:sz w:val="14"/>
                <w:szCs w:val="14"/>
                <w:color w:val="3E3935"/>
              </w:rPr>
              <w:t>875,009</w:t>
            </w:r>
          </w:p>
        </w:tc>
        <w:tc>
          <w:tcPr>
            <w:tcW w:w="1400" w:type="dxa"/>
            <w:vAlign w:val="bottom"/>
            <w:gridSpan w:val="2"/>
          </w:tcPr>
          <w:p>
            <w:pPr>
              <w:jc w:val="right"/>
              <w:ind w:right="36"/>
              <w:spacing w:after="0" w:line="131" w:lineRule="exact"/>
              <w:rPr>
                <w:sz w:val="20"/>
                <w:szCs w:val="20"/>
                <w:color w:val="auto"/>
              </w:rPr>
            </w:pPr>
            <w:r>
              <w:rPr>
                <w:rFonts w:ascii="Arial" w:cs="Arial" w:eastAsia="Arial" w:hAnsi="Arial"/>
                <w:sz w:val="14"/>
                <w:szCs w:val="14"/>
                <w:color w:val="3E3935"/>
              </w:rPr>
              <w:t>920,000</w:t>
            </w:r>
          </w:p>
        </w:tc>
        <w:tc>
          <w:tcPr>
            <w:tcW w:w="1260" w:type="dxa"/>
            <w:vAlign w:val="bottom"/>
          </w:tcPr>
          <w:p>
            <w:pPr>
              <w:jc w:val="right"/>
              <w:ind w:right="31"/>
              <w:spacing w:after="0" w:line="131" w:lineRule="exact"/>
              <w:rPr>
                <w:sz w:val="20"/>
                <w:szCs w:val="20"/>
                <w:color w:val="auto"/>
              </w:rPr>
            </w:pPr>
            <w:r>
              <w:rPr>
                <w:rFonts w:ascii="Arial" w:cs="Arial" w:eastAsia="Arial" w:hAnsi="Arial"/>
                <w:sz w:val="14"/>
                <w:szCs w:val="14"/>
                <w:color w:val="3E3935"/>
              </w:rPr>
              <w:t>232,390</w:t>
            </w:r>
          </w:p>
        </w:tc>
        <w:tc>
          <w:tcPr>
            <w:tcW w:w="1380" w:type="dxa"/>
            <w:vAlign w:val="bottom"/>
            <w:gridSpan w:val="2"/>
          </w:tcPr>
          <w:p>
            <w:pPr>
              <w:jc w:val="right"/>
              <w:ind w:right="16"/>
              <w:spacing w:after="0" w:line="131" w:lineRule="exact"/>
              <w:rPr>
                <w:sz w:val="20"/>
                <w:szCs w:val="20"/>
                <w:color w:val="auto"/>
              </w:rPr>
            </w:pPr>
            <w:r>
              <w:rPr>
                <w:rFonts w:ascii="Arial" w:cs="Arial" w:eastAsia="Arial" w:hAnsi="Arial"/>
                <w:sz w:val="14"/>
                <w:szCs w:val="14"/>
                <w:color w:val="3E3935"/>
              </w:rPr>
              <w:t>160,155</w:t>
            </w:r>
          </w:p>
        </w:tc>
        <w:tc>
          <w:tcPr>
            <w:tcW w:w="920" w:type="dxa"/>
            <w:vAlign w:val="bottom"/>
          </w:tcPr>
          <w:p>
            <w:pPr>
              <w:jc w:val="right"/>
              <w:ind w:right="68"/>
              <w:spacing w:after="0" w:line="131" w:lineRule="exact"/>
              <w:rPr>
                <w:sz w:val="20"/>
                <w:szCs w:val="20"/>
                <w:color w:val="auto"/>
              </w:rPr>
            </w:pPr>
            <w:r>
              <w:rPr>
                <w:rFonts w:ascii="Arial" w:cs="Arial" w:eastAsia="Arial" w:hAnsi="Arial"/>
                <w:sz w:val="14"/>
                <w:szCs w:val="14"/>
                <w:color w:val="3E3935"/>
              </w:rPr>
              <w:t>6,289,463</w:t>
            </w:r>
          </w:p>
        </w:tc>
        <w:tc>
          <w:tcPr>
            <w:tcW w:w="0" w:type="dxa"/>
            <w:vAlign w:val="bottom"/>
          </w:tcPr>
          <w:p>
            <w:pPr>
              <w:spacing w:after="0"/>
              <w:rPr>
                <w:sz w:val="1"/>
                <w:szCs w:val="1"/>
                <w:color w:val="auto"/>
              </w:rPr>
            </w:pPr>
          </w:p>
        </w:tc>
      </w:tr>
      <w:tr>
        <w:trPr>
          <w:trHeight w:val="160"/>
        </w:trPr>
        <w:tc>
          <w:tcPr>
            <w:tcW w:w="1980" w:type="dxa"/>
            <w:vAlign w:val="bottom"/>
          </w:tcPr>
          <w:p>
            <w:pPr>
              <w:ind w:left="80"/>
              <w:spacing w:after="0"/>
              <w:rPr>
                <w:sz w:val="20"/>
                <w:szCs w:val="20"/>
                <w:color w:val="auto"/>
              </w:rPr>
            </w:pPr>
            <w:r>
              <w:rPr>
                <w:rFonts w:ascii="Arial" w:cs="Arial" w:eastAsia="Arial" w:hAnsi="Arial"/>
                <w:sz w:val="14"/>
                <w:szCs w:val="14"/>
                <w:color w:val="3E3935"/>
              </w:rPr>
              <w:t>President and</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ind w:left="80"/>
              <w:spacing w:after="0"/>
              <w:rPr>
                <w:sz w:val="20"/>
                <w:szCs w:val="20"/>
                <w:color w:val="auto"/>
              </w:rPr>
            </w:pPr>
            <w:r>
              <w:rPr>
                <w:rFonts w:ascii="Arial" w:cs="Arial" w:eastAsia="Arial" w:hAnsi="Arial"/>
                <w:sz w:val="14"/>
                <w:szCs w:val="14"/>
                <w:color w:val="3E3935"/>
              </w:rPr>
              <w:t>President, North</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80" w:type="dxa"/>
            <w:vAlign w:val="bottom"/>
            <w:tcBorders>
              <w:bottom w:val="single" w:sz="8" w:color="0071CE"/>
            </w:tcBorders>
          </w:tcPr>
          <w:p>
            <w:pPr>
              <w:ind w:left="80"/>
              <w:spacing w:after="0"/>
              <w:rPr>
                <w:sz w:val="20"/>
                <w:szCs w:val="20"/>
                <w:color w:val="auto"/>
              </w:rPr>
            </w:pPr>
            <w:r>
              <w:rPr>
                <w:rFonts w:ascii="Arial" w:cs="Arial" w:eastAsia="Arial" w:hAnsi="Arial"/>
                <w:sz w:val="14"/>
                <w:szCs w:val="14"/>
                <w:color w:val="3E3935"/>
              </w:rPr>
              <w:t>America</w:t>
            </w:r>
          </w:p>
        </w:tc>
        <w:tc>
          <w:tcPr>
            <w:tcW w:w="620" w:type="dxa"/>
            <w:vAlign w:val="bottom"/>
            <w:tcBorders>
              <w:bottom w:val="single" w:sz="8" w:color="0071CE"/>
            </w:tcBorders>
          </w:tcPr>
          <w:p>
            <w:pPr>
              <w:spacing w:after="0"/>
              <w:rPr>
                <w:sz w:val="15"/>
                <w:szCs w:val="15"/>
                <w:color w:val="auto"/>
              </w:rPr>
            </w:pPr>
          </w:p>
        </w:tc>
        <w:tc>
          <w:tcPr>
            <w:tcW w:w="840" w:type="dxa"/>
            <w:vAlign w:val="bottom"/>
            <w:tcBorders>
              <w:bottom w:val="single" w:sz="8" w:color="0071CE"/>
            </w:tcBorders>
          </w:tcPr>
          <w:p>
            <w:pPr>
              <w:spacing w:after="0"/>
              <w:rPr>
                <w:sz w:val="15"/>
                <w:szCs w:val="15"/>
                <w:color w:val="auto"/>
              </w:rPr>
            </w:pPr>
          </w:p>
        </w:tc>
        <w:tc>
          <w:tcPr>
            <w:tcW w:w="700" w:type="dxa"/>
            <w:vAlign w:val="bottom"/>
            <w:tcBorders>
              <w:bottom w:val="single" w:sz="8" w:color="0071CE"/>
            </w:tcBorders>
          </w:tcPr>
          <w:p>
            <w:pPr>
              <w:spacing w:after="0"/>
              <w:rPr>
                <w:sz w:val="15"/>
                <w:szCs w:val="15"/>
                <w:color w:val="auto"/>
              </w:rPr>
            </w:pPr>
          </w:p>
        </w:tc>
        <w:tc>
          <w:tcPr>
            <w:tcW w:w="920" w:type="dxa"/>
            <w:vAlign w:val="bottom"/>
            <w:tcBorders>
              <w:bottom w:val="single" w:sz="8" w:color="0071CE"/>
            </w:tcBorders>
          </w:tcPr>
          <w:p>
            <w:pPr>
              <w:spacing w:after="0"/>
              <w:rPr>
                <w:sz w:val="15"/>
                <w:szCs w:val="15"/>
                <w:color w:val="auto"/>
              </w:rPr>
            </w:pPr>
          </w:p>
        </w:tc>
        <w:tc>
          <w:tcPr>
            <w:tcW w:w="900" w:type="dxa"/>
            <w:vAlign w:val="bottom"/>
            <w:tcBorders>
              <w:bottom w:val="single" w:sz="8" w:color="0071CE"/>
            </w:tcBorders>
          </w:tcPr>
          <w:p>
            <w:pPr>
              <w:spacing w:after="0"/>
              <w:rPr>
                <w:sz w:val="15"/>
                <w:szCs w:val="15"/>
                <w:color w:val="auto"/>
              </w:rPr>
            </w:pPr>
          </w:p>
        </w:tc>
        <w:tc>
          <w:tcPr>
            <w:tcW w:w="1160" w:type="dxa"/>
            <w:vAlign w:val="bottom"/>
            <w:tcBorders>
              <w:bottom w:val="single" w:sz="8" w:color="0071CE"/>
            </w:tcBorders>
          </w:tcPr>
          <w:p>
            <w:pPr>
              <w:spacing w:after="0"/>
              <w:rPr>
                <w:sz w:val="15"/>
                <w:szCs w:val="15"/>
                <w:color w:val="auto"/>
              </w:rPr>
            </w:pPr>
          </w:p>
        </w:tc>
        <w:tc>
          <w:tcPr>
            <w:tcW w:w="240" w:type="dxa"/>
            <w:vAlign w:val="bottom"/>
            <w:tcBorders>
              <w:bottom w:val="single" w:sz="8" w:color="0071CE"/>
            </w:tcBorders>
          </w:tcPr>
          <w:p>
            <w:pPr>
              <w:spacing w:after="0"/>
              <w:rPr>
                <w:sz w:val="15"/>
                <w:szCs w:val="15"/>
                <w:color w:val="auto"/>
              </w:rPr>
            </w:pPr>
          </w:p>
        </w:tc>
        <w:tc>
          <w:tcPr>
            <w:tcW w:w="1260" w:type="dxa"/>
            <w:vAlign w:val="bottom"/>
            <w:tcBorders>
              <w:bottom w:val="single" w:sz="8" w:color="0071CE"/>
            </w:tcBorders>
          </w:tcPr>
          <w:p>
            <w:pPr>
              <w:spacing w:after="0"/>
              <w:rPr>
                <w:sz w:val="15"/>
                <w:szCs w:val="15"/>
                <w:color w:val="auto"/>
              </w:rPr>
            </w:pPr>
          </w:p>
        </w:tc>
        <w:tc>
          <w:tcPr>
            <w:tcW w:w="1140" w:type="dxa"/>
            <w:vAlign w:val="bottom"/>
            <w:tcBorders>
              <w:bottom w:val="single" w:sz="8" w:color="0071CE"/>
            </w:tcBorders>
          </w:tcPr>
          <w:p>
            <w:pPr>
              <w:spacing w:after="0"/>
              <w:rPr>
                <w:sz w:val="15"/>
                <w:szCs w:val="15"/>
                <w:color w:val="auto"/>
              </w:rPr>
            </w:pPr>
          </w:p>
        </w:tc>
        <w:tc>
          <w:tcPr>
            <w:tcW w:w="240" w:type="dxa"/>
            <w:vAlign w:val="bottom"/>
            <w:tcBorders>
              <w:bottom w:val="single" w:sz="8" w:color="0071CE"/>
            </w:tcBorders>
          </w:tcPr>
          <w:p>
            <w:pPr>
              <w:spacing w:after="0"/>
              <w:rPr>
                <w:sz w:val="15"/>
                <w:szCs w:val="15"/>
                <w:color w:val="auto"/>
              </w:rPr>
            </w:pPr>
          </w:p>
        </w:tc>
        <w:tc>
          <w:tcPr>
            <w:tcW w:w="920" w:type="dxa"/>
            <w:vAlign w:val="bottom"/>
            <w:tcBorders>
              <w:bottom w:val="single" w:sz="8" w:color="0071CE"/>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0" w:hanging="433"/>
        <w:spacing w:after="0"/>
        <w:tabs>
          <w:tab w:leader="none" w:pos="600" w:val="left"/>
        </w:tabs>
        <w:numPr>
          <w:ilvl w:val="0"/>
          <w:numId w:val="125"/>
        </w:numPr>
        <w:rPr>
          <w:rFonts w:ascii="Arial" w:cs="Arial" w:eastAsia="Arial" w:hAnsi="Arial"/>
          <w:sz w:val="18"/>
          <w:szCs w:val="18"/>
          <w:i w:val="1"/>
          <w:iCs w:val="1"/>
          <w:color w:val="3E3935"/>
        </w:rPr>
      </w:pPr>
      <w:r>
        <w:rPr>
          <w:rFonts w:ascii="Arial" w:cs="Arial" w:eastAsia="Arial" w:hAnsi="Arial"/>
          <w:sz w:val="18"/>
          <w:szCs w:val="18"/>
          <w:i w:val="1"/>
          <w:iCs w:val="1"/>
          <w:color w:val="3E3935"/>
        </w:rPr>
        <w:t>Titles reflect position as of December 31, 2021. Messrs. Jacobson, Parks, and Carlisle were not NEOs in 2019.</w:t>
      </w:r>
    </w:p>
    <w:p>
      <w:pPr>
        <w:spacing w:after="0" w:line="73" w:lineRule="exact"/>
        <w:rPr>
          <w:rFonts w:ascii="Arial" w:cs="Arial" w:eastAsia="Arial" w:hAnsi="Arial"/>
          <w:sz w:val="18"/>
          <w:szCs w:val="18"/>
          <w:i w:val="1"/>
          <w:iCs w:val="1"/>
          <w:color w:val="3E3935"/>
        </w:rPr>
      </w:pPr>
    </w:p>
    <w:p>
      <w:pPr>
        <w:jc w:val="both"/>
        <w:ind w:left="600" w:hanging="433"/>
        <w:spacing w:after="0" w:line="261" w:lineRule="auto"/>
        <w:tabs>
          <w:tab w:leader="none" w:pos="600" w:val="left"/>
        </w:tabs>
        <w:numPr>
          <w:ilvl w:val="0"/>
          <w:numId w:val="125"/>
        </w:numPr>
        <w:rPr>
          <w:rFonts w:ascii="Arial" w:cs="Arial" w:eastAsia="Arial" w:hAnsi="Arial"/>
          <w:sz w:val="17"/>
          <w:szCs w:val="17"/>
          <w:i w:val="1"/>
          <w:iCs w:val="1"/>
          <w:color w:val="3E3935"/>
        </w:rPr>
      </w:pPr>
      <w:r>
        <w:rPr>
          <w:rFonts w:ascii="Arial" w:cs="Arial" w:eastAsia="Arial" w:hAnsi="Arial"/>
          <w:sz w:val="17"/>
          <w:szCs w:val="17"/>
          <w:i w:val="1"/>
          <w:iCs w:val="1"/>
          <w:color w:val="3E3935"/>
        </w:rPr>
        <w:t>Stock Awards displays the grant date fair value of PSUs issued under the LTIP, computed in accordance with Financial Accounting Standards Board (“FASB”) Accounting Standards Codification (“ASC”) Topic 718. PSUs will vest based on GM’s performance against Relative ROIC-adjusted and Relative TSR. The maximum award for PSUs for the 2021–2023 performance period is 200% of PSUs granted. The assumptions used for the Monte Carlo valuation of the Relative TSR portion of the PSUs are summarized below:</w:t>
      </w:r>
    </w:p>
    <w:p>
      <w:pPr>
        <w:spacing w:after="0" w:line="210" w:lineRule="exact"/>
        <w:rPr>
          <w:sz w:val="20"/>
          <w:szCs w:val="20"/>
          <w:color w:val="auto"/>
        </w:rPr>
      </w:pPr>
    </w:p>
    <w:tbl>
      <w:tblPr>
        <w:tblLayout w:type="fixed"/>
        <w:tblInd w:w="600" w:type="dxa"/>
        <w:tblCellMar>
          <w:top w:w="0" w:type="dxa"/>
          <w:left w:w="0" w:type="dxa"/>
          <w:bottom w:w="0" w:type="dxa"/>
          <w:right w:w="0" w:type="dxa"/>
        </w:tblCellMar>
      </w:tblPr>
      <w:tr>
        <w:trPr>
          <w:trHeight w:val="167"/>
        </w:trPr>
        <w:tc>
          <w:tcPr>
            <w:tcW w:w="2220" w:type="dxa"/>
            <w:vAlign w:val="bottom"/>
            <w:tcBorders>
              <w:right w:val="single" w:sz="8" w:color="0071CE"/>
            </w:tcBorders>
          </w:tcPr>
          <w:p>
            <w:pPr>
              <w:spacing w:after="0"/>
              <w:rPr>
                <w:sz w:val="14"/>
                <w:szCs w:val="14"/>
                <w:color w:val="auto"/>
              </w:rPr>
            </w:pPr>
          </w:p>
        </w:tc>
        <w:tc>
          <w:tcPr>
            <w:tcW w:w="1680" w:type="dxa"/>
            <w:vAlign w:val="bottom"/>
            <w:tcBorders>
              <w:right w:val="single" w:sz="8" w:color="0071CE"/>
            </w:tcBorders>
          </w:tcPr>
          <w:p>
            <w:pPr>
              <w:spacing w:after="0"/>
              <w:rPr>
                <w:sz w:val="14"/>
                <w:szCs w:val="14"/>
                <w:color w:val="auto"/>
              </w:rPr>
            </w:pPr>
          </w:p>
        </w:tc>
        <w:tc>
          <w:tcPr>
            <w:tcW w:w="1660" w:type="dxa"/>
            <w:vAlign w:val="bottom"/>
            <w:tcBorders>
              <w:right w:val="single" w:sz="8" w:color="0071CE"/>
            </w:tcBorders>
          </w:tcPr>
          <w:p>
            <w:pPr>
              <w:spacing w:after="0"/>
              <w:rPr>
                <w:sz w:val="14"/>
                <w:szCs w:val="14"/>
                <w:color w:val="auto"/>
              </w:rPr>
            </w:pP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Risk-Free</w:t>
            </w:r>
          </w:p>
        </w:tc>
        <w:tc>
          <w:tcPr>
            <w:tcW w:w="1680" w:type="dxa"/>
            <w:vAlign w:val="bottom"/>
            <w:tcBorders>
              <w:right w:val="single" w:sz="8" w:color="0071CE"/>
            </w:tcBorders>
          </w:tcPr>
          <w:p>
            <w:pPr>
              <w:spacing w:after="0"/>
              <w:rPr>
                <w:sz w:val="14"/>
                <w:szCs w:val="14"/>
                <w:color w:val="auto"/>
              </w:rPr>
            </w:pPr>
          </w:p>
        </w:tc>
        <w:tc>
          <w:tcPr>
            <w:tcW w:w="1560" w:type="dxa"/>
            <w:vAlign w:val="bottom"/>
          </w:tcPr>
          <w:p>
            <w:pPr>
              <w:jc w:val="center"/>
              <w:ind w:left="29"/>
              <w:spacing w:after="0"/>
              <w:rPr>
                <w:sz w:val="20"/>
                <w:szCs w:val="20"/>
                <w:color w:val="auto"/>
              </w:rPr>
            </w:pPr>
            <w:r>
              <w:rPr>
                <w:rFonts w:ascii="Arial" w:cs="Arial" w:eastAsia="Arial" w:hAnsi="Arial"/>
                <w:sz w:val="14"/>
                <w:szCs w:val="14"/>
                <w:i w:val="1"/>
                <w:iCs w:val="1"/>
                <w:color w:val="3E3935"/>
              </w:rPr>
              <w:t>Valuation Price as a</w:t>
            </w:r>
          </w:p>
        </w:tc>
      </w:tr>
      <w:tr>
        <w:trPr>
          <w:trHeight w:val="204"/>
        </w:trPr>
        <w:tc>
          <w:tcPr>
            <w:tcW w:w="222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Grant Date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Stock Price</w:t>
            </w:r>
          </w:p>
        </w:tc>
        <w:tc>
          <w:tcPr>
            <w:tcW w:w="166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Implied Volatility</w:t>
            </w:r>
          </w:p>
        </w:tc>
        <w:tc>
          <w:tcPr>
            <w:tcW w:w="16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Interest Rate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Valuation Price</w:t>
            </w:r>
          </w:p>
        </w:tc>
        <w:tc>
          <w:tcPr>
            <w:tcW w:w="1560" w:type="dxa"/>
            <w:vAlign w:val="bottom"/>
            <w:tcBorders>
              <w:bottom w:val="single" w:sz="8" w:color="0071CE"/>
            </w:tcBorders>
          </w:tcPr>
          <w:p>
            <w:pPr>
              <w:jc w:val="center"/>
              <w:ind w:left="29"/>
              <w:spacing w:after="0"/>
              <w:rPr>
                <w:sz w:val="20"/>
                <w:szCs w:val="20"/>
                <w:color w:val="auto"/>
              </w:rPr>
            </w:pPr>
            <w:r>
              <w:rPr>
                <w:rFonts w:ascii="Arial" w:cs="Arial" w:eastAsia="Arial" w:hAnsi="Arial"/>
                <w:sz w:val="14"/>
                <w:szCs w:val="14"/>
                <w:i w:val="1"/>
                <w:iCs w:val="1"/>
                <w:color w:val="3E3935"/>
              </w:rPr>
              <w:t>Percent of Target</w:t>
            </w:r>
          </w:p>
        </w:tc>
      </w:tr>
      <w:tr>
        <w:trPr>
          <w:trHeight w:val="244"/>
        </w:trPr>
        <w:tc>
          <w:tcPr>
            <w:tcW w:w="2220" w:type="dxa"/>
            <w:vAlign w:val="bottom"/>
            <w:tcBorders>
              <w:right w:val="single" w:sz="8" w:color="0071CE"/>
            </w:tcBorders>
          </w:tcPr>
          <w:p>
            <w:pPr>
              <w:jc w:val="right"/>
              <w:ind w:right="729"/>
              <w:spacing w:after="0"/>
              <w:rPr>
                <w:sz w:val="20"/>
                <w:szCs w:val="20"/>
                <w:color w:val="auto"/>
              </w:rPr>
            </w:pPr>
            <w:r>
              <w:rPr>
                <w:rFonts w:ascii="Arial" w:cs="Arial" w:eastAsia="Arial" w:hAnsi="Arial"/>
                <w:sz w:val="14"/>
                <w:szCs w:val="14"/>
                <w:i w:val="1"/>
                <w:iCs w:val="1"/>
                <w:color w:val="3E3935"/>
              </w:rPr>
              <w:t>2/18/2021</w:t>
            </w:r>
          </w:p>
        </w:tc>
        <w:tc>
          <w:tcPr>
            <w:tcW w:w="1680" w:type="dxa"/>
            <w:vAlign w:val="bottom"/>
            <w:tcBorders>
              <w:right w:val="single" w:sz="8" w:color="0071CE"/>
            </w:tcBorders>
          </w:tcPr>
          <w:p>
            <w:pPr>
              <w:jc w:val="right"/>
              <w:ind w:right="529"/>
              <w:spacing w:after="0"/>
              <w:rPr>
                <w:sz w:val="20"/>
                <w:szCs w:val="20"/>
                <w:color w:val="auto"/>
              </w:rPr>
            </w:pPr>
            <w:r>
              <w:rPr>
                <w:rFonts w:ascii="Arial" w:cs="Arial" w:eastAsia="Arial" w:hAnsi="Arial"/>
                <w:sz w:val="14"/>
                <w:szCs w:val="14"/>
                <w:i w:val="1"/>
                <w:iCs w:val="1"/>
                <w:color w:val="3E3935"/>
              </w:rPr>
              <w:t>$52.16</w:t>
            </w:r>
          </w:p>
        </w:tc>
        <w:tc>
          <w:tcPr>
            <w:tcW w:w="1660" w:type="dxa"/>
            <w:vAlign w:val="bottom"/>
            <w:tcBorders>
              <w:right w:val="single" w:sz="8" w:color="0071CE"/>
            </w:tcBorders>
          </w:tcPr>
          <w:p>
            <w:pPr>
              <w:jc w:val="right"/>
              <w:ind w:right="589"/>
              <w:spacing w:after="0"/>
              <w:rPr>
                <w:sz w:val="20"/>
                <w:szCs w:val="20"/>
                <w:color w:val="auto"/>
              </w:rPr>
            </w:pPr>
            <w:r>
              <w:rPr>
                <w:rFonts w:ascii="Arial" w:cs="Arial" w:eastAsia="Arial" w:hAnsi="Arial"/>
                <w:sz w:val="14"/>
                <w:szCs w:val="14"/>
                <w:i w:val="1"/>
                <w:iCs w:val="1"/>
                <w:color w:val="3E3935"/>
              </w:rPr>
              <w:t>48%</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0.21%</w:t>
            </w:r>
          </w:p>
        </w:tc>
        <w:tc>
          <w:tcPr>
            <w:tcW w:w="1680" w:type="dxa"/>
            <w:vAlign w:val="bottom"/>
            <w:tcBorders>
              <w:right w:val="single" w:sz="8" w:color="0071CE"/>
            </w:tcBorders>
          </w:tcPr>
          <w:p>
            <w:pPr>
              <w:jc w:val="right"/>
              <w:ind w:right="509"/>
              <w:spacing w:after="0"/>
              <w:rPr>
                <w:sz w:val="20"/>
                <w:szCs w:val="20"/>
                <w:color w:val="auto"/>
              </w:rPr>
            </w:pPr>
            <w:r>
              <w:rPr>
                <w:rFonts w:ascii="Arial" w:cs="Arial" w:eastAsia="Arial" w:hAnsi="Arial"/>
                <w:sz w:val="14"/>
                <w:szCs w:val="14"/>
                <w:i w:val="1"/>
                <w:iCs w:val="1"/>
                <w:color w:val="3E3935"/>
              </w:rPr>
              <w:t>$76.62</w:t>
            </w:r>
          </w:p>
        </w:tc>
        <w:tc>
          <w:tcPr>
            <w:tcW w:w="1560" w:type="dxa"/>
            <w:vAlign w:val="bottom"/>
          </w:tcPr>
          <w:p>
            <w:pPr>
              <w:jc w:val="center"/>
              <w:ind w:left="29"/>
              <w:spacing w:after="0"/>
              <w:rPr>
                <w:sz w:val="20"/>
                <w:szCs w:val="20"/>
                <w:color w:val="auto"/>
              </w:rPr>
            </w:pPr>
            <w:r>
              <w:rPr>
                <w:rFonts w:ascii="Arial" w:cs="Arial" w:eastAsia="Arial" w:hAnsi="Arial"/>
                <w:sz w:val="14"/>
                <w:szCs w:val="14"/>
                <w:i w:val="1"/>
                <w:iCs w:val="1"/>
                <w:color w:val="3E3935"/>
              </w:rPr>
              <w:t>146.9%</w:t>
            </w:r>
          </w:p>
        </w:tc>
      </w:tr>
      <w:tr>
        <w:trPr>
          <w:trHeight w:val="61"/>
        </w:trPr>
        <w:tc>
          <w:tcPr>
            <w:tcW w:w="222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6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560" w:type="dxa"/>
            <w:vAlign w:val="bottom"/>
          </w:tcPr>
          <w:p>
            <w:pPr>
              <w:spacing w:after="0"/>
              <w:rPr>
                <w:sz w:val="5"/>
                <w:szCs w:val="5"/>
                <w:color w:val="auto"/>
              </w:rPr>
            </w:pPr>
          </w:p>
        </w:tc>
      </w:tr>
    </w:tbl>
    <w:p>
      <w:pPr>
        <w:spacing w:after="0" w:line="63"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i w:val="1"/>
          <w:iCs w:val="1"/>
          <w:color w:val="3E3935"/>
        </w:rPr>
        <w:t>There is no dividend yield, as dividends are assumed to be reinvested for the TSR calculation. The table below shows the PSUs valued based on the closing stock price on the date of grant and the maximum grant value based on maximum performance.</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235"/>
        </w:trPr>
        <w:tc>
          <w:tcPr>
            <w:tcW w:w="2220" w:type="dxa"/>
            <w:vAlign w:val="bottom"/>
            <w:tcBorders>
              <w:top w:val="single" w:sz="8" w:color="00C1DE"/>
            </w:tcBorders>
          </w:tcPr>
          <w:p>
            <w:pPr>
              <w:spacing w:after="0"/>
              <w:rPr>
                <w:sz w:val="20"/>
                <w:szCs w:val="20"/>
                <w:color w:val="auto"/>
              </w:rPr>
            </w:pPr>
          </w:p>
        </w:tc>
        <w:tc>
          <w:tcPr>
            <w:tcW w:w="6580" w:type="dxa"/>
            <w:vAlign w:val="bottom"/>
            <w:tcBorders>
              <w:top w:val="single" w:sz="8" w:color="00C1DE"/>
            </w:tcBorders>
          </w:tcPr>
          <w:p>
            <w:pPr>
              <w:jc w:val="right"/>
              <w:ind w:right="1280"/>
              <w:spacing w:after="0"/>
              <w:rPr>
                <w:sz w:val="20"/>
                <w:szCs w:val="20"/>
                <w:color w:val="auto"/>
              </w:rPr>
            </w:pPr>
            <w:r>
              <w:rPr>
                <w:rFonts w:ascii="Arial" w:cs="Arial" w:eastAsia="Arial" w:hAnsi="Arial"/>
                <w:sz w:val="16"/>
                <w:szCs w:val="16"/>
                <w:b w:val="1"/>
                <w:bCs w:val="1"/>
                <w:color w:val="00C1DE"/>
              </w:rPr>
              <w:t>Value of PSU Awards at Target and Maximum Performance</w:t>
            </w:r>
          </w:p>
        </w:tc>
        <w:tc>
          <w:tcPr>
            <w:tcW w:w="1680" w:type="dxa"/>
            <w:vAlign w:val="bottom"/>
            <w:tcBorders>
              <w:top w:val="single" w:sz="8" w:color="00C1DE"/>
            </w:tcBorders>
          </w:tcPr>
          <w:p>
            <w:pPr>
              <w:spacing w:after="0"/>
              <w:rPr>
                <w:sz w:val="20"/>
                <w:szCs w:val="20"/>
                <w:color w:val="auto"/>
              </w:rPr>
            </w:pPr>
          </w:p>
        </w:tc>
      </w:tr>
      <w:tr>
        <w:trPr>
          <w:trHeight w:val="246"/>
        </w:trPr>
        <w:tc>
          <w:tcPr>
            <w:tcW w:w="2220" w:type="dxa"/>
            <w:vAlign w:val="bottom"/>
          </w:tcPr>
          <w:p>
            <w:pPr>
              <w:spacing w:after="0"/>
              <w:rPr>
                <w:sz w:val="21"/>
                <w:szCs w:val="21"/>
                <w:color w:val="auto"/>
              </w:rPr>
            </w:pPr>
          </w:p>
        </w:tc>
        <w:tc>
          <w:tcPr>
            <w:tcW w:w="6580" w:type="dxa"/>
            <w:vAlign w:val="bottom"/>
          </w:tcPr>
          <w:p>
            <w:pPr>
              <w:jc w:val="right"/>
              <w:ind w:right="300"/>
              <w:spacing w:after="0"/>
              <w:rPr>
                <w:sz w:val="20"/>
                <w:szCs w:val="20"/>
                <w:color w:val="auto"/>
              </w:rPr>
            </w:pPr>
            <w:r>
              <w:rPr>
                <w:rFonts w:ascii="Arial" w:cs="Arial" w:eastAsia="Arial" w:hAnsi="Arial"/>
                <w:sz w:val="16"/>
                <w:szCs w:val="16"/>
                <w:b w:val="1"/>
                <w:bCs w:val="1"/>
                <w:color w:val="00C1DE"/>
              </w:rPr>
              <w:t>2021 Target</w:t>
            </w:r>
          </w:p>
        </w:tc>
        <w:tc>
          <w:tcPr>
            <w:tcW w:w="1680" w:type="dxa"/>
            <w:vAlign w:val="bottom"/>
          </w:tcPr>
          <w:p>
            <w:pPr>
              <w:jc w:val="right"/>
              <w:ind w:right="80"/>
              <w:spacing w:after="0"/>
              <w:rPr>
                <w:sz w:val="20"/>
                <w:szCs w:val="20"/>
                <w:color w:val="auto"/>
              </w:rPr>
            </w:pPr>
            <w:r>
              <w:rPr>
                <w:rFonts w:ascii="Arial" w:cs="Arial" w:eastAsia="Arial" w:hAnsi="Arial"/>
                <w:sz w:val="16"/>
                <w:szCs w:val="16"/>
                <w:b w:val="1"/>
                <w:bCs w:val="1"/>
                <w:color w:val="00C1DE"/>
              </w:rPr>
              <w:t>2021 Maximum</w:t>
            </w:r>
          </w:p>
        </w:tc>
      </w:tr>
      <w:tr>
        <w:trPr>
          <w:trHeight w:val="225"/>
        </w:trPr>
        <w:tc>
          <w:tcPr>
            <w:tcW w:w="2220" w:type="dxa"/>
            <w:vAlign w:val="bottom"/>
            <w:tcBorders>
              <w:bottom w:val="single" w:sz="8" w:color="00C1DE"/>
            </w:tcBorders>
          </w:tcPr>
          <w:p>
            <w:pPr>
              <w:spacing w:after="0"/>
              <w:rPr>
                <w:sz w:val="19"/>
                <w:szCs w:val="19"/>
                <w:color w:val="auto"/>
              </w:rPr>
            </w:pPr>
          </w:p>
        </w:tc>
        <w:tc>
          <w:tcPr>
            <w:tcW w:w="6580" w:type="dxa"/>
            <w:vAlign w:val="bottom"/>
            <w:tcBorders>
              <w:bottom w:val="single" w:sz="8" w:color="00C1DE"/>
            </w:tcBorders>
          </w:tcPr>
          <w:p>
            <w:pPr>
              <w:jc w:val="right"/>
              <w:ind w:right="300"/>
              <w:spacing w:after="0"/>
              <w:rPr>
                <w:sz w:val="20"/>
                <w:szCs w:val="20"/>
                <w:color w:val="auto"/>
              </w:rPr>
            </w:pPr>
            <w:r>
              <w:rPr>
                <w:rFonts w:ascii="Arial" w:cs="Arial" w:eastAsia="Arial" w:hAnsi="Arial"/>
                <w:sz w:val="16"/>
                <w:szCs w:val="16"/>
                <w:b w:val="1"/>
                <w:bCs w:val="1"/>
                <w:color w:val="00C1DE"/>
              </w:rPr>
              <w:t>($)</w:t>
            </w:r>
          </w:p>
        </w:tc>
        <w:tc>
          <w:tcPr>
            <w:tcW w:w="1680" w:type="dxa"/>
            <w:vAlign w:val="bottom"/>
            <w:tcBorders>
              <w:bottom w:val="single" w:sz="8" w:color="00C1DE"/>
            </w:tcBorders>
          </w:tcPr>
          <w:p>
            <w:pPr>
              <w:jc w:val="right"/>
              <w:ind w:right="80"/>
              <w:spacing w:after="0"/>
              <w:rPr>
                <w:sz w:val="20"/>
                <w:szCs w:val="20"/>
                <w:color w:val="auto"/>
              </w:rPr>
            </w:pPr>
            <w:r>
              <w:rPr>
                <w:rFonts w:ascii="Arial" w:cs="Arial" w:eastAsia="Arial" w:hAnsi="Arial"/>
                <w:sz w:val="16"/>
                <w:szCs w:val="16"/>
                <w:b w:val="1"/>
                <w:bCs w:val="1"/>
                <w:color w:val="00C1DE"/>
              </w:rPr>
              <w:t>($)</w:t>
            </w:r>
          </w:p>
        </w:tc>
      </w:tr>
      <w:tr>
        <w:trPr>
          <w:trHeight w:val="258"/>
        </w:trPr>
        <w:tc>
          <w:tcPr>
            <w:tcW w:w="2220" w:type="dxa"/>
            <w:vAlign w:val="bottom"/>
            <w:tcBorders>
              <w:bottom w:val="single" w:sz="8" w:color="3E3935"/>
            </w:tcBorders>
          </w:tcPr>
          <w:p>
            <w:pPr>
              <w:ind w:left="80"/>
              <w:spacing w:after="0"/>
              <w:rPr>
                <w:sz w:val="20"/>
                <w:szCs w:val="20"/>
                <w:color w:val="auto"/>
              </w:rPr>
            </w:pPr>
            <w:r>
              <w:rPr>
                <w:rFonts w:ascii="Arial" w:cs="Arial" w:eastAsia="Arial" w:hAnsi="Arial"/>
                <w:sz w:val="16"/>
                <w:szCs w:val="16"/>
                <w:color w:val="3E3935"/>
              </w:rPr>
              <w:t>Mary T. Barra</w:t>
            </w:r>
          </w:p>
        </w:tc>
        <w:tc>
          <w:tcPr>
            <w:tcW w:w="6580" w:type="dxa"/>
            <w:vAlign w:val="bottom"/>
            <w:tcBorders>
              <w:bottom w:val="single" w:sz="8" w:color="3E3935"/>
            </w:tcBorders>
          </w:tcPr>
          <w:p>
            <w:pPr>
              <w:jc w:val="right"/>
              <w:ind w:right="300"/>
              <w:spacing w:after="0"/>
              <w:rPr>
                <w:sz w:val="20"/>
                <w:szCs w:val="20"/>
                <w:color w:val="auto"/>
              </w:rPr>
            </w:pPr>
            <w:r>
              <w:rPr>
                <w:rFonts w:ascii="Arial" w:cs="Arial" w:eastAsia="Arial" w:hAnsi="Arial"/>
                <w:sz w:val="16"/>
                <w:szCs w:val="16"/>
                <w:color w:val="3E3935"/>
              </w:rPr>
              <w:t>11,812,519</w:t>
            </w:r>
          </w:p>
        </w:tc>
        <w:tc>
          <w:tcPr>
            <w:tcW w:w="1680" w:type="dxa"/>
            <w:vAlign w:val="bottom"/>
            <w:tcBorders>
              <w:bottom w:val="single" w:sz="8" w:color="3E3935"/>
            </w:tcBorders>
          </w:tcPr>
          <w:p>
            <w:pPr>
              <w:jc w:val="right"/>
              <w:ind w:right="80"/>
              <w:spacing w:after="0"/>
              <w:rPr>
                <w:sz w:val="20"/>
                <w:szCs w:val="20"/>
                <w:color w:val="auto"/>
              </w:rPr>
            </w:pPr>
            <w:r>
              <w:rPr>
                <w:rFonts w:ascii="Arial" w:cs="Arial" w:eastAsia="Arial" w:hAnsi="Arial"/>
                <w:sz w:val="16"/>
                <w:szCs w:val="16"/>
                <w:color w:val="3E3935"/>
              </w:rPr>
              <w:t>23,625,038</w:t>
            </w:r>
          </w:p>
        </w:tc>
      </w:tr>
      <w:tr>
        <w:trPr>
          <w:trHeight w:val="261"/>
        </w:trPr>
        <w:tc>
          <w:tcPr>
            <w:tcW w:w="2220" w:type="dxa"/>
            <w:vAlign w:val="bottom"/>
            <w:tcBorders>
              <w:bottom w:val="single" w:sz="8" w:color="3E3935"/>
            </w:tcBorders>
          </w:tcPr>
          <w:p>
            <w:pPr>
              <w:ind w:left="80"/>
              <w:spacing w:after="0"/>
              <w:rPr>
                <w:sz w:val="20"/>
                <w:szCs w:val="20"/>
                <w:color w:val="auto"/>
              </w:rPr>
            </w:pPr>
            <w:r>
              <w:rPr>
                <w:rFonts w:ascii="Arial" w:cs="Arial" w:eastAsia="Arial" w:hAnsi="Arial"/>
                <w:sz w:val="16"/>
                <w:szCs w:val="16"/>
                <w:color w:val="3E3935"/>
              </w:rPr>
              <w:t>Paul A. Jacobson</w:t>
            </w:r>
          </w:p>
        </w:tc>
        <w:tc>
          <w:tcPr>
            <w:tcW w:w="6580" w:type="dxa"/>
            <w:vAlign w:val="bottom"/>
            <w:tcBorders>
              <w:bottom w:val="single" w:sz="8" w:color="3E3935"/>
            </w:tcBorders>
          </w:tcPr>
          <w:p>
            <w:pPr>
              <w:jc w:val="right"/>
              <w:ind w:right="300"/>
              <w:spacing w:after="0"/>
              <w:rPr>
                <w:sz w:val="20"/>
                <w:szCs w:val="20"/>
                <w:color w:val="auto"/>
              </w:rPr>
            </w:pPr>
            <w:r>
              <w:rPr>
                <w:rFonts w:ascii="Arial" w:cs="Arial" w:eastAsia="Arial" w:hAnsi="Arial"/>
                <w:sz w:val="16"/>
                <w:szCs w:val="16"/>
                <w:color w:val="3E3935"/>
              </w:rPr>
              <w:t>3,937,506</w:t>
            </w:r>
          </w:p>
        </w:tc>
        <w:tc>
          <w:tcPr>
            <w:tcW w:w="1680" w:type="dxa"/>
            <w:vAlign w:val="bottom"/>
            <w:tcBorders>
              <w:bottom w:val="single" w:sz="8" w:color="3E3935"/>
            </w:tcBorders>
          </w:tcPr>
          <w:p>
            <w:pPr>
              <w:jc w:val="right"/>
              <w:ind w:right="80"/>
              <w:spacing w:after="0"/>
              <w:rPr>
                <w:sz w:val="20"/>
                <w:szCs w:val="20"/>
                <w:color w:val="auto"/>
              </w:rPr>
            </w:pPr>
            <w:r>
              <w:rPr>
                <w:rFonts w:ascii="Arial" w:cs="Arial" w:eastAsia="Arial" w:hAnsi="Arial"/>
                <w:sz w:val="16"/>
                <w:szCs w:val="16"/>
                <w:color w:val="3E3935"/>
              </w:rPr>
              <w:t>7,875,012</w:t>
            </w:r>
          </w:p>
        </w:tc>
      </w:tr>
      <w:tr>
        <w:trPr>
          <w:trHeight w:val="261"/>
        </w:trPr>
        <w:tc>
          <w:tcPr>
            <w:tcW w:w="2220" w:type="dxa"/>
            <w:vAlign w:val="bottom"/>
            <w:tcBorders>
              <w:bottom w:val="single" w:sz="8" w:color="3E3935"/>
            </w:tcBorders>
          </w:tcPr>
          <w:p>
            <w:pPr>
              <w:ind w:left="80"/>
              <w:spacing w:after="0"/>
              <w:rPr>
                <w:sz w:val="20"/>
                <w:szCs w:val="20"/>
                <w:color w:val="auto"/>
              </w:rPr>
            </w:pPr>
            <w:r>
              <w:rPr>
                <w:rFonts w:ascii="Arial" w:cs="Arial" w:eastAsia="Arial" w:hAnsi="Arial"/>
                <w:sz w:val="16"/>
                <w:szCs w:val="16"/>
                <w:color w:val="3E3935"/>
              </w:rPr>
              <w:t>Mark L. Reuss</w:t>
            </w:r>
          </w:p>
        </w:tc>
        <w:tc>
          <w:tcPr>
            <w:tcW w:w="6580" w:type="dxa"/>
            <w:vAlign w:val="bottom"/>
            <w:tcBorders>
              <w:bottom w:val="single" w:sz="8" w:color="3E3935"/>
            </w:tcBorders>
          </w:tcPr>
          <w:p>
            <w:pPr>
              <w:jc w:val="right"/>
              <w:ind w:right="300"/>
              <w:spacing w:after="0"/>
              <w:rPr>
                <w:sz w:val="20"/>
                <w:szCs w:val="20"/>
                <w:color w:val="auto"/>
              </w:rPr>
            </w:pPr>
            <w:r>
              <w:rPr>
                <w:rFonts w:ascii="Arial" w:cs="Arial" w:eastAsia="Arial" w:hAnsi="Arial"/>
                <w:sz w:val="16"/>
                <w:szCs w:val="16"/>
                <w:color w:val="3E3935"/>
              </w:rPr>
              <w:t>5,006,265</w:t>
            </w:r>
          </w:p>
        </w:tc>
        <w:tc>
          <w:tcPr>
            <w:tcW w:w="1680" w:type="dxa"/>
            <w:vAlign w:val="bottom"/>
            <w:tcBorders>
              <w:bottom w:val="single" w:sz="8" w:color="3E3935"/>
            </w:tcBorders>
          </w:tcPr>
          <w:p>
            <w:pPr>
              <w:jc w:val="right"/>
              <w:ind w:right="80"/>
              <w:spacing w:after="0"/>
              <w:rPr>
                <w:sz w:val="20"/>
                <w:szCs w:val="20"/>
                <w:color w:val="auto"/>
              </w:rPr>
            </w:pPr>
            <w:r>
              <w:rPr>
                <w:rFonts w:ascii="Arial" w:cs="Arial" w:eastAsia="Arial" w:hAnsi="Arial"/>
                <w:sz w:val="16"/>
                <w:szCs w:val="16"/>
                <w:color w:val="3E3935"/>
              </w:rPr>
              <w:t>10,012,530</w:t>
            </w:r>
          </w:p>
        </w:tc>
      </w:tr>
      <w:tr>
        <w:trPr>
          <w:trHeight w:val="261"/>
        </w:trPr>
        <w:tc>
          <w:tcPr>
            <w:tcW w:w="2220" w:type="dxa"/>
            <w:vAlign w:val="bottom"/>
            <w:tcBorders>
              <w:bottom w:val="single" w:sz="8" w:color="3E3935"/>
            </w:tcBorders>
          </w:tcPr>
          <w:p>
            <w:pPr>
              <w:ind w:left="80"/>
              <w:spacing w:after="0"/>
              <w:rPr>
                <w:sz w:val="20"/>
                <w:szCs w:val="20"/>
                <w:color w:val="auto"/>
              </w:rPr>
            </w:pPr>
            <w:r>
              <w:rPr>
                <w:rFonts w:ascii="Arial" w:cs="Arial" w:eastAsia="Arial" w:hAnsi="Arial"/>
                <w:sz w:val="16"/>
                <w:szCs w:val="16"/>
                <w:color w:val="3E3935"/>
              </w:rPr>
              <w:t>Douglas L. Parks</w:t>
            </w:r>
          </w:p>
        </w:tc>
        <w:tc>
          <w:tcPr>
            <w:tcW w:w="6580" w:type="dxa"/>
            <w:vAlign w:val="bottom"/>
            <w:tcBorders>
              <w:bottom w:val="single" w:sz="8" w:color="3E3935"/>
            </w:tcBorders>
          </w:tcPr>
          <w:p>
            <w:pPr>
              <w:jc w:val="right"/>
              <w:ind w:right="300"/>
              <w:spacing w:after="0"/>
              <w:rPr>
                <w:sz w:val="20"/>
                <w:szCs w:val="20"/>
                <w:color w:val="auto"/>
              </w:rPr>
            </w:pPr>
            <w:r>
              <w:rPr>
                <w:rFonts w:ascii="Arial" w:cs="Arial" w:eastAsia="Arial" w:hAnsi="Arial"/>
                <w:sz w:val="16"/>
                <w:szCs w:val="16"/>
                <w:color w:val="3E3935"/>
              </w:rPr>
              <w:t>3,740,654</w:t>
            </w:r>
          </w:p>
        </w:tc>
        <w:tc>
          <w:tcPr>
            <w:tcW w:w="1680" w:type="dxa"/>
            <w:vAlign w:val="bottom"/>
            <w:tcBorders>
              <w:bottom w:val="single" w:sz="8" w:color="3E3935"/>
            </w:tcBorders>
          </w:tcPr>
          <w:p>
            <w:pPr>
              <w:jc w:val="right"/>
              <w:ind w:right="80"/>
              <w:spacing w:after="0"/>
              <w:rPr>
                <w:sz w:val="20"/>
                <w:szCs w:val="20"/>
                <w:color w:val="auto"/>
              </w:rPr>
            </w:pPr>
            <w:r>
              <w:rPr>
                <w:rFonts w:ascii="Arial" w:cs="Arial" w:eastAsia="Arial" w:hAnsi="Arial"/>
                <w:sz w:val="16"/>
                <w:szCs w:val="16"/>
                <w:color w:val="3E3935"/>
              </w:rPr>
              <w:t>7,481,308</w:t>
            </w:r>
          </w:p>
        </w:tc>
      </w:tr>
      <w:tr>
        <w:trPr>
          <w:trHeight w:val="261"/>
        </w:trPr>
        <w:tc>
          <w:tcPr>
            <w:tcW w:w="2220" w:type="dxa"/>
            <w:vAlign w:val="bottom"/>
            <w:tcBorders>
              <w:bottom w:val="single" w:sz="8" w:color="0071CE"/>
            </w:tcBorders>
          </w:tcPr>
          <w:p>
            <w:pPr>
              <w:ind w:left="80"/>
              <w:spacing w:after="0"/>
              <w:rPr>
                <w:sz w:val="20"/>
                <w:szCs w:val="20"/>
                <w:color w:val="auto"/>
              </w:rPr>
            </w:pPr>
            <w:r>
              <w:rPr>
                <w:rFonts w:ascii="Arial" w:cs="Arial" w:eastAsia="Arial" w:hAnsi="Arial"/>
                <w:sz w:val="16"/>
                <w:szCs w:val="16"/>
                <w:color w:val="3E3935"/>
              </w:rPr>
              <w:t>Stephen K. Carlisle</w:t>
            </w:r>
          </w:p>
        </w:tc>
        <w:tc>
          <w:tcPr>
            <w:tcW w:w="6580" w:type="dxa"/>
            <w:vAlign w:val="bottom"/>
            <w:tcBorders>
              <w:bottom w:val="single" w:sz="8" w:color="0071CE"/>
            </w:tcBorders>
          </w:tcPr>
          <w:p>
            <w:pPr>
              <w:jc w:val="right"/>
              <w:ind w:right="300"/>
              <w:spacing w:after="0"/>
              <w:rPr>
                <w:sz w:val="20"/>
                <w:szCs w:val="20"/>
                <w:color w:val="auto"/>
              </w:rPr>
            </w:pPr>
            <w:r>
              <w:rPr>
                <w:rFonts w:ascii="Arial" w:cs="Arial" w:eastAsia="Arial" w:hAnsi="Arial"/>
                <w:sz w:val="16"/>
                <w:szCs w:val="16"/>
                <w:color w:val="3E3935"/>
              </w:rPr>
              <w:t>3,740,654</w:t>
            </w:r>
          </w:p>
        </w:tc>
        <w:tc>
          <w:tcPr>
            <w:tcW w:w="1680" w:type="dxa"/>
            <w:vAlign w:val="bottom"/>
            <w:tcBorders>
              <w:bottom w:val="single" w:sz="8" w:color="0071CE"/>
            </w:tcBorders>
          </w:tcPr>
          <w:p>
            <w:pPr>
              <w:jc w:val="right"/>
              <w:ind w:right="80"/>
              <w:spacing w:after="0"/>
              <w:rPr>
                <w:sz w:val="20"/>
                <w:szCs w:val="20"/>
                <w:color w:val="auto"/>
              </w:rPr>
            </w:pPr>
            <w:r>
              <w:rPr>
                <w:rFonts w:ascii="Arial" w:cs="Arial" w:eastAsia="Arial" w:hAnsi="Arial"/>
                <w:sz w:val="16"/>
                <w:szCs w:val="16"/>
                <w:color w:val="3E3935"/>
              </w:rPr>
              <w:t>7,481,308</w:t>
            </w:r>
          </w:p>
        </w:tc>
      </w:tr>
    </w:tbl>
    <w:p>
      <w:pPr>
        <w:spacing w:after="0" w:line="21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4" w:lineRule="exact"/>
        <w:rPr>
          <w:sz w:val="20"/>
          <w:szCs w:val="20"/>
          <w:color w:val="auto"/>
        </w:rPr>
      </w:pPr>
    </w:p>
    <w:p>
      <w:pPr>
        <w:jc w:val="both"/>
        <w:ind w:left="600" w:hanging="433"/>
        <w:spacing w:after="0" w:line="247" w:lineRule="auto"/>
        <w:tabs>
          <w:tab w:leader="none" w:pos="600" w:val="left"/>
        </w:tabs>
        <w:numPr>
          <w:ilvl w:val="0"/>
          <w:numId w:val="126"/>
        </w:numPr>
        <w:rPr>
          <w:rFonts w:ascii="Arial" w:cs="Arial" w:eastAsia="Arial" w:hAnsi="Arial"/>
          <w:sz w:val="18"/>
          <w:szCs w:val="18"/>
          <w:i w:val="1"/>
          <w:iCs w:val="1"/>
          <w:color w:val="3E3935"/>
        </w:rPr>
      </w:pPr>
      <w:r>
        <w:rPr>
          <w:rFonts w:ascii="Arial" w:cs="Arial" w:eastAsia="Arial" w:hAnsi="Arial"/>
          <w:sz w:val="18"/>
          <w:szCs w:val="18"/>
          <w:i w:val="1"/>
          <w:iCs w:val="1"/>
          <w:color w:val="3E3935"/>
        </w:rPr>
        <w:t>Option Awards displays the grant date fair value of Stock Options issued under the LTIP, computed in accordance with FASB ASC Topic 718 using a Black-Scholes valuation. The assumptions used for the Black-Scholes valuation of the Stock Options are summarized below:</w:t>
      </w:r>
    </w:p>
    <w:p>
      <w:pPr>
        <w:spacing w:after="0" w:line="220"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200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9"/>
              </w:rPr>
              <w:t>Grant Date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Dividend Yield</w:t>
            </w:r>
          </w:p>
        </w:tc>
        <w:tc>
          <w:tcPr>
            <w:tcW w:w="16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Implied Volatility</w:t>
            </w:r>
          </w:p>
        </w:tc>
        <w:tc>
          <w:tcPr>
            <w:tcW w:w="17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Risk-Free Interest Rate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Expected Option Life</w:t>
            </w:r>
          </w:p>
        </w:tc>
        <w:tc>
          <w:tcPr>
            <w:tcW w:w="1660" w:type="dxa"/>
            <w:vAlign w:val="bottom"/>
            <w:tcBorders>
              <w:bottom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Grant Date Fair Value</w:t>
            </w:r>
          </w:p>
        </w:tc>
      </w:tr>
      <w:tr>
        <w:trPr>
          <w:trHeight w:val="240"/>
        </w:trPr>
        <w:tc>
          <w:tcPr>
            <w:tcW w:w="2000" w:type="dxa"/>
            <w:vAlign w:val="bottom"/>
            <w:tcBorders>
              <w:right w:val="single" w:sz="8" w:color="0071CE"/>
            </w:tcBorders>
          </w:tcPr>
          <w:p>
            <w:pPr>
              <w:jc w:val="right"/>
              <w:ind w:right="609"/>
              <w:spacing w:after="0"/>
              <w:rPr>
                <w:sz w:val="20"/>
                <w:szCs w:val="20"/>
                <w:color w:val="auto"/>
              </w:rPr>
            </w:pPr>
            <w:r>
              <w:rPr>
                <w:rFonts w:ascii="Arial" w:cs="Arial" w:eastAsia="Arial" w:hAnsi="Arial"/>
                <w:sz w:val="14"/>
                <w:szCs w:val="14"/>
                <w:i w:val="1"/>
                <w:iCs w:val="1"/>
                <w:color w:val="3E3935"/>
              </w:rPr>
              <w:t>2/18/2021</w:t>
            </w:r>
          </w:p>
        </w:tc>
        <w:tc>
          <w:tcPr>
            <w:tcW w:w="1680" w:type="dxa"/>
            <w:vAlign w:val="bottom"/>
            <w:tcBorders>
              <w:right w:val="single" w:sz="8" w:color="0071CE"/>
            </w:tcBorders>
          </w:tcPr>
          <w:p>
            <w:pPr>
              <w:jc w:val="right"/>
              <w:ind w:right="529"/>
              <w:spacing w:after="0"/>
              <w:rPr>
                <w:sz w:val="20"/>
                <w:szCs w:val="20"/>
                <w:color w:val="auto"/>
              </w:rPr>
            </w:pPr>
            <w:r>
              <w:rPr>
                <w:rFonts w:ascii="Arial" w:cs="Arial" w:eastAsia="Arial" w:hAnsi="Arial"/>
                <w:sz w:val="14"/>
                <w:szCs w:val="14"/>
                <w:i w:val="1"/>
                <w:iCs w:val="1"/>
                <w:color w:val="3E3935"/>
              </w:rPr>
              <w:t>1.67%</w:t>
            </w:r>
          </w:p>
        </w:tc>
        <w:tc>
          <w:tcPr>
            <w:tcW w:w="1680" w:type="dxa"/>
            <w:vAlign w:val="bottom"/>
            <w:tcBorders>
              <w:right w:val="single" w:sz="8" w:color="0071CE"/>
            </w:tcBorders>
          </w:tcPr>
          <w:p>
            <w:pPr>
              <w:jc w:val="right"/>
              <w:ind w:right="589"/>
              <w:spacing w:after="0"/>
              <w:rPr>
                <w:sz w:val="20"/>
                <w:szCs w:val="20"/>
                <w:color w:val="auto"/>
              </w:rPr>
            </w:pPr>
            <w:r>
              <w:rPr>
                <w:rFonts w:ascii="Arial" w:cs="Arial" w:eastAsia="Arial" w:hAnsi="Arial"/>
                <w:sz w:val="14"/>
                <w:szCs w:val="14"/>
                <w:i w:val="1"/>
                <w:iCs w:val="1"/>
                <w:color w:val="3E3935"/>
              </w:rPr>
              <w:t>48%</w:t>
            </w:r>
          </w:p>
        </w:tc>
        <w:tc>
          <w:tcPr>
            <w:tcW w:w="1780" w:type="dxa"/>
            <w:vAlign w:val="bottom"/>
            <w:tcBorders>
              <w:right w:val="single" w:sz="8" w:color="0071CE"/>
            </w:tcBorders>
          </w:tcPr>
          <w:p>
            <w:pPr>
              <w:jc w:val="right"/>
              <w:ind w:right="589"/>
              <w:spacing w:after="0"/>
              <w:rPr>
                <w:sz w:val="20"/>
                <w:szCs w:val="20"/>
                <w:color w:val="auto"/>
              </w:rPr>
            </w:pPr>
            <w:r>
              <w:rPr>
                <w:rFonts w:ascii="Arial" w:cs="Arial" w:eastAsia="Arial" w:hAnsi="Arial"/>
                <w:sz w:val="14"/>
                <w:szCs w:val="14"/>
                <w:i w:val="1"/>
                <w:iCs w:val="1"/>
                <w:color w:val="3E3935"/>
              </w:rPr>
              <w:t>0.76%</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6.00 years</w:t>
            </w:r>
          </w:p>
        </w:tc>
        <w:tc>
          <w:tcPr>
            <w:tcW w:w="1660" w:type="dxa"/>
            <w:vAlign w:val="bottom"/>
          </w:tcPr>
          <w:p>
            <w:pPr>
              <w:jc w:val="right"/>
              <w:ind w:right="489"/>
              <w:spacing w:after="0"/>
              <w:rPr>
                <w:sz w:val="20"/>
                <w:szCs w:val="20"/>
                <w:color w:val="auto"/>
              </w:rPr>
            </w:pPr>
            <w:r>
              <w:rPr>
                <w:rFonts w:ascii="Arial" w:cs="Arial" w:eastAsia="Arial" w:hAnsi="Arial"/>
                <w:sz w:val="14"/>
                <w:szCs w:val="14"/>
                <w:i w:val="1"/>
                <w:iCs w:val="1"/>
                <w:color w:val="3E3935"/>
              </w:rPr>
              <w:t>$20.23</w:t>
            </w:r>
          </w:p>
        </w:tc>
      </w:tr>
      <w:tr>
        <w:trPr>
          <w:trHeight w:val="61"/>
        </w:trPr>
        <w:tc>
          <w:tcPr>
            <w:tcW w:w="200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78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60" w:type="dxa"/>
            <w:vAlign w:val="bottom"/>
          </w:tcPr>
          <w:p>
            <w:pPr>
              <w:spacing w:after="0"/>
              <w:rPr>
                <w:sz w:val="5"/>
                <w:szCs w:val="5"/>
                <w:color w:val="auto"/>
              </w:rPr>
            </w:pPr>
          </w:p>
        </w:tc>
      </w:tr>
    </w:tbl>
    <w:p>
      <w:pPr>
        <w:spacing w:after="0" w:line="63" w:lineRule="exact"/>
        <w:rPr>
          <w:sz w:val="20"/>
          <w:szCs w:val="20"/>
          <w:color w:val="auto"/>
        </w:rPr>
      </w:pPr>
    </w:p>
    <w:p>
      <w:pPr>
        <w:jc w:val="both"/>
        <w:ind w:left="600" w:hanging="433"/>
        <w:spacing w:after="0" w:line="247" w:lineRule="auto"/>
        <w:tabs>
          <w:tab w:leader="none" w:pos="60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All NEOs were eligible for a payment under the STIP for 2021 performance based on the Company’s achievement of annual performance goals and individual performance. Individual performance decisions for each NEO are determined by the Compensation Committee; results are discussed beginning on page 61 of this Proxy Statement.</w:t>
      </w:r>
    </w:p>
    <w:p>
      <w:pPr>
        <w:spacing w:after="0" w:line="43" w:lineRule="exact"/>
        <w:rPr>
          <w:rFonts w:ascii="Arial" w:cs="Arial" w:eastAsia="Arial" w:hAnsi="Arial"/>
          <w:sz w:val="18"/>
          <w:szCs w:val="18"/>
          <w:i w:val="1"/>
          <w:iCs w:val="1"/>
          <w:color w:val="3E3935"/>
        </w:rPr>
      </w:pPr>
    </w:p>
    <w:p>
      <w:pPr>
        <w:jc w:val="both"/>
        <w:ind w:left="600" w:hanging="433"/>
        <w:spacing w:after="0" w:line="238" w:lineRule="auto"/>
        <w:tabs>
          <w:tab w:leader="none" w:pos="60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represent the actuarial change in the present value of the NEO’s accrued benefit for 2021 attributed to year-over-year variances in applicable discount rates, lump sum interest rates, mortality rates, and employer contributions to tax-qualified and non-tax-qualified plans, as described in “Pension Benefits” on page 75 of this Proxy Statement. The Company does not credit interest at above-market rates to any deferred retirement accounts, and no interest amounts are included in these totals. In 2021, the actuarial present value decreased in the amount of $6,319 (Ms. Barra), $60,098 (Mr. Reuss), $34,340 (Mr. Parks), and $35,446 (Mr. Carlisle). Mr. Jacobson is not eligible to participate in DB pension plans based on his date of service.</w:t>
      </w:r>
    </w:p>
    <w:p>
      <w:pPr>
        <w:spacing w:after="0" w:line="52"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included as All Other Compensation are described in the table below.</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98425</wp:posOffset>
            </wp:positionV>
            <wp:extent cx="66497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b w:val="1"/>
                <w:bCs w:val="1"/>
                <w:color w:val="00C1DE"/>
              </w:rPr>
              <w:t>M.T. Barra</w:t>
            </w: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00C1DE"/>
              </w:rPr>
              <w:t>P.A. Jacobson</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C1DE"/>
              </w:rPr>
              <w:t>M.L. Reuss</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C1DE"/>
              </w:rPr>
              <w:t>D.L. Parks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00C1DE"/>
              </w:rPr>
              <w:t>S.K. Carlisle</w:t>
            </w:r>
          </w:p>
        </w:tc>
      </w:tr>
      <w:tr>
        <w:trPr>
          <w:trHeight w:val="221"/>
        </w:trPr>
        <w:tc>
          <w:tcPr>
            <w:tcW w:w="4120" w:type="dxa"/>
            <w:vAlign w:val="bottom"/>
          </w:tcPr>
          <w:p>
            <w:pPr>
              <w:spacing w:after="0"/>
              <w:rPr>
                <w:sz w:val="19"/>
                <w:szCs w:val="19"/>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00C1DE"/>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C1DE"/>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00C1DE"/>
              </w:rPr>
              <w:t>($)</w:t>
            </w:r>
          </w:p>
        </w:tc>
      </w:tr>
      <w:tr>
        <w:trPr>
          <w:trHeight w:val="20"/>
        </w:trPr>
        <w:tc>
          <w:tcPr>
            <w:tcW w:w="4120" w:type="dxa"/>
            <w:vAlign w:val="bottom"/>
            <w:tcBorders>
              <w:bottom w:val="single" w:sz="8" w:color="00C1DE"/>
            </w:tcBorders>
          </w:tcPr>
          <w:p>
            <w:pPr>
              <w:spacing w:after="0" w:line="20" w:lineRule="exact"/>
              <w:rPr>
                <w:sz w:val="1"/>
                <w:szCs w:val="1"/>
                <w:color w:val="auto"/>
              </w:rPr>
            </w:pPr>
          </w:p>
        </w:tc>
        <w:tc>
          <w:tcPr>
            <w:tcW w:w="1820" w:type="dxa"/>
            <w:vAlign w:val="bottom"/>
            <w:tcBorders>
              <w:bottom w:val="single" w:sz="8" w:color="00C1DE"/>
            </w:tcBorders>
          </w:tcPr>
          <w:p>
            <w:pPr>
              <w:spacing w:after="0" w:line="20" w:lineRule="exact"/>
              <w:rPr>
                <w:sz w:val="1"/>
                <w:szCs w:val="1"/>
                <w:color w:val="auto"/>
              </w:rPr>
            </w:pPr>
          </w:p>
        </w:tc>
        <w:tc>
          <w:tcPr>
            <w:tcW w:w="1320" w:type="dxa"/>
            <w:vAlign w:val="bottom"/>
            <w:tcBorders>
              <w:bottom w:val="single" w:sz="8" w:color="00C1DE"/>
            </w:tcBorders>
          </w:tcPr>
          <w:p>
            <w:pPr>
              <w:spacing w:after="0" w:line="20" w:lineRule="exact"/>
              <w:rPr>
                <w:sz w:val="1"/>
                <w:szCs w:val="1"/>
                <w:color w:val="auto"/>
              </w:rPr>
            </w:pPr>
          </w:p>
        </w:tc>
        <w:tc>
          <w:tcPr>
            <w:tcW w:w="1080" w:type="dxa"/>
            <w:vAlign w:val="bottom"/>
            <w:tcBorders>
              <w:bottom w:val="single" w:sz="8" w:color="00C1DE"/>
            </w:tcBorders>
          </w:tcPr>
          <w:p>
            <w:pPr>
              <w:spacing w:after="0" w:line="20" w:lineRule="exact"/>
              <w:rPr>
                <w:sz w:val="1"/>
                <w:szCs w:val="1"/>
                <w:color w:val="auto"/>
              </w:rPr>
            </w:pPr>
          </w:p>
        </w:tc>
        <w:tc>
          <w:tcPr>
            <w:tcW w:w="1040" w:type="dxa"/>
            <w:vAlign w:val="bottom"/>
            <w:tcBorders>
              <w:bottom w:val="single" w:sz="8" w:color="00C1DE"/>
            </w:tcBorders>
          </w:tcPr>
          <w:p>
            <w:pPr>
              <w:spacing w:after="0" w:line="20" w:lineRule="exact"/>
              <w:rPr>
                <w:sz w:val="1"/>
                <w:szCs w:val="1"/>
                <w:color w:val="auto"/>
              </w:rPr>
            </w:pPr>
          </w:p>
        </w:tc>
        <w:tc>
          <w:tcPr>
            <w:tcW w:w="1100" w:type="dxa"/>
            <w:vAlign w:val="bottom"/>
            <w:tcBorders>
              <w:bottom w:val="single" w:sz="8" w:color="00C1DE"/>
            </w:tcBorders>
          </w:tcPr>
          <w:p>
            <w:pPr>
              <w:spacing w:after="0" w:line="20" w:lineRule="exact"/>
              <w:rPr>
                <w:sz w:val="1"/>
                <w:szCs w:val="1"/>
                <w:color w:val="auto"/>
              </w:rPr>
            </w:pPr>
          </w:p>
        </w:tc>
      </w:tr>
      <w:tr>
        <w:trPr>
          <w:trHeight w:val="261"/>
        </w:trPr>
        <w:tc>
          <w:tcPr>
            <w:tcW w:w="41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Perquisites and Other Personal Benefits</w:t>
            </w:r>
            <w:r>
              <w:rPr>
                <w:rFonts w:ascii="Arial" w:cs="Arial" w:eastAsia="Arial" w:hAnsi="Arial"/>
                <w:sz w:val="27"/>
                <w:szCs w:val="27"/>
                <w:color w:val="3E3935"/>
                <w:vertAlign w:val="superscript"/>
              </w:rPr>
              <w:t>(1)</w:t>
            </w:r>
          </w:p>
        </w:tc>
        <w:tc>
          <w:tcPr>
            <w:tcW w:w="1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413,368</w:t>
            </w:r>
          </w:p>
        </w:tc>
        <w:tc>
          <w:tcPr>
            <w:tcW w:w="132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69,067</w:t>
            </w:r>
          </w:p>
        </w:tc>
        <w:tc>
          <w:tcPr>
            <w:tcW w:w="10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122,452</w:t>
            </w:r>
          </w:p>
        </w:tc>
        <w:tc>
          <w:tcPr>
            <w:tcW w:w="10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34,259</w:t>
            </w:r>
          </w:p>
        </w:tc>
        <w:tc>
          <w:tcPr>
            <w:tcW w:w="11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34,615</w:t>
            </w:r>
          </w:p>
        </w:tc>
      </w:tr>
      <w:tr>
        <w:trPr>
          <w:trHeight w:val="261"/>
        </w:trPr>
        <w:tc>
          <w:tcPr>
            <w:tcW w:w="41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Employer Contributions to Savings Plans</w:t>
            </w:r>
            <w:r>
              <w:rPr>
                <w:rFonts w:ascii="Arial" w:cs="Arial" w:eastAsia="Arial" w:hAnsi="Arial"/>
                <w:sz w:val="27"/>
                <w:szCs w:val="27"/>
                <w:color w:val="3E3935"/>
                <w:vertAlign w:val="superscript"/>
              </w:rPr>
              <w:t>(2)</w:t>
            </w:r>
          </w:p>
        </w:tc>
        <w:tc>
          <w:tcPr>
            <w:tcW w:w="1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436,800</w:t>
            </w:r>
          </w:p>
        </w:tc>
        <w:tc>
          <w:tcPr>
            <w:tcW w:w="132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83,544</w:t>
            </w:r>
          </w:p>
        </w:tc>
        <w:tc>
          <w:tcPr>
            <w:tcW w:w="10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217,750</w:t>
            </w:r>
          </w:p>
        </w:tc>
        <w:tc>
          <w:tcPr>
            <w:tcW w:w="10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143,650</w:t>
            </w:r>
          </w:p>
        </w:tc>
        <w:tc>
          <w:tcPr>
            <w:tcW w:w="11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140,200</w:t>
            </w:r>
          </w:p>
        </w:tc>
      </w:tr>
      <w:tr>
        <w:trPr>
          <w:trHeight w:val="261"/>
        </w:trPr>
        <w:tc>
          <w:tcPr>
            <w:tcW w:w="41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Life and Other Insurance Benefits</w:t>
            </w:r>
            <w:r>
              <w:rPr>
                <w:rFonts w:ascii="Arial" w:cs="Arial" w:eastAsia="Arial" w:hAnsi="Arial"/>
                <w:sz w:val="27"/>
                <w:szCs w:val="27"/>
                <w:color w:val="3E3935"/>
                <w:vertAlign w:val="superscript"/>
              </w:rPr>
              <w:t>(3)</w:t>
            </w:r>
          </w:p>
        </w:tc>
        <w:tc>
          <w:tcPr>
            <w:tcW w:w="1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22,907</w:t>
            </w:r>
          </w:p>
        </w:tc>
        <w:tc>
          <w:tcPr>
            <w:tcW w:w="132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2,811</w:t>
            </w:r>
          </w:p>
        </w:tc>
        <w:tc>
          <w:tcPr>
            <w:tcW w:w="10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7,917</w:t>
            </w:r>
          </w:p>
        </w:tc>
        <w:tc>
          <w:tcPr>
            <w:tcW w:w="10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9,175</w:t>
            </w:r>
          </w:p>
        </w:tc>
        <w:tc>
          <w:tcPr>
            <w:tcW w:w="11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5,075</w:t>
            </w:r>
          </w:p>
        </w:tc>
      </w:tr>
      <w:tr>
        <w:trPr>
          <w:trHeight w:val="261"/>
        </w:trPr>
        <w:tc>
          <w:tcPr>
            <w:tcW w:w="41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Other</w:t>
            </w:r>
            <w:r>
              <w:rPr>
                <w:rFonts w:ascii="Arial" w:cs="Arial" w:eastAsia="Arial" w:hAnsi="Arial"/>
                <w:sz w:val="27"/>
                <w:szCs w:val="27"/>
                <w:color w:val="3E3935"/>
                <w:vertAlign w:val="superscript"/>
              </w:rPr>
              <w:t>(4)</w:t>
            </w:r>
          </w:p>
        </w:tc>
        <w:tc>
          <w:tcPr>
            <w:tcW w:w="1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32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w:t>
            </w:r>
          </w:p>
        </w:tc>
        <w:tc>
          <w:tcPr>
            <w:tcW w:w="10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w:t>
            </w:r>
          </w:p>
        </w:tc>
        <w:tc>
          <w:tcPr>
            <w:tcW w:w="10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1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151,921</w:t>
            </w:r>
          </w:p>
        </w:tc>
      </w:tr>
      <w:tr>
        <w:trPr>
          <w:trHeight w:val="257"/>
        </w:trPr>
        <w:tc>
          <w:tcPr>
            <w:tcW w:w="4120" w:type="dxa"/>
            <w:vAlign w:val="bottom"/>
            <w:tcBorders>
              <w:bottom w:val="single" w:sz="8" w:color="0071CE"/>
            </w:tcBorders>
          </w:tcPr>
          <w:p>
            <w:pPr>
              <w:ind w:left="100"/>
              <w:spacing w:after="0"/>
              <w:rPr>
                <w:sz w:val="20"/>
                <w:szCs w:val="20"/>
                <w:color w:val="auto"/>
              </w:rPr>
            </w:pPr>
            <w:r>
              <w:rPr>
                <w:rFonts w:ascii="Arial" w:cs="Arial" w:eastAsia="Arial" w:hAnsi="Arial"/>
                <w:sz w:val="16"/>
                <w:szCs w:val="16"/>
                <w:b w:val="1"/>
                <w:bCs w:val="1"/>
                <w:color w:val="3E3935"/>
              </w:rPr>
              <w:t>TOTAL</w:t>
            </w:r>
          </w:p>
        </w:tc>
        <w:tc>
          <w:tcPr>
            <w:tcW w:w="1820" w:type="dxa"/>
            <w:vAlign w:val="bottom"/>
            <w:tcBorders>
              <w:bottom w:val="single" w:sz="8" w:color="0071CE"/>
            </w:tcBorders>
          </w:tcPr>
          <w:p>
            <w:pPr>
              <w:jc w:val="right"/>
              <w:ind w:right="40"/>
              <w:spacing w:after="0"/>
              <w:rPr>
                <w:sz w:val="20"/>
                <w:szCs w:val="20"/>
                <w:color w:val="auto"/>
              </w:rPr>
            </w:pPr>
            <w:r>
              <w:rPr>
                <w:rFonts w:ascii="Arial" w:cs="Arial" w:eastAsia="Arial" w:hAnsi="Arial"/>
                <w:sz w:val="16"/>
                <w:szCs w:val="16"/>
                <w:color w:val="3E3935"/>
              </w:rPr>
              <w:t>873,075</w:t>
            </w:r>
          </w:p>
        </w:tc>
        <w:tc>
          <w:tcPr>
            <w:tcW w:w="1320" w:type="dxa"/>
            <w:vAlign w:val="bottom"/>
            <w:tcBorders>
              <w:bottom w:val="single" w:sz="8" w:color="0071CE"/>
            </w:tcBorders>
          </w:tcPr>
          <w:p>
            <w:pPr>
              <w:jc w:val="right"/>
              <w:ind w:right="20"/>
              <w:spacing w:after="0"/>
              <w:rPr>
                <w:sz w:val="20"/>
                <w:szCs w:val="20"/>
                <w:color w:val="auto"/>
              </w:rPr>
            </w:pPr>
            <w:r>
              <w:rPr>
                <w:rFonts w:ascii="Arial" w:cs="Arial" w:eastAsia="Arial" w:hAnsi="Arial"/>
                <w:sz w:val="16"/>
                <w:szCs w:val="16"/>
                <w:color w:val="3E3935"/>
              </w:rPr>
              <w:t>155,422</w:t>
            </w:r>
          </w:p>
        </w:tc>
        <w:tc>
          <w:tcPr>
            <w:tcW w:w="1080" w:type="dxa"/>
            <w:vAlign w:val="bottom"/>
            <w:tcBorders>
              <w:bottom w:val="single" w:sz="8" w:color="0071CE"/>
            </w:tcBorders>
          </w:tcPr>
          <w:p>
            <w:pPr>
              <w:jc w:val="right"/>
              <w:ind w:right="20"/>
              <w:spacing w:after="0"/>
              <w:rPr>
                <w:sz w:val="20"/>
                <w:szCs w:val="20"/>
                <w:color w:val="auto"/>
              </w:rPr>
            </w:pPr>
            <w:r>
              <w:rPr>
                <w:rFonts w:ascii="Arial" w:cs="Arial" w:eastAsia="Arial" w:hAnsi="Arial"/>
                <w:sz w:val="16"/>
                <w:szCs w:val="16"/>
                <w:color w:val="3E3935"/>
              </w:rPr>
              <w:t>348,119</w:t>
            </w:r>
          </w:p>
        </w:tc>
        <w:tc>
          <w:tcPr>
            <w:tcW w:w="1040" w:type="dxa"/>
            <w:vAlign w:val="bottom"/>
            <w:tcBorders>
              <w:bottom w:val="single" w:sz="8" w:color="0071CE"/>
            </w:tcBorders>
          </w:tcPr>
          <w:p>
            <w:pPr>
              <w:jc w:val="right"/>
              <w:ind w:right="40"/>
              <w:spacing w:after="0"/>
              <w:rPr>
                <w:sz w:val="20"/>
                <w:szCs w:val="20"/>
                <w:color w:val="auto"/>
              </w:rPr>
            </w:pPr>
            <w:r>
              <w:rPr>
                <w:rFonts w:ascii="Arial" w:cs="Arial" w:eastAsia="Arial" w:hAnsi="Arial"/>
                <w:sz w:val="16"/>
                <w:szCs w:val="16"/>
                <w:color w:val="3E3935"/>
              </w:rPr>
              <w:t>187,084</w:t>
            </w:r>
          </w:p>
        </w:tc>
        <w:tc>
          <w:tcPr>
            <w:tcW w:w="110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3E3935"/>
              </w:rPr>
              <w:t>331,811</w:t>
            </w:r>
          </w:p>
        </w:tc>
      </w:tr>
    </w:tbl>
    <w:p>
      <w:pPr>
        <w:spacing w:after="0" w:line="63" w:lineRule="exact"/>
        <w:rPr>
          <w:sz w:val="20"/>
          <w:szCs w:val="20"/>
          <w:color w:val="auto"/>
        </w:rPr>
      </w:pPr>
    </w:p>
    <w:p>
      <w:pPr>
        <w:ind w:left="1140" w:hanging="545"/>
        <w:spacing w:after="0"/>
        <w:tabs>
          <w:tab w:leader="none" w:pos="114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included as Perquisites and Other Personal Benefits are described in the table below.</w:t>
      </w:r>
    </w:p>
    <w:p>
      <w:pPr>
        <w:spacing w:after="0" w:line="73" w:lineRule="exact"/>
        <w:rPr>
          <w:rFonts w:ascii="Arial" w:cs="Arial" w:eastAsia="Arial" w:hAnsi="Arial"/>
          <w:sz w:val="18"/>
          <w:szCs w:val="18"/>
          <w:i w:val="1"/>
          <w:iCs w:val="1"/>
          <w:color w:val="3E3935"/>
        </w:rPr>
      </w:pPr>
    </w:p>
    <w:p>
      <w:pPr>
        <w:ind w:left="1140" w:hanging="545"/>
        <w:spacing w:after="0"/>
        <w:tabs>
          <w:tab w:leader="none" w:pos="114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employer contributions to tax-qualified and non-tax-qualified savings and retirement plans during 2021.</w:t>
      </w:r>
    </w:p>
    <w:p>
      <w:pPr>
        <w:spacing w:after="0" w:line="73" w:lineRule="exact"/>
        <w:rPr>
          <w:rFonts w:ascii="Arial" w:cs="Arial" w:eastAsia="Arial" w:hAnsi="Arial"/>
          <w:sz w:val="18"/>
          <w:szCs w:val="18"/>
          <w:i w:val="1"/>
          <w:iCs w:val="1"/>
          <w:color w:val="3E3935"/>
        </w:rPr>
      </w:pPr>
    </w:p>
    <w:p>
      <w:pPr>
        <w:jc w:val="both"/>
        <w:ind w:left="1140" w:hanging="545"/>
        <w:spacing w:after="0" w:line="247" w:lineRule="auto"/>
        <w:tabs>
          <w:tab w:leader="none" w:pos="114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premiums paid by the Company for Group Variable Universal Life insurance for executives. For Ms. Barra, the amount also includes premiums paid by the Company for providing personal accident insurance for members of the Board. NEOs are responsible for any ordinary income taxes resulting from the cost of Company-paid premiums.</w:t>
      </w:r>
    </w:p>
    <w:p>
      <w:pPr>
        <w:spacing w:after="0" w:line="43" w:lineRule="exact"/>
        <w:rPr>
          <w:rFonts w:ascii="Arial" w:cs="Arial" w:eastAsia="Arial" w:hAnsi="Arial"/>
          <w:sz w:val="18"/>
          <w:szCs w:val="18"/>
          <w:i w:val="1"/>
          <w:iCs w:val="1"/>
          <w:color w:val="3E3935"/>
        </w:rPr>
      </w:pPr>
    </w:p>
    <w:p>
      <w:pPr>
        <w:jc w:val="both"/>
        <w:ind w:left="1140" w:hanging="545"/>
        <w:spacing w:after="0"/>
        <w:tabs>
          <w:tab w:leader="none" w:pos="114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tax equalization payments in connection with Mr. Carlisle’s international assignment in Canada, which ended in May 2018. These tax equalization payments are made under a policy that applies to all employees on international assignment at the request of the Company to ensure an employee does not receive any undue tax burden or benefit had the employee remained in his or her home country. For Mr. Carlisle, the trailing tax payments made after the end of his assignment are to address any foreign tax obligations relating to equity awards earned while on international assignment.</w:t>
      </w:r>
    </w:p>
    <w:p>
      <w:pPr>
        <w:spacing w:after="0" w:line="121" w:lineRule="exact"/>
        <w:rPr>
          <w:rFonts w:ascii="Arial" w:cs="Arial" w:eastAsia="Arial" w:hAnsi="Arial"/>
          <w:sz w:val="18"/>
          <w:szCs w:val="18"/>
          <w:i w:val="1"/>
          <w:iCs w:val="1"/>
          <w:color w:val="3E3935"/>
        </w:rPr>
      </w:pPr>
    </w:p>
    <w:p>
      <w:pPr>
        <w:ind w:left="1140"/>
        <w:spacing w:after="0"/>
        <w:rPr>
          <w:rFonts w:ascii="Arial" w:cs="Arial" w:eastAsia="Arial" w:hAnsi="Arial"/>
          <w:sz w:val="18"/>
          <w:szCs w:val="18"/>
          <w:i w:val="1"/>
          <w:iCs w:val="1"/>
          <w:color w:val="3E3935"/>
        </w:rPr>
      </w:pPr>
      <w:r>
        <w:rPr>
          <w:rFonts w:ascii="Arial" w:cs="Arial" w:eastAsia="Arial" w:hAnsi="Arial"/>
          <w:sz w:val="1"/>
          <w:szCs w:val="1"/>
          <w:i w:val="1"/>
          <w:iCs w:val="1"/>
          <w:color w:val="3E3935"/>
        </w:rPr>
        <w:drawing>
          <wp:inline distT="0" distB="0" distL="0" distR="0">
            <wp:extent cx="5927725" cy="1016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927725" cy="101600"/>
                    </a:xfrm>
                    <a:prstGeom prst="rect">
                      <a:avLst/>
                    </a:prstGeom>
                    <a:noFill/>
                    <a:ln>
                      <a:noFill/>
                    </a:ln>
                  </pic:spPr>
                </pic:pic>
              </a:graphicData>
            </a:graphic>
          </wp:inline>
        </w:drawing>
      </w:r>
      <w:r>
        <w:rPr>
          <w:rFonts w:ascii="Arial" w:cs="Arial" w:eastAsia="Arial" w:hAnsi="Arial"/>
          <w:sz w:val="14"/>
          <w:szCs w:val="14"/>
          <w:color w:val="0071CE"/>
        </w:rPr>
        <w:t xml:space="preserve">  71</w:t>
      </w:r>
    </w:p>
    <w:p>
      <w:pPr>
        <w:sectPr>
          <w:pgSz w:w="11900" w:h="16838" w:orient="portrait"/>
          <w:cols w:equalWidth="0" w:num="1">
            <w:col w:w="11080"/>
          </w:cols>
          <w:pgMar w:left="320" w:top="454"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Perquisites and Other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98425</wp:posOffset>
            </wp:positionV>
            <wp:extent cx="66497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020" w:type="dxa"/>
            <w:vAlign w:val="bottom"/>
          </w:tcPr>
          <w:p>
            <w:pPr>
              <w:jc w:val="right"/>
              <w:ind w:right="120"/>
              <w:spacing w:after="0"/>
              <w:rPr>
                <w:sz w:val="20"/>
                <w:szCs w:val="20"/>
                <w:color w:val="auto"/>
              </w:rPr>
            </w:pPr>
            <w:r>
              <w:rPr>
                <w:rFonts w:ascii="Arial" w:cs="Arial" w:eastAsia="Arial" w:hAnsi="Arial"/>
                <w:sz w:val="16"/>
                <w:szCs w:val="16"/>
                <w:b w:val="1"/>
                <w:bCs w:val="1"/>
                <w:color w:val="00C1DE"/>
              </w:rPr>
              <w:t>M.T. Barra</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C1DE"/>
              </w:rPr>
              <w:t>P.A. Jacobson</w:t>
            </w:r>
          </w:p>
        </w:tc>
        <w:tc>
          <w:tcPr>
            <w:tcW w:w="1240" w:type="dxa"/>
            <w:vAlign w:val="bottom"/>
          </w:tcPr>
          <w:p>
            <w:pPr>
              <w:jc w:val="right"/>
              <w:ind w:right="120"/>
              <w:spacing w:after="0"/>
              <w:rPr>
                <w:sz w:val="20"/>
                <w:szCs w:val="20"/>
                <w:color w:val="auto"/>
              </w:rPr>
            </w:pPr>
            <w:r>
              <w:rPr>
                <w:rFonts w:ascii="Arial" w:cs="Arial" w:eastAsia="Arial" w:hAnsi="Arial"/>
                <w:sz w:val="16"/>
                <w:szCs w:val="16"/>
                <w:b w:val="1"/>
                <w:bCs w:val="1"/>
                <w:color w:val="00C1DE"/>
              </w:rPr>
              <w:t>M.L. Reuss</w:t>
            </w:r>
          </w:p>
        </w:tc>
        <w:tc>
          <w:tcPr>
            <w:tcW w:w="1200" w:type="dxa"/>
            <w:vAlign w:val="bottom"/>
          </w:tcPr>
          <w:p>
            <w:pPr>
              <w:jc w:val="right"/>
              <w:ind w:right="120"/>
              <w:spacing w:after="0"/>
              <w:rPr>
                <w:sz w:val="20"/>
                <w:szCs w:val="20"/>
                <w:color w:val="auto"/>
              </w:rPr>
            </w:pPr>
            <w:r>
              <w:rPr>
                <w:rFonts w:ascii="Arial" w:cs="Arial" w:eastAsia="Arial" w:hAnsi="Arial"/>
                <w:sz w:val="16"/>
                <w:szCs w:val="16"/>
                <w:b w:val="1"/>
                <w:bCs w:val="1"/>
                <w:color w:val="00C1DE"/>
              </w:rPr>
              <w:t>D.L. Parks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C1DE"/>
              </w:rPr>
              <w:t>S.K. Carlisle</w:t>
            </w:r>
          </w:p>
        </w:tc>
      </w:tr>
      <w:tr>
        <w:trPr>
          <w:trHeight w:val="221"/>
        </w:trPr>
        <w:tc>
          <w:tcPr>
            <w:tcW w:w="3320" w:type="dxa"/>
            <w:vAlign w:val="bottom"/>
          </w:tcPr>
          <w:p>
            <w:pPr>
              <w:spacing w:after="0"/>
              <w:rPr>
                <w:sz w:val="19"/>
                <w:szCs w:val="19"/>
                <w:color w:val="auto"/>
              </w:rPr>
            </w:pPr>
          </w:p>
        </w:tc>
        <w:tc>
          <w:tcPr>
            <w:tcW w:w="2020" w:type="dxa"/>
            <w:vAlign w:val="bottom"/>
          </w:tcPr>
          <w:p>
            <w:pPr>
              <w:jc w:val="right"/>
              <w:ind w:right="120"/>
              <w:spacing w:after="0"/>
              <w:rPr>
                <w:sz w:val="20"/>
                <w:szCs w:val="20"/>
                <w:color w:val="auto"/>
              </w:rPr>
            </w:pPr>
            <w:r>
              <w:rPr>
                <w:rFonts w:ascii="Arial" w:cs="Arial" w:eastAsia="Arial" w:hAnsi="Arial"/>
                <w:sz w:val="16"/>
                <w:szCs w:val="16"/>
                <w:b w:val="1"/>
                <w:bCs w:val="1"/>
                <w:color w:val="00C1DE"/>
              </w:rPr>
              <w:t>($)</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C1DE"/>
              </w:rPr>
              <w:t>($)</w:t>
            </w:r>
          </w:p>
        </w:tc>
        <w:tc>
          <w:tcPr>
            <w:tcW w:w="1240" w:type="dxa"/>
            <w:vAlign w:val="bottom"/>
          </w:tcPr>
          <w:p>
            <w:pPr>
              <w:jc w:val="right"/>
              <w:ind w:right="120"/>
              <w:spacing w:after="0"/>
              <w:rPr>
                <w:sz w:val="20"/>
                <w:szCs w:val="20"/>
                <w:color w:val="auto"/>
              </w:rPr>
            </w:pPr>
            <w:r>
              <w:rPr>
                <w:rFonts w:ascii="Arial" w:cs="Arial" w:eastAsia="Arial" w:hAnsi="Arial"/>
                <w:sz w:val="16"/>
                <w:szCs w:val="16"/>
                <w:b w:val="1"/>
                <w:bCs w:val="1"/>
                <w:color w:val="00C1DE"/>
              </w:rPr>
              <w:t>($)</w:t>
            </w:r>
          </w:p>
        </w:tc>
        <w:tc>
          <w:tcPr>
            <w:tcW w:w="1200" w:type="dxa"/>
            <w:vAlign w:val="bottom"/>
          </w:tcPr>
          <w:p>
            <w:pPr>
              <w:jc w:val="right"/>
              <w:ind w:right="120"/>
              <w:spacing w:after="0"/>
              <w:rPr>
                <w:sz w:val="20"/>
                <w:szCs w:val="20"/>
                <w:color w:val="auto"/>
              </w:rPr>
            </w:pPr>
            <w:r>
              <w:rPr>
                <w:rFonts w:ascii="Arial" w:cs="Arial" w:eastAsia="Arial" w:hAnsi="Arial"/>
                <w:sz w:val="16"/>
                <w:szCs w:val="16"/>
                <w:b w:val="1"/>
                <w:bCs w:val="1"/>
                <w:color w:val="00C1DE"/>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C1DE"/>
              </w:rPr>
              <w:t>($)</w:t>
            </w:r>
          </w:p>
        </w:tc>
      </w:tr>
      <w:tr>
        <w:trPr>
          <w:trHeight w:val="20"/>
        </w:trPr>
        <w:tc>
          <w:tcPr>
            <w:tcW w:w="3320" w:type="dxa"/>
            <w:vAlign w:val="bottom"/>
            <w:tcBorders>
              <w:bottom w:val="single" w:sz="8" w:color="00C1DE"/>
            </w:tcBorders>
          </w:tcPr>
          <w:p>
            <w:pPr>
              <w:spacing w:after="0" w:line="20" w:lineRule="exact"/>
              <w:rPr>
                <w:sz w:val="1"/>
                <w:szCs w:val="1"/>
                <w:color w:val="auto"/>
              </w:rPr>
            </w:pPr>
          </w:p>
        </w:tc>
        <w:tc>
          <w:tcPr>
            <w:tcW w:w="2020" w:type="dxa"/>
            <w:vAlign w:val="bottom"/>
            <w:tcBorders>
              <w:bottom w:val="single" w:sz="8" w:color="00C1DE"/>
            </w:tcBorders>
          </w:tcPr>
          <w:p>
            <w:pPr>
              <w:spacing w:after="0" w:line="20" w:lineRule="exact"/>
              <w:rPr>
                <w:sz w:val="1"/>
                <w:szCs w:val="1"/>
                <w:color w:val="auto"/>
              </w:rPr>
            </w:pPr>
          </w:p>
        </w:tc>
        <w:tc>
          <w:tcPr>
            <w:tcW w:w="1500" w:type="dxa"/>
            <w:vAlign w:val="bottom"/>
            <w:tcBorders>
              <w:bottom w:val="single" w:sz="8" w:color="00C1DE"/>
            </w:tcBorders>
          </w:tcPr>
          <w:p>
            <w:pPr>
              <w:spacing w:after="0" w:line="20" w:lineRule="exact"/>
              <w:rPr>
                <w:sz w:val="1"/>
                <w:szCs w:val="1"/>
                <w:color w:val="auto"/>
              </w:rPr>
            </w:pPr>
          </w:p>
        </w:tc>
        <w:tc>
          <w:tcPr>
            <w:tcW w:w="1240" w:type="dxa"/>
            <w:vAlign w:val="bottom"/>
            <w:tcBorders>
              <w:bottom w:val="single" w:sz="8" w:color="00C1DE"/>
            </w:tcBorders>
          </w:tcPr>
          <w:p>
            <w:pPr>
              <w:spacing w:after="0" w:line="20" w:lineRule="exact"/>
              <w:rPr>
                <w:sz w:val="1"/>
                <w:szCs w:val="1"/>
                <w:color w:val="auto"/>
              </w:rPr>
            </w:pPr>
          </w:p>
        </w:tc>
        <w:tc>
          <w:tcPr>
            <w:tcW w:w="1200" w:type="dxa"/>
            <w:vAlign w:val="bottom"/>
            <w:tcBorders>
              <w:bottom w:val="single" w:sz="8" w:color="00C1DE"/>
            </w:tcBorders>
          </w:tcPr>
          <w:p>
            <w:pPr>
              <w:spacing w:after="0" w:line="20" w:lineRule="exact"/>
              <w:rPr>
                <w:sz w:val="1"/>
                <w:szCs w:val="1"/>
                <w:color w:val="auto"/>
              </w:rPr>
            </w:pPr>
          </w:p>
        </w:tc>
        <w:tc>
          <w:tcPr>
            <w:tcW w:w="1200" w:type="dxa"/>
            <w:vAlign w:val="bottom"/>
            <w:tcBorders>
              <w:bottom w:val="single" w:sz="8" w:color="00C1DE"/>
            </w:tcBorders>
          </w:tcPr>
          <w:p>
            <w:pPr>
              <w:spacing w:after="0" w:line="20" w:lineRule="exact"/>
              <w:rPr>
                <w:sz w:val="1"/>
                <w:szCs w:val="1"/>
                <w:color w:val="auto"/>
              </w:rPr>
            </w:pPr>
          </w:p>
        </w:tc>
      </w:tr>
      <w:tr>
        <w:trPr>
          <w:trHeight w:val="261"/>
        </w:trPr>
        <w:tc>
          <w:tcPr>
            <w:tcW w:w="33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Personal Travel</w:t>
            </w:r>
            <w:r>
              <w:rPr>
                <w:rFonts w:ascii="Arial" w:cs="Arial" w:eastAsia="Arial" w:hAnsi="Arial"/>
                <w:sz w:val="27"/>
                <w:szCs w:val="27"/>
                <w:color w:val="3E3935"/>
                <w:vertAlign w:val="superscript"/>
              </w:rPr>
              <w:t>(1)</w:t>
            </w:r>
          </w:p>
        </w:tc>
        <w:tc>
          <w:tcPr>
            <w:tcW w:w="202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264,761</w:t>
            </w:r>
          </w:p>
        </w:tc>
        <w:tc>
          <w:tcPr>
            <w:tcW w:w="1500" w:type="dxa"/>
            <w:vAlign w:val="bottom"/>
            <w:tcBorders>
              <w:bottom w:val="single" w:sz="8" w:color="3E3935"/>
            </w:tcBorders>
          </w:tcPr>
          <w:p>
            <w:pPr>
              <w:jc w:val="right"/>
              <w:ind w:right="140"/>
              <w:spacing w:after="0"/>
              <w:rPr>
                <w:sz w:val="20"/>
                <w:szCs w:val="20"/>
                <w:color w:val="auto"/>
              </w:rPr>
            </w:pPr>
            <w:r>
              <w:rPr>
                <w:rFonts w:ascii="Arial" w:cs="Arial" w:eastAsia="Arial" w:hAnsi="Arial"/>
                <w:sz w:val="16"/>
                <w:szCs w:val="16"/>
                <w:color w:val="3E3935"/>
              </w:rPr>
              <w:t>20,440</w:t>
            </w:r>
          </w:p>
        </w:tc>
        <w:tc>
          <w:tcPr>
            <w:tcW w:w="124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79,043</w:t>
            </w:r>
          </w:p>
        </w:tc>
        <w:tc>
          <w:tcPr>
            <w:tcW w:w="120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61"/>
        </w:trPr>
        <w:tc>
          <w:tcPr>
            <w:tcW w:w="33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Security</w:t>
            </w:r>
            <w:r>
              <w:rPr>
                <w:rFonts w:ascii="Arial" w:cs="Arial" w:eastAsia="Arial" w:hAnsi="Arial"/>
                <w:sz w:val="27"/>
                <w:szCs w:val="27"/>
                <w:color w:val="3E3935"/>
                <w:vertAlign w:val="superscript"/>
              </w:rPr>
              <w:t>(2)</w:t>
            </w:r>
          </w:p>
        </w:tc>
        <w:tc>
          <w:tcPr>
            <w:tcW w:w="202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111,966</w:t>
            </w:r>
          </w:p>
        </w:tc>
        <w:tc>
          <w:tcPr>
            <w:tcW w:w="1500" w:type="dxa"/>
            <w:vAlign w:val="bottom"/>
            <w:tcBorders>
              <w:bottom w:val="single" w:sz="8" w:color="3E3935"/>
            </w:tcBorders>
          </w:tcPr>
          <w:p>
            <w:pPr>
              <w:jc w:val="right"/>
              <w:ind w:right="140"/>
              <w:spacing w:after="0"/>
              <w:rPr>
                <w:sz w:val="20"/>
                <w:szCs w:val="20"/>
                <w:color w:val="auto"/>
              </w:rPr>
            </w:pPr>
            <w:r>
              <w:rPr>
                <w:rFonts w:ascii="Arial" w:cs="Arial" w:eastAsia="Arial" w:hAnsi="Arial"/>
                <w:sz w:val="16"/>
                <w:szCs w:val="16"/>
                <w:color w:val="3E3935"/>
              </w:rPr>
              <w:t>—</w:t>
            </w:r>
          </w:p>
        </w:tc>
        <w:tc>
          <w:tcPr>
            <w:tcW w:w="124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1,484</w:t>
            </w:r>
          </w:p>
        </w:tc>
        <w:tc>
          <w:tcPr>
            <w:tcW w:w="120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61"/>
        </w:trPr>
        <w:tc>
          <w:tcPr>
            <w:tcW w:w="33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Company Vehicle Programs</w:t>
            </w:r>
            <w:r>
              <w:rPr>
                <w:rFonts w:ascii="Arial" w:cs="Arial" w:eastAsia="Arial" w:hAnsi="Arial"/>
                <w:sz w:val="27"/>
                <w:szCs w:val="27"/>
                <w:color w:val="3E3935"/>
                <w:vertAlign w:val="superscript"/>
              </w:rPr>
              <w:t>(3)</w:t>
            </w:r>
          </w:p>
        </w:tc>
        <w:tc>
          <w:tcPr>
            <w:tcW w:w="202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16,620</w:t>
            </w:r>
          </w:p>
        </w:tc>
        <w:tc>
          <w:tcPr>
            <w:tcW w:w="1500" w:type="dxa"/>
            <w:vAlign w:val="bottom"/>
            <w:tcBorders>
              <w:bottom w:val="single" w:sz="8" w:color="3E3935"/>
            </w:tcBorders>
          </w:tcPr>
          <w:p>
            <w:pPr>
              <w:jc w:val="right"/>
              <w:ind w:right="140"/>
              <w:spacing w:after="0"/>
              <w:rPr>
                <w:sz w:val="20"/>
                <w:szCs w:val="20"/>
                <w:color w:val="auto"/>
              </w:rPr>
            </w:pPr>
            <w:r>
              <w:rPr>
                <w:rFonts w:ascii="Arial" w:cs="Arial" w:eastAsia="Arial" w:hAnsi="Arial"/>
                <w:sz w:val="16"/>
                <w:szCs w:val="16"/>
                <w:color w:val="3E3935"/>
              </w:rPr>
              <w:t>21,012</w:t>
            </w:r>
          </w:p>
        </w:tc>
        <w:tc>
          <w:tcPr>
            <w:tcW w:w="124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25,311</w:t>
            </w:r>
          </w:p>
        </w:tc>
        <w:tc>
          <w:tcPr>
            <w:tcW w:w="120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19,249</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19,605</w:t>
            </w:r>
          </w:p>
        </w:tc>
      </w:tr>
      <w:tr>
        <w:trPr>
          <w:trHeight w:val="261"/>
        </w:trPr>
        <w:tc>
          <w:tcPr>
            <w:tcW w:w="33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Executive Physical</w:t>
            </w:r>
            <w:r>
              <w:rPr>
                <w:rFonts w:ascii="Arial" w:cs="Arial" w:eastAsia="Arial" w:hAnsi="Arial"/>
                <w:sz w:val="27"/>
                <w:szCs w:val="27"/>
                <w:color w:val="3E3935"/>
                <w:vertAlign w:val="superscript"/>
              </w:rPr>
              <w:t>(4)</w:t>
            </w:r>
          </w:p>
        </w:tc>
        <w:tc>
          <w:tcPr>
            <w:tcW w:w="202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9,661</w:t>
            </w:r>
          </w:p>
        </w:tc>
        <w:tc>
          <w:tcPr>
            <w:tcW w:w="1500" w:type="dxa"/>
            <w:vAlign w:val="bottom"/>
            <w:tcBorders>
              <w:bottom w:val="single" w:sz="8" w:color="3E3935"/>
            </w:tcBorders>
          </w:tcPr>
          <w:p>
            <w:pPr>
              <w:jc w:val="right"/>
              <w:ind w:right="140"/>
              <w:spacing w:after="0"/>
              <w:rPr>
                <w:sz w:val="20"/>
                <w:szCs w:val="20"/>
                <w:color w:val="auto"/>
              </w:rPr>
            </w:pPr>
            <w:r>
              <w:rPr>
                <w:rFonts w:ascii="Arial" w:cs="Arial" w:eastAsia="Arial" w:hAnsi="Arial"/>
                <w:sz w:val="16"/>
                <w:szCs w:val="16"/>
                <w:color w:val="3E3935"/>
              </w:rPr>
              <w:t>6,720</w:t>
            </w:r>
          </w:p>
        </w:tc>
        <w:tc>
          <w:tcPr>
            <w:tcW w:w="124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6,254</w:t>
            </w:r>
          </w:p>
        </w:tc>
        <w:tc>
          <w:tcPr>
            <w:tcW w:w="120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4,650</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4,650</w:t>
            </w:r>
          </w:p>
        </w:tc>
      </w:tr>
      <w:tr>
        <w:trPr>
          <w:trHeight w:val="261"/>
        </w:trPr>
        <w:tc>
          <w:tcPr>
            <w:tcW w:w="332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Financial Counseling</w:t>
            </w:r>
            <w:r>
              <w:rPr>
                <w:rFonts w:ascii="Arial" w:cs="Arial" w:eastAsia="Arial" w:hAnsi="Arial"/>
                <w:sz w:val="27"/>
                <w:szCs w:val="27"/>
                <w:color w:val="3E3935"/>
                <w:vertAlign w:val="superscript"/>
              </w:rPr>
              <w:t>(5)</w:t>
            </w:r>
          </w:p>
        </w:tc>
        <w:tc>
          <w:tcPr>
            <w:tcW w:w="202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10,360</w:t>
            </w:r>
          </w:p>
        </w:tc>
        <w:tc>
          <w:tcPr>
            <w:tcW w:w="1500" w:type="dxa"/>
            <w:vAlign w:val="bottom"/>
            <w:tcBorders>
              <w:bottom w:val="single" w:sz="8" w:color="3E3935"/>
            </w:tcBorders>
          </w:tcPr>
          <w:p>
            <w:pPr>
              <w:jc w:val="right"/>
              <w:ind w:right="140"/>
              <w:spacing w:after="0"/>
              <w:rPr>
                <w:sz w:val="20"/>
                <w:szCs w:val="20"/>
                <w:color w:val="auto"/>
              </w:rPr>
            </w:pPr>
            <w:r>
              <w:rPr>
                <w:rFonts w:ascii="Arial" w:cs="Arial" w:eastAsia="Arial" w:hAnsi="Arial"/>
                <w:sz w:val="16"/>
                <w:szCs w:val="16"/>
                <w:color w:val="3E3935"/>
              </w:rPr>
              <w:t>—</w:t>
            </w:r>
          </w:p>
        </w:tc>
        <w:tc>
          <w:tcPr>
            <w:tcW w:w="124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10,360</w:t>
            </w:r>
          </w:p>
        </w:tc>
        <w:tc>
          <w:tcPr>
            <w:tcW w:w="120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10,360</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10,360</w:t>
            </w:r>
          </w:p>
        </w:tc>
      </w:tr>
      <w:tr>
        <w:trPr>
          <w:trHeight w:val="254"/>
        </w:trPr>
        <w:tc>
          <w:tcPr>
            <w:tcW w:w="332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Other</w:t>
            </w:r>
            <w:r>
              <w:rPr>
                <w:rFonts w:ascii="Arial" w:cs="Arial" w:eastAsia="Arial" w:hAnsi="Arial"/>
                <w:sz w:val="13"/>
                <w:szCs w:val="13"/>
                <w:color w:val="3E3935"/>
              </w:rPr>
              <w:t>(6)(7)</w:t>
            </w:r>
          </w:p>
        </w:tc>
        <w:tc>
          <w:tcPr>
            <w:tcW w:w="202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w:t>
            </w:r>
          </w:p>
        </w:tc>
        <w:tc>
          <w:tcPr>
            <w:tcW w:w="1500" w:type="dxa"/>
            <w:vAlign w:val="bottom"/>
            <w:tcBorders>
              <w:bottom w:val="single" w:sz="8" w:color="3E3935"/>
            </w:tcBorders>
          </w:tcPr>
          <w:p>
            <w:pPr>
              <w:jc w:val="right"/>
              <w:ind w:right="140"/>
              <w:spacing w:after="0"/>
              <w:rPr>
                <w:sz w:val="20"/>
                <w:szCs w:val="20"/>
                <w:color w:val="auto"/>
              </w:rPr>
            </w:pPr>
            <w:r>
              <w:rPr>
                <w:rFonts w:ascii="Arial" w:cs="Arial" w:eastAsia="Arial" w:hAnsi="Arial"/>
                <w:sz w:val="16"/>
                <w:szCs w:val="16"/>
                <w:color w:val="3E3935"/>
              </w:rPr>
              <w:t>20,895</w:t>
            </w:r>
          </w:p>
        </w:tc>
        <w:tc>
          <w:tcPr>
            <w:tcW w:w="124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ind w:right="12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64"/>
        </w:trPr>
        <w:tc>
          <w:tcPr>
            <w:tcW w:w="3320" w:type="dxa"/>
            <w:vAlign w:val="bottom"/>
            <w:tcBorders>
              <w:bottom w:val="single" w:sz="8" w:color="0071CE"/>
            </w:tcBorders>
          </w:tcPr>
          <w:p>
            <w:pPr>
              <w:ind w:left="100"/>
              <w:spacing w:after="0"/>
              <w:rPr>
                <w:sz w:val="20"/>
                <w:szCs w:val="20"/>
                <w:color w:val="auto"/>
              </w:rPr>
            </w:pPr>
            <w:r>
              <w:rPr>
                <w:rFonts w:ascii="Arial" w:cs="Arial" w:eastAsia="Arial" w:hAnsi="Arial"/>
                <w:sz w:val="16"/>
                <w:szCs w:val="16"/>
                <w:b w:val="1"/>
                <w:bCs w:val="1"/>
                <w:color w:val="3E3935"/>
              </w:rPr>
              <w:t>TOTAL</w:t>
            </w:r>
          </w:p>
        </w:tc>
        <w:tc>
          <w:tcPr>
            <w:tcW w:w="2020" w:type="dxa"/>
            <w:vAlign w:val="bottom"/>
            <w:tcBorders>
              <w:bottom w:val="single" w:sz="8" w:color="0071CE"/>
            </w:tcBorders>
          </w:tcPr>
          <w:p>
            <w:pPr>
              <w:jc w:val="right"/>
              <w:ind w:right="120"/>
              <w:spacing w:after="0"/>
              <w:rPr>
                <w:sz w:val="20"/>
                <w:szCs w:val="20"/>
                <w:color w:val="auto"/>
              </w:rPr>
            </w:pPr>
            <w:r>
              <w:rPr>
                <w:rFonts w:ascii="Arial" w:cs="Arial" w:eastAsia="Arial" w:hAnsi="Arial"/>
                <w:sz w:val="16"/>
                <w:szCs w:val="16"/>
                <w:color w:val="3E3935"/>
              </w:rPr>
              <w:t>413,368</w:t>
            </w:r>
          </w:p>
        </w:tc>
        <w:tc>
          <w:tcPr>
            <w:tcW w:w="1500" w:type="dxa"/>
            <w:vAlign w:val="bottom"/>
            <w:tcBorders>
              <w:bottom w:val="single" w:sz="8" w:color="0071CE"/>
            </w:tcBorders>
          </w:tcPr>
          <w:p>
            <w:pPr>
              <w:jc w:val="right"/>
              <w:ind w:right="140"/>
              <w:spacing w:after="0"/>
              <w:rPr>
                <w:sz w:val="20"/>
                <w:szCs w:val="20"/>
                <w:color w:val="auto"/>
              </w:rPr>
            </w:pPr>
            <w:r>
              <w:rPr>
                <w:rFonts w:ascii="Arial" w:cs="Arial" w:eastAsia="Arial" w:hAnsi="Arial"/>
                <w:sz w:val="16"/>
                <w:szCs w:val="16"/>
                <w:color w:val="3E3935"/>
              </w:rPr>
              <w:t>69,067</w:t>
            </w:r>
          </w:p>
        </w:tc>
        <w:tc>
          <w:tcPr>
            <w:tcW w:w="1240" w:type="dxa"/>
            <w:vAlign w:val="bottom"/>
            <w:tcBorders>
              <w:bottom w:val="single" w:sz="8" w:color="0071CE"/>
            </w:tcBorders>
          </w:tcPr>
          <w:p>
            <w:pPr>
              <w:jc w:val="right"/>
              <w:ind w:right="120"/>
              <w:spacing w:after="0"/>
              <w:rPr>
                <w:sz w:val="20"/>
                <w:szCs w:val="20"/>
                <w:color w:val="auto"/>
              </w:rPr>
            </w:pPr>
            <w:r>
              <w:rPr>
                <w:rFonts w:ascii="Arial" w:cs="Arial" w:eastAsia="Arial" w:hAnsi="Arial"/>
                <w:sz w:val="16"/>
                <w:szCs w:val="16"/>
                <w:color w:val="3E3935"/>
              </w:rPr>
              <w:t>122,452</w:t>
            </w:r>
          </w:p>
        </w:tc>
        <w:tc>
          <w:tcPr>
            <w:tcW w:w="1200" w:type="dxa"/>
            <w:vAlign w:val="bottom"/>
            <w:tcBorders>
              <w:bottom w:val="single" w:sz="8" w:color="0071CE"/>
            </w:tcBorders>
          </w:tcPr>
          <w:p>
            <w:pPr>
              <w:jc w:val="right"/>
              <w:ind w:right="120"/>
              <w:spacing w:after="0"/>
              <w:rPr>
                <w:sz w:val="20"/>
                <w:szCs w:val="20"/>
                <w:color w:val="auto"/>
              </w:rPr>
            </w:pPr>
            <w:r>
              <w:rPr>
                <w:rFonts w:ascii="Arial" w:cs="Arial" w:eastAsia="Arial" w:hAnsi="Arial"/>
                <w:sz w:val="16"/>
                <w:szCs w:val="16"/>
                <w:color w:val="3E3935"/>
              </w:rPr>
              <w:t>34,259</w:t>
            </w:r>
          </w:p>
        </w:tc>
        <w:tc>
          <w:tcPr>
            <w:tcW w:w="120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3E3935"/>
              </w:rPr>
              <w:t>34,615</w:t>
            </w:r>
          </w:p>
        </w:tc>
      </w:tr>
    </w:tbl>
    <w:p>
      <w:pPr>
        <w:spacing w:after="0" w:line="63" w:lineRule="exact"/>
        <w:rPr>
          <w:sz w:val="20"/>
          <w:szCs w:val="20"/>
          <w:color w:val="auto"/>
        </w:rPr>
      </w:pPr>
    </w:p>
    <w:p>
      <w:pPr>
        <w:jc w:val="both"/>
        <w:ind w:left="1140" w:hanging="545"/>
        <w:spacing w:after="0"/>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Personal travel, pursuant to Company policy as discussed on page 56 of this Proxy Statement, includes incremental costs (fuel, flight crew expenses, landing fees, ground transportation fees, and other miscellaneous variable expenses) associated with aircraft use. Ms. Barra serves on outside boards, which we view as directly and integrally related to her role as Chair and CEO, and her professional development. The cost of travel to outside boards for 2021 was $90,985 and is excluded from the amount above.</w:t>
      </w:r>
    </w:p>
    <w:p>
      <w:pPr>
        <w:spacing w:after="0" w:line="48" w:lineRule="exact"/>
        <w:rPr>
          <w:rFonts w:ascii="Arial" w:cs="Arial" w:eastAsia="Arial" w:hAnsi="Arial"/>
          <w:sz w:val="18"/>
          <w:szCs w:val="18"/>
          <w:i w:val="1"/>
          <w:iCs w:val="1"/>
          <w:color w:val="3E3935"/>
        </w:rPr>
      </w:pPr>
    </w:p>
    <w:p>
      <w:pPr>
        <w:jc w:val="both"/>
        <w:ind w:left="1140" w:hanging="545"/>
        <w:spacing w:after="0" w:line="242" w:lineRule="auto"/>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the incremental cost of providing security services and residential security system monitoring for Ms. Barra and Mr. Reuss as recommended by an independent third-party security consultant.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47" w:lineRule="exact"/>
        <w:rPr>
          <w:rFonts w:ascii="Arial" w:cs="Arial" w:eastAsia="Arial" w:hAnsi="Arial"/>
          <w:sz w:val="18"/>
          <w:szCs w:val="18"/>
          <w:i w:val="1"/>
          <w:iCs w:val="1"/>
          <w:color w:val="3E3935"/>
        </w:rPr>
      </w:pPr>
    </w:p>
    <w:p>
      <w:pPr>
        <w:jc w:val="both"/>
        <w:ind w:left="1140" w:hanging="545"/>
        <w:spacing w:after="0"/>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the cost of providing cars, drivers, and the estimated annual lease value of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48" w:lineRule="exact"/>
        <w:rPr>
          <w:rFonts w:ascii="Arial" w:cs="Arial" w:eastAsia="Arial" w:hAnsi="Arial"/>
          <w:sz w:val="18"/>
          <w:szCs w:val="18"/>
          <w:i w:val="1"/>
          <w:iCs w:val="1"/>
          <w:color w:val="3E3935"/>
        </w:rPr>
      </w:pPr>
    </w:p>
    <w:p>
      <w:pPr>
        <w:ind w:left="1140" w:hanging="545"/>
        <w:spacing w:after="0" w:line="263" w:lineRule="auto"/>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costs associated with executive physicals with an approved provider as discussed on page 56 of this Proxy Statement.</w:t>
      </w:r>
    </w:p>
    <w:p>
      <w:pPr>
        <w:spacing w:after="0" w:line="27" w:lineRule="exact"/>
        <w:rPr>
          <w:rFonts w:ascii="Arial" w:cs="Arial" w:eastAsia="Arial" w:hAnsi="Arial"/>
          <w:sz w:val="18"/>
          <w:szCs w:val="18"/>
          <w:i w:val="1"/>
          <w:iCs w:val="1"/>
          <w:color w:val="3E3935"/>
        </w:rPr>
      </w:pPr>
    </w:p>
    <w:p>
      <w:pPr>
        <w:ind w:left="1140" w:hanging="545"/>
        <w:spacing w:after="0"/>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costs associated with financial counseling and estate planning services with an approved provider.</w:t>
      </w:r>
    </w:p>
    <w:p>
      <w:pPr>
        <w:spacing w:after="0" w:line="73" w:lineRule="exact"/>
        <w:rPr>
          <w:rFonts w:ascii="Arial" w:cs="Arial" w:eastAsia="Arial" w:hAnsi="Arial"/>
          <w:sz w:val="18"/>
          <w:szCs w:val="18"/>
          <w:i w:val="1"/>
          <w:iCs w:val="1"/>
          <w:color w:val="3E3935"/>
        </w:rPr>
      </w:pPr>
    </w:p>
    <w:p>
      <w:pPr>
        <w:jc w:val="both"/>
        <w:ind w:left="1140" w:hanging="545"/>
        <w:spacing w:after="0" w:line="247" w:lineRule="auto"/>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The total amount disclosed for Mr. Jacobson is related to his position location change to Detroit, Michigan, which includes $3,123 of relocation tax benefits. Relocation assistance and associated relocation tax benefits are consistent with our standard relocation program and available to all employees.</w:t>
      </w:r>
    </w:p>
    <w:p>
      <w:pPr>
        <w:spacing w:after="0" w:line="43" w:lineRule="exact"/>
        <w:rPr>
          <w:rFonts w:ascii="Arial" w:cs="Arial" w:eastAsia="Arial" w:hAnsi="Arial"/>
          <w:sz w:val="18"/>
          <w:szCs w:val="18"/>
          <w:i w:val="1"/>
          <w:iCs w:val="1"/>
          <w:color w:val="3E3935"/>
        </w:rPr>
      </w:pPr>
    </w:p>
    <w:p>
      <w:pPr>
        <w:jc w:val="both"/>
        <w:ind w:left="1140" w:hanging="545"/>
        <w:spacing w:after="0" w:line="242" w:lineRule="auto"/>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Occasionally, unused tickets from sponsorship agreements are made available for personal use. Tickets are included in sponsorship agreements and typically result in no incremental costs to the Company. In 2021, there were no incremental costs associated with the personal use of tickets to GM-sponsored events. Occasionally, limited souvenirs may be included as part of a sponsorship agreement and no incremental costs are incurred by the Company.</w:t>
      </w:r>
    </w:p>
    <w:p>
      <w:pPr>
        <w:spacing w:after="0" w:line="12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130"/>
        </w:numPr>
        <w:rPr>
          <w:rFonts w:ascii="Times New Roman" w:cs="Times New Roman" w:eastAsia="Times New Roman" w:hAnsi="Times New Roman"/>
          <w:sz w:val="21"/>
          <w:szCs w:val="21"/>
          <w:color w:val="0071CE"/>
        </w:rPr>
      </w:pPr>
      <w:r>
        <w:rPr>
          <w:rFonts w:ascii="Arial" w:cs="Arial" w:eastAsia="Arial" w:hAnsi="Arial"/>
          <w:sz w:val="25"/>
          <w:szCs w:val="25"/>
          <w:color w:val="3E3935"/>
        </w:rPr>
        <w:t>Grants of Plan-Based Awards</w:t>
      </w:r>
    </w:p>
    <w:p>
      <w:pPr>
        <w:spacing w:after="0" w:line="15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STIP awards for the 2021 performance year were made under the terms of the 2017 STIP. Equity awards granted to each NEO were made under the terms of the 2020 LTIP. PSUs vest and deliver at the end of the performance period and will be earned at a level between 0 and 200 percent of target. PSUs are based on the achievement of performance conditions relating to Relative ROIC-adjusted and Relative TSR over a three-year performance period from January 1, 2021, to December 31, 2023. Stock Options vest ratably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All Other</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All Other</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gridSpan w:val="3"/>
          </w:tcPr>
          <w:p>
            <w:pPr>
              <w:jc w:val="center"/>
              <w:spacing w:after="0"/>
              <w:rPr>
                <w:sz w:val="20"/>
                <w:szCs w:val="20"/>
                <w:color w:val="auto"/>
              </w:rPr>
            </w:pPr>
            <w:r>
              <w:rPr>
                <w:rFonts w:ascii="Arial" w:cs="Arial" w:eastAsia="Arial" w:hAnsi="Arial"/>
                <w:sz w:val="12"/>
                <w:szCs w:val="12"/>
                <w:b w:val="1"/>
                <w:bCs w:val="1"/>
                <w:color w:val="00C1DE"/>
              </w:rPr>
              <w:t>Estimated Future Payouts</w:t>
            </w:r>
          </w:p>
        </w:tc>
        <w:tc>
          <w:tcPr>
            <w:tcW w:w="2060" w:type="dxa"/>
            <w:vAlign w:val="bottom"/>
            <w:gridSpan w:val="3"/>
          </w:tcPr>
          <w:p>
            <w:pPr>
              <w:jc w:val="center"/>
              <w:spacing w:after="0"/>
              <w:rPr>
                <w:sz w:val="20"/>
                <w:szCs w:val="20"/>
                <w:color w:val="auto"/>
              </w:rPr>
            </w:pPr>
            <w:r>
              <w:rPr>
                <w:rFonts w:ascii="Arial" w:cs="Arial" w:eastAsia="Arial" w:hAnsi="Arial"/>
                <w:sz w:val="12"/>
                <w:szCs w:val="12"/>
                <w:b w:val="1"/>
                <w:bCs w:val="1"/>
                <w:color w:val="00C1DE"/>
              </w:rPr>
              <w:t>Estimated Future Payouts</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Stock</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Option</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00C1DE"/>
              </w:rPr>
              <w:t>Exercise</w:t>
            </w: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00C1DE"/>
              </w:rPr>
              <w:t>Grant Date</w:t>
            </w: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C1DE"/>
              </w:rPr>
              <w:t>Under Non-Equity Incentive</w:t>
            </w:r>
          </w:p>
        </w:tc>
        <w:tc>
          <w:tcPr>
            <w:tcW w:w="206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C1DE"/>
              </w:rPr>
              <w:t>Under Equity Incentive</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6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or Base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00C1DE"/>
              </w:rPr>
              <w:t>Plan Awards</w:t>
            </w:r>
          </w:p>
        </w:tc>
        <w:tc>
          <w:tcPr>
            <w:tcW w:w="680" w:type="dxa"/>
            <w:vAlign w:val="bottom"/>
          </w:tcPr>
          <w:p>
            <w:pPr>
              <w:spacing w:after="0"/>
              <w:rPr>
                <w:sz w:val="11"/>
                <w:szCs w:val="11"/>
                <w:color w:val="auto"/>
              </w:rPr>
            </w:pPr>
          </w:p>
        </w:tc>
        <w:tc>
          <w:tcPr>
            <w:tcW w:w="1420" w:type="dxa"/>
            <w:vAlign w:val="bottom"/>
            <w:gridSpan w:val="2"/>
          </w:tcPr>
          <w:p>
            <w:pPr>
              <w:jc w:val="center"/>
              <w:ind w:left="598"/>
              <w:spacing w:after="0" w:line="134" w:lineRule="exact"/>
              <w:rPr>
                <w:sz w:val="20"/>
                <w:szCs w:val="20"/>
                <w:color w:val="auto"/>
              </w:rPr>
            </w:pPr>
            <w:r>
              <w:rPr>
                <w:rFonts w:ascii="Arial" w:cs="Arial" w:eastAsia="Arial" w:hAnsi="Arial"/>
                <w:sz w:val="12"/>
                <w:szCs w:val="12"/>
                <w:b w:val="1"/>
                <w:bCs w:val="1"/>
                <w:color w:val="00C1DE"/>
              </w:rPr>
              <w:t>Plan Awards</w:t>
            </w:r>
          </w:p>
        </w:tc>
        <w:tc>
          <w:tcPr>
            <w:tcW w:w="6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Number of</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Number of</w:t>
            </w:r>
          </w:p>
        </w:tc>
        <w:tc>
          <w:tcPr>
            <w:tcW w:w="6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Price of</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Fair Value</w:t>
            </w:r>
          </w:p>
        </w:tc>
        <w:tc>
          <w:tcPr>
            <w:tcW w:w="0" w:type="dxa"/>
            <w:vAlign w:val="bottom"/>
          </w:tcPr>
          <w:p>
            <w:pPr>
              <w:spacing w:after="0"/>
              <w:rPr>
                <w:sz w:val="1"/>
                <w:szCs w:val="1"/>
                <w:color w:val="auto"/>
              </w:rPr>
            </w:pPr>
          </w:p>
        </w:tc>
      </w:tr>
      <w:tr>
        <w:trPr>
          <w:trHeight w:val="67"/>
        </w:trPr>
        <w:tc>
          <w:tcPr>
            <w:tcW w:w="1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Borders>
              <w:bottom w:val="single" w:sz="8" w:color="00C1DE"/>
            </w:tcBorders>
          </w:tcPr>
          <w:p>
            <w:pPr>
              <w:spacing w:after="0"/>
              <w:rPr>
                <w:sz w:val="5"/>
                <w:szCs w:val="5"/>
                <w:color w:val="auto"/>
              </w:rPr>
            </w:pPr>
          </w:p>
        </w:tc>
        <w:tc>
          <w:tcPr>
            <w:tcW w:w="800" w:type="dxa"/>
            <w:vAlign w:val="bottom"/>
            <w:tcBorders>
              <w:bottom w:val="single" w:sz="8" w:color="00C1DE"/>
            </w:tcBorders>
          </w:tcPr>
          <w:p>
            <w:pPr>
              <w:spacing w:after="0"/>
              <w:rPr>
                <w:sz w:val="5"/>
                <w:szCs w:val="5"/>
                <w:color w:val="auto"/>
              </w:rPr>
            </w:pPr>
          </w:p>
        </w:tc>
        <w:tc>
          <w:tcPr>
            <w:tcW w:w="680" w:type="dxa"/>
            <w:vAlign w:val="bottom"/>
            <w:tcBorders>
              <w:bottom w:val="single" w:sz="8" w:color="00C1DE"/>
            </w:tcBorders>
          </w:tcPr>
          <w:p>
            <w:pPr>
              <w:spacing w:after="0"/>
              <w:rPr>
                <w:sz w:val="5"/>
                <w:szCs w:val="5"/>
                <w:color w:val="auto"/>
              </w:rPr>
            </w:pPr>
          </w:p>
        </w:tc>
        <w:tc>
          <w:tcPr>
            <w:tcW w:w="760" w:type="dxa"/>
            <w:vAlign w:val="bottom"/>
            <w:tcBorders>
              <w:bottom w:val="single" w:sz="8" w:color="00C1DE"/>
            </w:tcBorders>
          </w:tcPr>
          <w:p>
            <w:pPr>
              <w:spacing w:after="0"/>
              <w:rPr>
                <w:sz w:val="5"/>
                <w:szCs w:val="5"/>
                <w:color w:val="auto"/>
              </w:rPr>
            </w:pPr>
          </w:p>
        </w:tc>
        <w:tc>
          <w:tcPr>
            <w:tcW w:w="660" w:type="dxa"/>
            <w:vAlign w:val="bottom"/>
            <w:tcBorders>
              <w:bottom w:val="single" w:sz="8" w:color="00C1DE"/>
            </w:tcBorders>
          </w:tcPr>
          <w:p>
            <w:pPr>
              <w:spacing w:after="0"/>
              <w:rPr>
                <w:sz w:val="5"/>
                <w:szCs w:val="5"/>
                <w:color w:val="auto"/>
              </w:rPr>
            </w:pPr>
          </w:p>
        </w:tc>
        <w:tc>
          <w:tcPr>
            <w:tcW w:w="640" w:type="dxa"/>
            <w:vAlign w:val="bottom"/>
            <w:tcBorders>
              <w:bottom w:val="single" w:sz="8" w:color="00C1DE"/>
            </w:tcBorders>
          </w:tcPr>
          <w:p>
            <w:pPr>
              <w:spacing w:after="0"/>
              <w:rPr>
                <w:sz w:val="5"/>
                <w:szCs w:val="5"/>
                <w:color w:val="auto"/>
              </w:rPr>
            </w:pPr>
          </w:p>
        </w:tc>
        <w:tc>
          <w:tcPr>
            <w:tcW w:w="780" w:type="dxa"/>
            <w:vAlign w:val="bottom"/>
            <w:vMerge w:val="restart"/>
          </w:tcPr>
          <w:p>
            <w:pPr>
              <w:jc w:val="right"/>
              <w:spacing w:after="0" w:line="129" w:lineRule="exact"/>
              <w:rPr>
                <w:sz w:val="20"/>
                <w:szCs w:val="20"/>
                <w:color w:val="auto"/>
              </w:rPr>
            </w:pPr>
            <w:r>
              <w:rPr>
                <w:rFonts w:ascii="Arial" w:cs="Arial" w:eastAsia="Arial" w:hAnsi="Arial"/>
                <w:sz w:val="12"/>
                <w:szCs w:val="12"/>
                <w:b w:val="1"/>
                <w:bCs w:val="1"/>
                <w:color w:val="00C1DE"/>
              </w:rPr>
              <w:t>Shares of</w:t>
            </w:r>
          </w:p>
        </w:tc>
        <w:tc>
          <w:tcPr>
            <w:tcW w:w="780" w:type="dxa"/>
            <w:vAlign w:val="bottom"/>
            <w:vMerge w:val="restart"/>
          </w:tcPr>
          <w:p>
            <w:pPr>
              <w:jc w:val="right"/>
              <w:spacing w:after="0" w:line="129" w:lineRule="exact"/>
              <w:rPr>
                <w:sz w:val="20"/>
                <w:szCs w:val="20"/>
                <w:color w:val="auto"/>
              </w:rPr>
            </w:pPr>
            <w:r>
              <w:rPr>
                <w:rFonts w:ascii="Arial" w:cs="Arial" w:eastAsia="Arial" w:hAnsi="Arial"/>
                <w:sz w:val="12"/>
                <w:szCs w:val="12"/>
                <w:b w:val="1"/>
                <w:bCs w:val="1"/>
                <w:color w:val="00C1DE"/>
              </w:rPr>
              <w:t>Securities</w:t>
            </w:r>
          </w:p>
        </w:tc>
        <w:tc>
          <w:tcPr>
            <w:tcW w:w="640" w:type="dxa"/>
            <w:vAlign w:val="bottom"/>
            <w:vMerge w:val="restart"/>
          </w:tcPr>
          <w:p>
            <w:pPr>
              <w:jc w:val="right"/>
              <w:spacing w:after="0" w:line="129" w:lineRule="exact"/>
              <w:rPr>
                <w:sz w:val="20"/>
                <w:szCs w:val="20"/>
                <w:color w:val="auto"/>
              </w:rPr>
            </w:pPr>
            <w:r>
              <w:rPr>
                <w:rFonts w:ascii="Arial" w:cs="Arial" w:eastAsia="Arial" w:hAnsi="Arial"/>
                <w:sz w:val="12"/>
                <w:szCs w:val="12"/>
                <w:b w:val="1"/>
                <w:bCs w:val="1"/>
                <w:color w:val="00C1DE"/>
              </w:rPr>
              <w:t>Option</w:t>
            </w:r>
          </w:p>
        </w:tc>
        <w:tc>
          <w:tcPr>
            <w:tcW w:w="840" w:type="dxa"/>
            <w:vAlign w:val="bottom"/>
            <w:vMerge w:val="restart"/>
          </w:tcPr>
          <w:p>
            <w:pPr>
              <w:jc w:val="right"/>
              <w:spacing w:after="0" w:line="129" w:lineRule="exact"/>
              <w:rPr>
                <w:sz w:val="20"/>
                <w:szCs w:val="20"/>
                <w:color w:val="auto"/>
              </w:rPr>
            </w:pPr>
            <w:r>
              <w:rPr>
                <w:rFonts w:ascii="Arial" w:cs="Arial" w:eastAsia="Arial" w:hAnsi="Arial"/>
                <w:sz w:val="12"/>
                <w:szCs w:val="12"/>
                <w:b w:val="1"/>
                <w:bCs w:val="1"/>
                <w:color w:val="00C1DE"/>
              </w:rPr>
              <w:t>of Stock</w:t>
            </w:r>
          </w:p>
        </w:tc>
        <w:tc>
          <w:tcPr>
            <w:tcW w:w="0" w:type="dxa"/>
            <w:vAlign w:val="bottom"/>
          </w:tcPr>
          <w:p>
            <w:pPr>
              <w:spacing w:after="0"/>
              <w:rPr>
                <w:sz w:val="1"/>
                <w:szCs w:val="1"/>
                <w:color w:val="auto"/>
              </w:rPr>
            </w:pPr>
          </w:p>
        </w:tc>
      </w:tr>
      <w:tr>
        <w:trPr>
          <w:trHeight w:val="42"/>
        </w:trPr>
        <w:tc>
          <w:tcPr>
            <w:tcW w:w="1580" w:type="dxa"/>
            <w:vAlign w:val="bottom"/>
          </w:tcPr>
          <w:p>
            <w:pPr>
              <w:spacing w:after="0"/>
              <w:rPr>
                <w:sz w:val="3"/>
                <w:szCs w:val="3"/>
                <w:color w:val="auto"/>
              </w:rPr>
            </w:pPr>
          </w:p>
        </w:tc>
        <w:tc>
          <w:tcPr>
            <w:tcW w:w="64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C1DE"/>
              </w:rPr>
              <w:t>Award</w:t>
            </w:r>
          </w:p>
        </w:tc>
        <w:tc>
          <w:tcPr>
            <w:tcW w:w="72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C1DE"/>
              </w:rPr>
              <w:t>Grant</w:t>
            </w: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00C1DE"/>
              </w:rPr>
              <w:t>Approval</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00C1DE"/>
              </w:rPr>
              <w:t>Threshold</w:t>
            </w:r>
          </w:p>
        </w:tc>
        <w:tc>
          <w:tcPr>
            <w:tcW w:w="80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00C1DE"/>
              </w:rPr>
              <w:t>Target</w:t>
            </w:r>
          </w:p>
        </w:tc>
        <w:tc>
          <w:tcPr>
            <w:tcW w:w="68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C1DE"/>
              </w:rPr>
              <w:t>Maximum</w:t>
            </w:r>
          </w:p>
        </w:tc>
        <w:tc>
          <w:tcPr>
            <w:tcW w:w="7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00C1DE"/>
              </w:rPr>
              <w:t>Threshold</w:t>
            </w:r>
          </w:p>
        </w:tc>
        <w:tc>
          <w:tcPr>
            <w:tcW w:w="6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00C1DE"/>
              </w:rPr>
              <w:t>Target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00C1DE"/>
              </w:rPr>
              <w:t>Maximum</w:t>
            </w:r>
          </w:p>
        </w:tc>
        <w:tc>
          <w:tcPr>
            <w:tcW w:w="7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Stock or</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Underlying</w:t>
            </w:r>
          </w:p>
        </w:tc>
        <w:tc>
          <w:tcPr>
            <w:tcW w:w="6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and Option</w:t>
            </w:r>
          </w:p>
        </w:tc>
        <w:tc>
          <w:tcPr>
            <w:tcW w:w="0" w:type="dxa"/>
            <w:vAlign w:val="bottom"/>
          </w:tcPr>
          <w:p>
            <w:pPr>
              <w:spacing w:after="0"/>
              <w:rPr>
                <w:sz w:val="1"/>
                <w:szCs w:val="1"/>
                <w:color w:val="auto"/>
              </w:rPr>
            </w:pPr>
          </w:p>
        </w:tc>
      </w:tr>
      <w:tr>
        <w:trPr>
          <w:trHeight w:val="188"/>
        </w:trPr>
        <w:tc>
          <w:tcPr>
            <w:tcW w:w="1580" w:type="dxa"/>
            <w:vAlign w:val="bottom"/>
            <w:tcBorders>
              <w:bottom w:val="single" w:sz="8" w:color="00C1DE"/>
            </w:tcBorders>
          </w:tcPr>
          <w:p>
            <w:pPr>
              <w:ind w:left="80"/>
              <w:spacing w:after="0"/>
              <w:rPr>
                <w:sz w:val="20"/>
                <w:szCs w:val="20"/>
                <w:color w:val="auto"/>
              </w:rPr>
            </w:pPr>
            <w:r>
              <w:rPr>
                <w:rFonts w:ascii="Arial" w:cs="Arial" w:eastAsia="Arial" w:hAnsi="Arial"/>
                <w:sz w:val="12"/>
                <w:szCs w:val="12"/>
                <w:b w:val="1"/>
                <w:bCs w:val="1"/>
                <w:color w:val="00C1DE"/>
              </w:rPr>
              <w:t>Name</w:t>
            </w:r>
          </w:p>
        </w:tc>
        <w:tc>
          <w:tcPr>
            <w:tcW w:w="64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Type</w:t>
            </w:r>
          </w:p>
        </w:tc>
        <w:tc>
          <w:tcPr>
            <w:tcW w:w="72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Date</w:t>
            </w:r>
          </w:p>
        </w:tc>
        <w:tc>
          <w:tcPr>
            <w:tcW w:w="68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Date</w:t>
            </w:r>
          </w:p>
        </w:tc>
        <w:tc>
          <w:tcPr>
            <w:tcW w:w="72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80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w:t>
            </w:r>
          </w:p>
        </w:tc>
        <w:tc>
          <w:tcPr>
            <w:tcW w:w="68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76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w:t>
            </w:r>
          </w:p>
        </w:tc>
        <w:tc>
          <w:tcPr>
            <w:tcW w:w="66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w:t>
            </w:r>
          </w:p>
        </w:tc>
        <w:tc>
          <w:tcPr>
            <w:tcW w:w="6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78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Units (#)</w:t>
            </w:r>
          </w:p>
        </w:tc>
        <w:tc>
          <w:tcPr>
            <w:tcW w:w="78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Options (#)</w:t>
            </w:r>
          </w:p>
        </w:tc>
        <w:tc>
          <w:tcPr>
            <w:tcW w:w="6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($/share)</w:t>
            </w:r>
          </w:p>
        </w:tc>
        <w:tc>
          <w:tcPr>
            <w:tcW w:w="8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Awards($)</w:t>
            </w:r>
            <w:r>
              <w:rPr>
                <w:rFonts w:ascii="Arial" w:cs="Arial" w:eastAsia="Arial" w:hAnsi="Arial"/>
                <w:sz w:val="10"/>
                <w:szCs w:val="10"/>
                <w:b w:val="1"/>
                <w:bCs w:val="1"/>
                <w:color w:val="00C1DE"/>
              </w:rPr>
              <w:t>(1)</w:t>
            </w:r>
          </w:p>
        </w:tc>
        <w:tc>
          <w:tcPr>
            <w:tcW w:w="0" w:type="dxa"/>
            <w:vAlign w:val="bottom"/>
          </w:tcPr>
          <w:p>
            <w:pPr>
              <w:spacing w:after="0"/>
              <w:rPr>
                <w:sz w:val="1"/>
                <w:szCs w:val="1"/>
                <w:color w:val="auto"/>
              </w:rPr>
            </w:pPr>
          </w:p>
        </w:tc>
      </w:tr>
      <w:tr>
        <w:trPr>
          <w:trHeight w:val="198"/>
        </w:trPr>
        <w:tc>
          <w:tcPr>
            <w:tcW w:w="1580" w:type="dxa"/>
            <w:vAlign w:val="bottom"/>
          </w:tcPr>
          <w:p>
            <w:pPr>
              <w:ind w:left="80"/>
              <w:spacing w:after="0"/>
              <w:rPr>
                <w:sz w:val="20"/>
                <w:szCs w:val="20"/>
                <w:color w:val="auto"/>
              </w:rPr>
            </w:pPr>
            <w:r>
              <w:rPr>
                <w:rFonts w:ascii="Arial" w:cs="Arial" w:eastAsia="Arial" w:hAnsi="Arial"/>
                <w:sz w:val="12"/>
                <w:szCs w:val="12"/>
                <w:color w:val="3E3935"/>
              </w:rPr>
              <w:t>Mary T. Barra</w:t>
            </w: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1/1/2021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jc w:val="right"/>
              <w:spacing w:after="0"/>
              <w:rPr>
                <w:sz w:val="20"/>
                <w:szCs w:val="20"/>
                <w:color w:val="auto"/>
              </w:rPr>
            </w:pPr>
            <w:r>
              <w:rPr>
                <w:rFonts w:ascii="Arial" w:cs="Arial" w:eastAsia="Arial" w:hAnsi="Arial"/>
                <w:sz w:val="12"/>
                <w:szCs w:val="12"/>
                <w:color w:val="3E3935"/>
              </w:rPr>
              <w:t>262,500</w:t>
            </w:r>
          </w:p>
        </w:tc>
        <w:tc>
          <w:tcPr>
            <w:tcW w:w="800" w:type="dxa"/>
            <w:vAlign w:val="bottom"/>
          </w:tcPr>
          <w:p>
            <w:pPr>
              <w:jc w:val="right"/>
              <w:ind w:right="38"/>
              <w:spacing w:after="0"/>
              <w:rPr>
                <w:sz w:val="20"/>
                <w:szCs w:val="20"/>
                <w:color w:val="auto"/>
              </w:rPr>
            </w:pPr>
            <w:r>
              <w:rPr>
                <w:rFonts w:ascii="Arial" w:cs="Arial" w:eastAsia="Arial" w:hAnsi="Arial"/>
                <w:sz w:val="12"/>
                <w:szCs w:val="12"/>
                <w:color w:val="3E3935"/>
              </w:rPr>
              <w:t>4,200,000</w:t>
            </w:r>
          </w:p>
        </w:tc>
        <w:tc>
          <w:tcPr>
            <w:tcW w:w="680" w:type="dxa"/>
            <w:vAlign w:val="bottom"/>
          </w:tcPr>
          <w:p>
            <w:pPr>
              <w:jc w:val="right"/>
              <w:spacing w:after="0"/>
              <w:rPr>
                <w:sz w:val="20"/>
                <w:szCs w:val="20"/>
                <w:color w:val="auto"/>
              </w:rPr>
            </w:pPr>
            <w:r>
              <w:rPr>
                <w:rFonts w:ascii="Arial" w:cs="Arial" w:eastAsia="Arial" w:hAnsi="Arial"/>
                <w:sz w:val="12"/>
                <w:szCs w:val="12"/>
                <w:color w:val="3E3935"/>
              </w:rPr>
              <w:t>8,400,000</w:t>
            </w: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194,637</w:t>
            </w:r>
          </w:p>
        </w:tc>
        <w:tc>
          <w:tcPr>
            <w:tcW w:w="640" w:type="dxa"/>
            <w:vAlign w:val="bottom"/>
          </w:tcPr>
          <w:p>
            <w:pPr>
              <w:jc w:val="right"/>
              <w:spacing w:after="0"/>
              <w:rPr>
                <w:sz w:val="20"/>
                <w:szCs w:val="20"/>
                <w:color w:val="auto"/>
              </w:rPr>
            </w:pPr>
            <w:r>
              <w:rPr>
                <w:rFonts w:ascii="Arial" w:cs="Arial" w:eastAsia="Arial" w:hAnsi="Arial"/>
                <w:sz w:val="12"/>
                <w:szCs w:val="12"/>
                <w:color w:val="3E3935"/>
              </w:rPr>
              <w:t>52.16</w:t>
            </w:r>
          </w:p>
        </w:tc>
        <w:tc>
          <w:tcPr>
            <w:tcW w:w="840" w:type="dxa"/>
            <w:vAlign w:val="bottom"/>
          </w:tcPr>
          <w:p>
            <w:pPr>
              <w:jc w:val="right"/>
              <w:spacing w:after="0"/>
              <w:rPr>
                <w:sz w:val="20"/>
                <w:szCs w:val="20"/>
                <w:color w:val="auto"/>
              </w:rPr>
            </w:pPr>
            <w:r>
              <w:rPr>
                <w:rFonts w:ascii="Arial" w:cs="Arial" w:eastAsia="Arial" w:hAnsi="Arial"/>
                <w:sz w:val="12"/>
                <w:szCs w:val="12"/>
                <w:color w:val="3E3935"/>
              </w:rPr>
              <w:t>3,937,507</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56,617</w:t>
            </w:r>
          </w:p>
        </w:tc>
        <w:tc>
          <w:tcPr>
            <w:tcW w:w="660" w:type="dxa"/>
            <w:vAlign w:val="bottom"/>
          </w:tcPr>
          <w:p>
            <w:pPr>
              <w:jc w:val="right"/>
              <w:ind w:right="38"/>
              <w:spacing w:after="0"/>
              <w:rPr>
                <w:sz w:val="20"/>
                <w:szCs w:val="20"/>
                <w:color w:val="auto"/>
              </w:rPr>
            </w:pPr>
            <w:r>
              <w:rPr>
                <w:rFonts w:ascii="Arial" w:cs="Arial" w:eastAsia="Arial" w:hAnsi="Arial"/>
                <w:sz w:val="12"/>
                <w:szCs w:val="12"/>
                <w:color w:val="3E3935"/>
              </w:rPr>
              <w:t>226,467</w:t>
            </w:r>
          </w:p>
        </w:tc>
        <w:tc>
          <w:tcPr>
            <w:tcW w:w="640" w:type="dxa"/>
            <w:vAlign w:val="bottom"/>
          </w:tcPr>
          <w:p>
            <w:pPr>
              <w:jc w:val="right"/>
              <w:spacing w:after="0"/>
              <w:rPr>
                <w:sz w:val="20"/>
                <w:szCs w:val="20"/>
                <w:color w:val="auto"/>
              </w:rPr>
            </w:pPr>
            <w:r>
              <w:rPr>
                <w:rFonts w:ascii="Arial" w:cs="Arial" w:eastAsia="Arial" w:hAnsi="Arial"/>
                <w:sz w:val="12"/>
                <w:szCs w:val="12"/>
                <w:color w:val="3E3935"/>
              </w:rPr>
              <w:t>452,934</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14,582,198</w:t>
            </w:r>
          </w:p>
        </w:tc>
        <w:tc>
          <w:tcPr>
            <w:tcW w:w="0" w:type="dxa"/>
            <w:vAlign w:val="bottom"/>
          </w:tcPr>
          <w:p>
            <w:pPr>
              <w:spacing w:after="0"/>
              <w:rPr>
                <w:sz w:val="1"/>
                <w:szCs w:val="1"/>
                <w:color w:val="auto"/>
              </w:rPr>
            </w:pPr>
          </w:p>
        </w:tc>
      </w:tr>
      <w:tr>
        <w:trPr>
          <w:trHeight w:val="54"/>
        </w:trPr>
        <w:tc>
          <w:tcPr>
            <w:tcW w:w="15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80"/>
              <w:spacing w:after="0"/>
              <w:rPr>
                <w:sz w:val="20"/>
                <w:szCs w:val="20"/>
                <w:color w:val="auto"/>
              </w:rPr>
            </w:pPr>
            <w:r>
              <w:rPr>
                <w:rFonts w:ascii="Arial" w:cs="Arial" w:eastAsia="Arial" w:hAnsi="Arial"/>
                <w:sz w:val="12"/>
                <w:szCs w:val="12"/>
                <w:color w:val="3E3935"/>
              </w:rPr>
              <w:t>Paul A. Jacobson</w:t>
            </w: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1/1/2021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jc w:val="right"/>
              <w:spacing w:after="0"/>
              <w:rPr>
                <w:sz w:val="20"/>
                <w:szCs w:val="20"/>
                <w:color w:val="auto"/>
              </w:rPr>
            </w:pPr>
            <w:r>
              <w:rPr>
                <w:rFonts w:ascii="Arial" w:cs="Arial" w:eastAsia="Arial" w:hAnsi="Arial"/>
                <w:sz w:val="12"/>
                <w:szCs w:val="12"/>
                <w:color w:val="3E3935"/>
              </w:rPr>
              <w:t>78,125</w:t>
            </w:r>
          </w:p>
        </w:tc>
        <w:tc>
          <w:tcPr>
            <w:tcW w:w="800" w:type="dxa"/>
            <w:vAlign w:val="bottom"/>
          </w:tcPr>
          <w:p>
            <w:pPr>
              <w:jc w:val="right"/>
              <w:ind w:right="38"/>
              <w:spacing w:after="0"/>
              <w:rPr>
                <w:sz w:val="20"/>
                <w:szCs w:val="20"/>
                <w:color w:val="auto"/>
              </w:rPr>
            </w:pPr>
            <w:r>
              <w:rPr>
                <w:rFonts w:ascii="Arial" w:cs="Arial" w:eastAsia="Arial" w:hAnsi="Arial"/>
                <w:sz w:val="12"/>
                <w:szCs w:val="12"/>
                <w:color w:val="3E3935"/>
              </w:rPr>
              <w:t>1,250,000</w:t>
            </w:r>
          </w:p>
        </w:tc>
        <w:tc>
          <w:tcPr>
            <w:tcW w:w="680" w:type="dxa"/>
            <w:vAlign w:val="bottom"/>
          </w:tcPr>
          <w:p>
            <w:pPr>
              <w:jc w:val="right"/>
              <w:spacing w:after="0"/>
              <w:rPr>
                <w:sz w:val="20"/>
                <w:szCs w:val="20"/>
                <w:color w:val="auto"/>
              </w:rPr>
            </w:pPr>
            <w:r>
              <w:rPr>
                <w:rFonts w:ascii="Arial" w:cs="Arial" w:eastAsia="Arial" w:hAnsi="Arial"/>
                <w:sz w:val="12"/>
                <w:szCs w:val="12"/>
                <w:color w:val="3E3935"/>
              </w:rPr>
              <w:t>2,500,000</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64,879</w:t>
            </w:r>
          </w:p>
        </w:tc>
        <w:tc>
          <w:tcPr>
            <w:tcW w:w="640" w:type="dxa"/>
            <w:vAlign w:val="bottom"/>
          </w:tcPr>
          <w:p>
            <w:pPr>
              <w:jc w:val="right"/>
              <w:spacing w:after="0"/>
              <w:rPr>
                <w:sz w:val="20"/>
                <w:szCs w:val="20"/>
                <w:color w:val="auto"/>
              </w:rPr>
            </w:pPr>
            <w:r>
              <w:rPr>
                <w:rFonts w:ascii="Arial" w:cs="Arial" w:eastAsia="Arial" w:hAnsi="Arial"/>
                <w:sz w:val="12"/>
                <w:szCs w:val="12"/>
                <w:color w:val="3E3935"/>
              </w:rPr>
              <w:t>52.16</w:t>
            </w:r>
          </w:p>
        </w:tc>
        <w:tc>
          <w:tcPr>
            <w:tcW w:w="840" w:type="dxa"/>
            <w:vAlign w:val="bottom"/>
          </w:tcPr>
          <w:p>
            <w:pPr>
              <w:jc w:val="right"/>
              <w:spacing w:after="0"/>
              <w:rPr>
                <w:sz w:val="20"/>
                <w:szCs w:val="20"/>
                <w:color w:val="auto"/>
              </w:rPr>
            </w:pPr>
            <w:r>
              <w:rPr>
                <w:rFonts w:ascii="Arial" w:cs="Arial" w:eastAsia="Arial" w:hAnsi="Arial"/>
                <w:sz w:val="12"/>
                <w:szCs w:val="12"/>
                <w:color w:val="3E3935"/>
              </w:rPr>
              <w:t>1,312,502</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18,872</w:t>
            </w:r>
          </w:p>
        </w:tc>
        <w:tc>
          <w:tcPr>
            <w:tcW w:w="660" w:type="dxa"/>
            <w:vAlign w:val="bottom"/>
          </w:tcPr>
          <w:p>
            <w:pPr>
              <w:jc w:val="right"/>
              <w:ind w:right="38"/>
              <w:spacing w:after="0"/>
              <w:rPr>
                <w:sz w:val="20"/>
                <w:szCs w:val="20"/>
                <w:color w:val="auto"/>
              </w:rPr>
            </w:pPr>
            <w:r>
              <w:rPr>
                <w:rFonts w:ascii="Arial" w:cs="Arial" w:eastAsia="Arial" w:hAnsi="Arial"/>
                <w:sz w:val="12"/>
                <w:szCs w:val="12"/>
                <w:color w:val="3E3935"/>
              </w:rPr>
              <w:t>75,489</w:t>
            </w:r>
          </w:p>
        </w:tc>
        <w:tc>
          <w:tcPr>
            <w:tcW w:w="640" w:type="dxa"/>
            <w:vAlign w:val="bottom"/>
          </w:tcPr>
          <w:p>
            <w:pPr>
              <w:jc w:val="right"/>
              <w:spacing w:after="0"/>
              <w:rPr>
                <w:sz w:val="20"/>
                <w:szCs w:val="20"/>
                <w:color w:val="auto"/>
              </w:rPr>
            </w:pPr>
            <w:r>
              <w:rPr>
                <w:rFonts w:ascii="Arial" w:cs="Arial" w:eastAsia="Arial" w:hAnsi="Arial"/>
                <w:sz w:val="12"/>
                <w:szCs w:val="12"/>
                <w:color w:val="3E3935"/>
              </w:rPr>
              <w:t>150,978</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4,860,724</w:t>
            </w:r>
          </w:p>
        </w:tc>
        <w:tc>
          <w:tcPr>
            <w:tcW w:w="0" w:type="dxa"/>
            <w:vAlign w:val="bottom"/>
          </w:tcPr>
          <w:p>
            <w:pPr>
              <w:spacing w:after="0"/>
              <w:rPr>
                <w:sz w:val="1"/>
                <w:szCs w:val="1"/>
                <w:color w:val="auto"/>
              </w:rPr>
            </w:pPr>
          </w:p>
        </w:tc>
      </w:tr>
      <w:tr>
        <w:trPr>
          <w:trHeight w:val="54"/>
        </w:trPr>
        <w:tc>
          <w:tcPr>
            <w:tcW w:w="15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80"/>
              <w:spacing w:after="0"/>
              <w:rPr>
                <w:sz w:val="20"/>
                <w:szCs w:val="20"/>
                <w:color w:val="auto"/>
              </w:rPr>
            </w:pPr>
            <w:r>
              <w:rPr>
                <w:rFonts w:ascii="Arial" w:cs="Arial" w:eastAsia="Arial" w:hAnsi="Arial"/>
                <w:sz w:val="12"/>
                <w:szCs w:val="12"/>
                <w:color w:val="3E3935"/>
              </w:rPr>
              <w:t>Mark L. Reuss</w:t>
            </w: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1/1/2021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jc w:val="right"/>
              <w:spacing w:after="0"/>
              <w:rPr>
                <w:sz w:val="20"/>
                <w:szCs w:val="20"/>
                <w:color w:val="auto"/>
              </w:rPr>
            </w:pPr>
            <w:r>
              <w:rPr>
                <w:rFonts w:ascii="Arial" w:cs="Arial" w:eastAsia="Arial" w:hAnsi="Arial"/>
                <w:sz w:val="12"/>
                <w:szCs w:val="12"/>
                <w:color w:val="3E3935"/>
              </w:rPr>
              <w:t>101,563</w:t>
            </w:r>
          </w:p>
        </w:tc>
        <w:tc>
          <w:tcPr>
            <w:tcW w:w="800" w:type="dxa"/>
            <w:vAlign w:val="bottom"/>
          </w:tcPr>
          <w:p>
            <w:pPr>
              <w:jc w:val="right"/>
              <w:ind w:right="38"/>
              <w:spacing w:after="0"/>
              <w:rPr>
                <w:sz w:val="20"/>
                <w:szCs w:val="20"/>
                <w:color w:val="auto"/>
              </w:rPr>
            </w:pPr>
            <w:r>
              <w:rPr>
                <w:rFonts w:ascii="Arial" w:cs="Arial" w:eastAsia="Arial" w:hAnsi="Arial"/>
                <w:sz w:val="12"/>
                <w:szCs w:val="12"/>
                <w:color w:val="3E3935"/>
              </w:rPr>
              <w:t>1,625,000</w:t>
            </w:r>
          </w:p>
        </w:tc>
        <w:tc>
          <w:tcPr>
            <w:tcW w:w="680" w:type="dxa"/>
            <w:vAlign w:val="bottom"/>
          </w:tcPr>
          <w:p>
            <w:pPr>
              <w:jc w:val="right"/>
              <w:spacing w:after="0"/>
              <w:rPr>
                <w:sz w:val="20"/>
                <w:szCs w:val="20"/>
                <w:color w:val="auto"/>
              </w:rPr>
            </w:pPr>
            <w:r>
              <w:rPr>
                <w:rFonts w:ascii="Arial" w:cs="Arial" w:eastAsia="Arial" w:hAnsi="Arial"/>
                <w:sz w:val="12"/>
                <w:szCs w:val="12"/>
                <w:color w:val="3E3935"/>
              </w:rPr>
              <w:t>3,250,000</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82,489</w:t>
            </w:r>
          </w:p>
        </w:tc>
        <w:tc>
          <w:tcPr>
            <w:tcW w:w="640" w:type="dxa"/>
            <w:vAlign w:val="bottom"/>
          </w:tcPr>
          <w:p>
            <w:pPr>
              <w:jc w:val="right"/>
              <w:spacing w:after="0"/>
              <w:rPr>
                <w:sz w:val="20"/>
                <w:szCs w:val="20"/>
                <w:color w:val="auto"/>
              </w:rPr>
            </w:pPr>
            <w:r>
              <w:rPr>
                <w:rFonts w:ascii="Arial" w:cs="Arial" w:eastAsia="Arial" w:hAnsi="Arial"/>
                <w:sz w:val="12"/>
                <w:szCs w:val="12"/>
                <w:color w:val="3E3935"/>
              </w:rPr>
              <w:t>52.16</w:t>
            </w:r>
          </w:p>
        </w:tc>
        <w:tc>
          <w:tcPr>
            <w:tcW w:w="840" w:type="dxa"/>
            <w:vAlign w:val="bottom"/>
          </w:tcPr>
          <w:p>
            <w:pPr>
              <w:jc w:val="right"/>
              <w:spacing w:after="0"/>
              <w:rPr>
                <w:sz w:val="20"/>
                <w:szCs w:val="20"/>
                <w:color w:val="auto"/>
              </w:rPr>
            </w:pPr>
            <w:r>
              <w:rPr>
                <w:rFonts w:ascii="Arial" w:cs="Arial" w:eastAsia="Arial" w:hAnsi="Arial"/>
                <w:sz w:val="12"/>
                <w:szCs w:val="12"/>
                <w:color w:val="3E3935"/>
              </w:rPr>
              <w:t>1,668,752</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23,995</w:t>
            </w:r>
          </w:p>
        </w:tc>
        <w:tc>
          <w:tcPr>
            <w:tcW w:w="660" w:type="dxa"/>
            <w:vAlign w:val="bottom"/>
          </w:tcPr>
          <w:p>
            <w:pPr>
              <w:jc w:val="right"/>
              <w:ind w:right="38"/>
              <w:spacing w:after="0"/>
              <w:rPr>
                <w:sz w:val="20"/>
                <w:szCs w:val="20"/>
                <w:color w:val="auto"/>
              </w:rPr>
            </w:pPr>
            <w:r>
              <w:rPr>
                <w:rFonts w:ascii="Arial" w:cs="Arial" w:eastAsia="Arial" w:hAnsi="Arial"/>
                <w:sz w:val="12"/>
                <w:szCs w:val="12"/>
                <w:color w:val="3E3935"/>
              </w:rPr>
              <w:t>95,979</w:t>
            </w:r>
          </w:p>
        </w:tc>
        <w:tc>
          <w:tcPr>
            <w:tcW w:w="640" w:type="dxa"/>
            <w:vAlign w:val="bottom"/>
          </w:tcPr>
          <w:p>
            <w:pPr>
              <w:jc w:val="right"/>
              <w:spacing w:after="0"/>
              <w:rPr>
                <w:sz w:val="20"/>
                <w:szCs w:val="20"/>
                <w:color w:val="auto"/>
              </w:rPr>
            </w:pPr>
            <w:r>
              <w:rPr>
                <w:rFonts w:ascii="Arial" w:cs="Arial" w:eastAsia="Arial" w:hAnsi="Arial"/>
                <w:sz w:val="12"/>
                <w:szCs w:val="12"/>
                <w:color w:val="3E3935"/>
              </w:rPr>
              <w:t>191,958</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6,180,076</w:t>
            </w:r>
          </w:p>
        </w:tc>
        <w:tc>
          <w:tcPr>
            <w:tcW w:w="0" w:type="dxa"/>
            <w:vAlign w:val="bottom"/>
          </w:tcPr>
          <w:p>
            <w:pPr>
              <w:spacing w:after="0"/>
              <w:rPr>
                <w:sz w:val="1"/>
                <w:szCs w:val="1"/>
                <w:color w:val="auto"/>
              </w:rPr>
            </w:pPr>
          </w:p>
        </w:tc>
      </w:tr>
      <w:tr>
        <w:trPr>
          <w:trHeight w:val="54"/>
        </w:trPr>
        <w:tc>
          <w:tcPr>
            <w:tcW w:w="15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80"/>
              <w:spacing w:after="0"/>
              <w:rPr>
                <w:sz w:val="20"/>
                <w:szCs w:val="20"/>
                <w:color w:val="auto"/>
              </w:rPr>
            </w:pPr>
            <w:r>
              <w:rPr>
                <w:rFonts w:ascii="Arial" w:cs="Arial" w:eastAsia="Arial" w:hAnsi="Arial"/>
                <w:sz w:val="12"/>
                <w:szCs w:val="12"/>
                <w:color w:val="3E3935"/>
              </w:rPr>
              <w:t>Douglas L. Parks</w:t>
            </w: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1/1/2021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jc w:val="right"/>
              <w:spacing w:after="0"/>
              <w:rPr>
                <w:sz w:val="20"/>
                <w:szCs w:val="20"/>
                <w:color w:val="auto"/>
              </w:rPr>
            </w:pPr>
            <w:r>
              <w:rPr>
                <w:rFonts w:ascii="Arial" w:cs="Arial" w:eastAsia="Arial" w:hAnsi="Arial"/>
                <w:sz w:val="12"/>
                <w:szCs w:val="12"/>
                <w:color w:val="3E3935"/>
              </w:rPr>
              <w:t>66,406</w:t>
            </w:r>
          </w:p>
        </w:tc>
        <w:tc>
          <w:tcPr>
            <w:tcW w:w="800" w:type="dxa"/>
            <w:vAlign w:val="bottom"/>
          </w:tcPr>
          <w:p>
            <w:pPr>
              <w:jc w:val="right"/>
              <w:ind w:right="38"/>
              <w:spacing w:after="0"/>
              <w:rPr>
                <w:sz w:val="20"/>
                <w:szCs w:val="20"/>
                <w:color w:val="auto"/>
              </w:rPr>
            </w:pPr>
            <w:r>
              <w:rPr>
                <w:rFonts w:ascii="Arial" w:cs="Arial" w:eastAsia="Arial" w:hAnsi="Arial"/>
                <w:sz w:val="12"/>
                <w:szCs w:val="12"/>
                <w:color w:val="3E3935"/>
              </w:rPr>
              <w:t>1,062,500</w:t>
            </w:r>
          </w:p>
        </w:tc>
        <w:tc>
          <w:tcPr>
            <w:tcW w:w="680" w:type="dxa"/>
            <w:vAlign w:val="bottom"/>
          </w:tcPr>
          <w:p>
            <w:pPr>
              <w:jc w:val="right"/>
              <w:spacing w:after="0"/>
              <w:rPr>
                <w:sz w:val="20"/>
                <w:szCs w:val="20"/>
                <w:color w:val="auto"/>
              </w:rPr>
            </w:pPr>
            <w:r>
              <w:rPr>
                <w:rFonts w:ascii="Arial" w:cs="Arial" w:eastAsia="Arial" w:hAnsi="Arial"/>
                <w:sz w:val="12"/>
                <w:szCs w:val="12"/>
                <w:color w:val="3E3935"/>
              </w:rPr>
              <w:t>2,125,000</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61,635</w:t>
            </w:r>
          </w:p>
        </w:tc>
        <w:tc>
          <w:tcPr>
            <w:tcW w:w="640" w:type="dxa"/>
            <w:vAlign w:val="bottom"/>
          </w:tcPr>
          <w:p>
            <w:pPr>
              <w:jc w:val="right"/>
              <w:spacing w:after="0"/>
              <w:rPr>
                <w:sz w:val="20"/>
                <w:szCs w:val="20"/>
                <w:color w:val="auto"/>
              </w:rPr>
            </w:pPr>
            <w:r>
              <w:rPr>
                <w:rFonts w:ascii="Arial" w:cs="Arial" w:eastAsia="Arial" w:hAnsi="Arial"/>
                <w:sz w:val="12"/>
                <w:szCs w:val="12"/>
                <w:color w:val="3E3935"/>
              </w:rPr>
              <w:t>52.16</w:t>
            </w:r>
          </w:p>
        </w:tc>
        <w:tc>
          <w:tcPr>
            <w:tcW w:w="840" w:type="dxa"/>
            <w:vAlign w:val="bottom"/>
          </w:tcPr>
          <w:p>
            <w:pPr>
              <w:jc w:val="right"/>
              <w:spacing w:after="0"/>
              <w:rPr>
                <w:sz w:val="20"/>
                <w:szCs w:val="20"/>
                <w:color w:val="auto"/>
              </w:rPr>
            </w:pPr>
            <w:r>
              <w:rPr>
                <w:rFonts w:ascii="Arial" w:cs="Arial" w:eastAsia="Arial" w:hAnsi="Arial"/>
                <w:sz w:val="12"/>
                <w:szCs w:val="12"/>
                <w:color w:val="3E3935"/>
              </w:rPr>
              <w:t>1,246,876</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17,929</w:t>
            </w:r>
          </w:p>
        </w:tc>
        <w:tc>
          <w:tcPr>
            <w:tcW w:w="660" w:type="dxa"/>
            <w:vAlign w:val="bottom"/>
          </w:tcPr>
          <w:p>
            <w:pPr>
              <w:jc w:val="right"/>
              <w:ind w:right="38"/>
              <w:spacing w:after="0"/>
              <w:rPr>
                <w:sz w:val="20"/>
                <w:szCs w:val="20"/>
                <w:color w:val="auto"/>
              </w:rPr>
            </w:pPr>
            <w:r>
              <w:rPr>
                <w:rFonts w:ascii="Arial" w:cs="Arial" w:eastAsia="Arial" w:hAnsi="Arial"/>
                <w:sz w:val="12"/>
                <w:szCs w:val="12"/>
                <w:color w:val="3E3935"/>
              </w:rPr>
              <w:t>71,715</w:t>
            </w:r>
          </w:p>
        </w:tc>
        <w:tc>
          <w:tcPr>
            <w:tcW w:w="640" w:type="dxa"/>
            <w:vAlign w:val="bottom"/>
          </w:tcPr>
          <w:p>
            <w:pPr>
              <w:jc w:val="right"/>
              <w:spacing w:after="0"/>
              <w:rPr>
                <w:sz w:val="20"/>
                <w:szCs w:val="20"/>
                <w:color w:val="auto"/>
              </w:rPr>
            </w:pPr>
            <w:r>
              <w:rPr>
                <w:rFonts w:ascii="Arial" w:cs="Arial" w:eastAsia="Arial" w:hAnsi="Arial"/>
                <w:sz w:val="12"/>
                <w:szCs w:val="12"/>
                <w:color w:val="3E3935"/>
              </w:rPr>
              <w:t>143,430</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4,617,717</w:t>
            </w:r>
          </w:p>
        </w:tc>
        <w:tc>
          <w:tcPr>
            <w:tcW w:w="0" w:type="dxa"/>
            <w:vAlign w:val="bottom"/>
          </w:tcPr>
          <w:p>
            <w:pPr>
              <w:spacing w:after="0"/>
              <w:rPr>
                <w:sz w:val="1"/>
                <w:szCs w:val="1"/>
                <w:color w:val="auto"/>
              </w:rPr>
            </w:pPr>
          </w:p>
        </w:tc>
      </w:tr>
      <w:tr>
        <w:trPr>
          <w:trHeight w:val="54"/>
        </w:trPr>
        <w:tc>
          <w:tcPr>
            <w:tcW w:w="15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80"/>
              <w:spacing w:after="0"/>
              <w:rPr>
                <w:sz w:val="20"/>
                <w:szCs w:val="20"/>
                <w:color w:val="auto"/>
              </w:rPr>
            </w:pPr>
            <w:r>
              <w:rPr>
                <w:rFonts w:ascii="Arial" w:cs="Arial" w:eastAsia="Arial" w:hAnsi="Arial"/>
                <w:sz w:val="12"/>
                <w:szCs w:val="12"/>
                <w:color w:val="3E3935"/>
              </w:rPr>
              <w:t>Stephen K. Carlisle</w:t>
            </w: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1/1/2021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jc w:val="right"/>
              <w:spacing w:after="0"/>
              <w:rPr>
                <w:sz w:val="20"/>
                <w:szCs w:val="20"/>
                <w:color w:val="auto"/>
              </w:rPr>
            </w:pPr>
            <w:r>
              <w:rPr>
                <w:rFonts w:ascii="Arial" w:cs="Arial" w:eastAsia="Arial" w:hAnsi="Arial"/>
                <w:sz w:val="12"/>
                <w:szCs w:val="12"/>
                <w:color w:val="3E3935"/>
              </w:rPr>
              <w:t>66,406</w:t>
            </w:r>
          </w:p>
        </w:tc>
        <w:tc>
          <w:tcPr>
            <w:tcW w:w="800" w:type="dxa"/>
            <w:vAlign w:val="bottom"/>
          </w:tcPr>
          <w:p>
            <w:pPr>
              <w:jc w:val="right"/>
              <w:ind w:right="38"/>
              <w:spacing w:after="0"/>
              <w:rPr>
                <w:sz w:val="20"/>
                <w:szCs w:val="20"/>
                <w:color w:val="auto"/>
              </w:rPr>
            </w:pPr>
            <w:r>
              <w:rPr>
                <w:rFonts w:ascii="Arial" w:cs="Arial" w:eastAsia="Arial" w:hAnsi="Arial"/>
                <w:sz w:val="12"/>
                <w:szCs w:val="12"/>
                <w:color w:val="3E3935"/>
              </w:rPr>
              <w:t>1,062,500</w:t>
            </w:r>
          </w:p>
        </w:tc>
        <w:tc>
          <w:tcPr>
            <w:tcW w:w="680" w:type="dxa"/>
            <w:vAlign w:val="bottom"/>
          </w:tcPr>
          <w:p>
            <w:pPr>
              <w:jc w:val="right"/>
              <w:spacing w:after="0"/>
              <w:rPr>
                <w:sz w:val="20"/>
                <w:szCs w:val="20"/>
                <w:color w:val="auto"/>
              </w:rPr>
            </w:pPr>
            <w:r>
              <w:rPr>
                <w:rFonts w:ascii="Arial" w:cs="Arial" w:eastAsia="Arial" w:hAnsi="Arial"/>
                <w:sz w:val="12"/>
                <w:szCs w:val="12"/>
                <w:color w:val="3E3935"/>
              </w:rPr>
              <w:t>2,125,000</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61,635</w:t>
            </w:r>
          </w:p>
        </w:tc>
        <w:tc>
          <w:tcPr>
            <w:tcW w:w="640" w:type="dxa"/>
            <w:vAlign w:val="bottom"/>
          </w:tcPr>
          <w:p>
            <w:pPr>
              <w:jc w:val="right"/>
              <w:spacing w:after="0"/>
              <w:rPr>
                <w:sz w:val="20"/>
                <w:szCs w:val="20"/>
                <w:color w:val="auto"/>
              </w:rPr>
            </w:pPr>
            <w:r>
              <w:rPr>
                <w:rFonts w:ascii="Arial" w:cs="Arial" w:eastAsia="Arial" w:hAnsi="Arial"/>
                <w:sz w:val="12"/>
                <w:szCs w:val="12"/>
                <w:color w:val="3E3935"/>
              </w:rPr>
              <w:t>52.16</w:t>
            </w:r>
          </w:p>
        </w:tc>
        <w:tc>
          <w:tcPr>
            <w:tcW w:w="840" w:type="dxa"/>
            <w:vAlign w:val="bottom"/>
          </w:tcPr>
          <w:p>
            <w:pPr>
              <w:jc w:val="right"/>
              <w:spacing w:after="0"/>
              <w:rPr>
                <w:sz w:val="20"/>
                <w:szCs w:val="20"/>
                <w:color w:val="auto"/>
              </w:rPr>
            </w:pPr>
            <w:r>
              <w:rPr>
                <w:rFonts w:ascii="Arial" w:cs="Arial" w:eastAsia="Arial" w:hAnsi="Arial"/>
                <w:sz w:val="12"/>
                <w:szCs w:val="12"/>
                <w:color w:val="3E3935"/>
              </w:rPr>
              <w:t>1,246,876</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3E3935"/>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3E3935"/>
              </w:rPr>
              <w:t>2/18/2021</w:t>
            </w:r>
          </w:p>
        </w:tc>
        <w:tc>
          <w:tcPr>
            <w:tcW w:w="680" w:type="dxa"/>
            <w:vAlign w:val="bottom"/>
          </w:tcPr>
          <w:p>
            <w:pPr>
              <w:jc w:val="right"/>
              <w:spacing w:after="0"/>
              <w:rPr>
                <w:sz w:val="20"/>
                <w:szCs w:val="20"/>
                <w:color w:val="auto"/>
              </w:rPr>
            </w:pPr>
            <w:r>
              <w:rPr>
                <w:rFonts w:ascii="Arial" w:cs="Arial" w:eastAsia="Arial" w:hAnsi="Arial"/>
                <w:sz w:val="12"/>
                <w:szCs w:val="12"/>
                <w:color w:val="3E3935"/>
              </w:rPr>
              <w:t>12/7/2020</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17,929</w:t>
            </w:r>
          </w:p>
        </w:tc>
        <w:tc>
          <w:tcPr>
            <w:tcW w:w="660" w:type="dxa"/>
            <w:vAlign w:val="bottom"/>
          </w:tcPr>
          <w:p>
            <w:pPr>
              <w:jc w:val="right"/>
              <w:ind w:right="38"/>
              <w:spacing w:after="0"/>
              <w:rPr>
                <w:sz w:val="20"/>
                <w:szCs w:val="20"/>
                <w:color w:val="auto"/>
              </w:rPr>
            </w:pPr>
            <w:r>
              <w:rPr>
                <w:rFonts w:ascii="Arial" w:cs="Arial" w:eastAsia="Arial" w:hAnsi="Arial"/>
                <w:sz w:val="12"/>
                <w:szCs w:val="12"/>
                <w:color w:val="3E3935"/>
              </w:rPr>
              <w:t>71,715</w:t>
            </w:r>
          </w:p>
        </w:tc>
        <w:tc>
          <w:tcPr>
            <w:tcW w:w="640" w:type="dxa"/>
            <w:vAlign w:val="bottom"/>
          </w:tcPr>
          <w:p>
            <w:pPr>
              <w:jc w:val="right"/>
              <w:spacing w:after="0"/>
              <w:rPr>
                <w:sz w:val="20"/>
                <w:szCs w:val="20"/>
                <w:color w:val="auto"/>
              </w:rPr>
            </w:pPr>
            <w:r>
              <w:rPr>
                <w:rFonts w:ascii="Arial" w:cs="Arial" w:eastAsia="Arial" w:hAnsi="Arial"/>
                <w:sz w:val="12"/>
                <w:szCs w:val="12"/>
                <w:color w:val="3E3935"/>
              </w:rPr>
              <w:t>143,430</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4,617,717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0" w:lineRule="exact"/>
        <w:rPr>
          <w:sz w:val="20"/>
          <w:szCs w:val="20"/>
          <w:color w:val="auto"/>
        </w:rPr>
      </w:pPr>
    </w:p>
    <w:p>
      <w:pPr>
        <w:jc w:val="both"/>
        <w:ind w:left="600" w:hanging="433"/>
        <w:spacing w:after="0" w:line="247" w:lineRule="auto"/>
        <w:tabs>
          <w:tab w:leader="none" w:pos="600" w:val="left"/>
        </w:tabs>
        <w:numPr>
          <w:ilvl w:val="0"/>
          <w:numId w:val="131"/>
        </w:numPr>
        <w:rPr>
          <w:rFonts w:ascii="Arial" w:cs="Arial" w:eastAsia="Arial" w:hAnsi="Arial"/>
          <w:sz w:val="18"/>
          <w:szCs w:val="18"/>
          <w:i w:val="1"/>
          <w:iCs w:val="1"/>
          <w:color w:val="3E3935"/>
        </w:rPr>
      </w:pPr>
      <w:r>
        <w:rPr>
          <w:rFonts w:ascii="Arial" w:cs="Arial" w:eastAsia="Arial" w:hAnsi="Arial"/>
          <w:sz w:val="18"/>
          <w:szCs w:val="18"/>
          <w:i w:val="1"/>
          <w:iCs w:val="1"/>
          <w:color w:val="3E3935"/>
        </w:rPr>
        <w:t>This column shows the aggregate grant date fair value of equity awards granted to the NEOs in 2021. The aggregate grant date fair value is the amount that the Company expects to expense in its financial statements over the vesting schedule. All grant date fair values have been computed in accordance with FASB ASC Topic 718.</w:t>
      </w:r>
    </w:p>
    <w:p>
      <w:pPr>
        <w:spacing w:after="0" w:line="117"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132"/>
        </w:numPr>
        <w:rPr>
          <w:rFonts w:ascii="Times New Roman" w:cs="Times New Roman" w:eastAsia="Times New Roman" w:hAnsi="Times New Roman"/>
          <w:sz w:val="21"/>
          <w:szCs w:val="21"/>
          <w:color w:val="0071CE"/>
        </w:rPr>
      </w:pPr>
      <w:r>
        <w:rPr>
          <w:rFonts w:ascii="Arial" w:cs="Arial" w:eastAsia="Arial" w:hAnsi="Arial"/>
          <w:sz w:val="25"/>
          <w:szCs w:val="25"/>
          <w:color w:val="3E3935"/>
        </w:rPr>
        <w:t>Outstanding Equity Awards at Fiscal Year-End</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2000" w:type="dxa"/>
            <w:vAlign w:val="bottom"/>
            <w:tcBorders>
              <w:top w:val="single" w:sz="8" w:color="00C1DE"/>
            </w:tcBorders>
          </w:tcPr>
          <w:p>
            <w:pPr>
              <w:spacing w:after="0"/>
              <w:rPr>
                <w:sz w:val="13"/>
                <w:szCs w:val="13"/>
                <w:color w:val="auto"/>
              </w:rPr>
            </w:pPr>
          </w:p>
        </w:tc>
        <w:tc>
          <w:tcPr>
            <w:tcW w:w="180" w:type="dxa"/>
            <w:vAlign w:val="bottom"/>
            <w:tcBorders>
              <w:top w:val="single" w:sz="8" w:color="00C1DE"/>
            </w:tcBorders>
          </w:tcPr>
          <w:p>
            <w:pPr>
              <w:spacing w:after="0"/>
              <w:rPr>
                <w:sz w:val="13"/>
                <w:szCs w:val="13"/>
                <w:color w:val="auto"/>
              </w:rPr>
            </w:pPr>
          </w:p>
        </w:tc>
        <w:tc>
          <w:tcPr>
            <w:tcW w:w="720" w:type="dxa"/>
            <w:vAlign w:val="bottom"/>
            <w:tcBorders>
              <w:top w:val="single" w:sz="8" w:color="00C1DE"/>
              <w:bottom w:val="single" w:sz="8" w:color="00C1DE"/>
            </w:tcBorders>
          </w:tcPr>
          <w:p>
            <w:pPr>
              <w:spacing w:after="0"/>
              <w:rPr>
                <w:sz w:val="13"/>
                <w:szCs w:val="13"/>
                <w:color w:val="auto"/>
              </w:rPr>
            </w:pPr>
          </w:p>
        </w:tc>
        <w:tc>
          <w:tcPr>
            <w:tcW w:w="940" w:type="dxa"/>
            <w:vAlign w:val="bottom"/>
            <w:tcBorders>
              <w:top w:val="single" w:sz="8" w:color="00C1DE"/>
              <w:bottom w:val="single" w:sz="8" w:color="00C1DE"/>
            </w:tcBorders>
          </w:tcPr>
          <w:p>
            <w:pPr>
              <w:spacing w:after="0"/>
              <w:rPr>
                <w:sz w:val="13"/>
                <w:szCs w:val="13"/>
                <w:color w:val="auto"/>
              </w:rPr>
            </w:pPr>
          </w:p>
        </w:tc>
        <w:tc>
          <w:tcPr>
            <w:tcW w:w="1260" w:type="dxa"/>
            <w:vAlign w:val="bottom"/>
            <w:tcBorders>
              <w:top w:val="single" w:sz="8" w:color="00C1DE"/>
              <w:bottom w:val="single" w:sz="8" w:color="00C1DE"/>
            </w:tcBorders>
          </w:tcPr>
          <w:p>
            <w:pPr>
              <w:jc w:val="right"/>
              <w:ind w:right="218"/>
              <w:spacing w:after="0"/>
              <w:rPr>
                <w:sz w:val="20"/>
                <w:szCs w:val="20"/>
                <w:color w:val="auto"/>
              </w:rPr>
            </w:pPr>
            <w:r>
              <w:rPr>
                <w:rFonts w:ascii="Arial" w:cs="Arial" w:eastAsia="Arial" w:hAnsi="Arial"/>
                <w:sz w:val="12"/>
                <w:szCs w:val="12"/>
                <w:b w:val="1"/>
                <w:bCs w:val="1"/>
                <w:color w:val="00C1DE"/>
              </w:rPr>
              <w:t>Option Awards</w:t>
            </w:r>
          </w:p>
        </w:tc>
        <w:tc>
          <w:tcPr>
            <w:tcW w:w="740" w:type="dxa"/>
            <w:vAlign w:val="bottom"/>
            <w:tcBorders>
              <w:top w:val="single" w:sz="8" w:color="00C1DE"/>
              <w:bottom w:val="single" w:sz="8" w:color="00C1DE"/>
            </w:tcBorders>
          </w:tcPr>
          <w:p>
            <w:pPr>
              <w:spacing w:after="0"/>
              <w:rPr>
                <w:sz w:val="13"/>
                <w:szCs w:val="13"/>
                <w:color w:val="auto"/>
              </w:rPr>
            </w:pPr>
          </w:p>
        </w:tc>
        <w:tc>
          <w:tcPr>
            <w:tcW w:w="760" w:type="dxa"/>
            <w:vAlign w:val="bottom"/>
            <w:tcBorders>
              <w:top w:val="single" w:sz="8" w:color="00C1DE"/>
              <w:bottom w:val="single" w:sz="8" w:color="00C1DE"/>
            </w:tcBorders>
          </w:tcPr>
          <w:p>
            <w:pPr>
              <w:spacing w:after="0"/>
              <w:rPr>
                <w:sz w:val="13"/>
                <w:szCs w:val="13"/>
                <w:color w:val="auto"/>
              </w:rPr>
            </w:pPr>
          </w:p>
        </w:tc>
        <w:tc>
          <w:tcPr>
            <w:tcW w:w="180" w:type="dxa"/>
            <w:vAlign w:val="bottom"/>
            <w:tcBorders>
              <w:top w:val="single" w:sz="8" w:color="00C1DE"/>
            </w:tcBorders>
          </w:tcPr>
          <w:p>
            <w:pPr>
              <w:spacing w:after="0"/>
              <w:rPr>
                <w:sz w:val="13"/>
                <w:szCs w:val="13"/>
                <w:color w:val="auto"/>
              </w:rPr>
            </w:pPr>
          </w:p>
        </w:tc>
        <w:tc>
          <w:tcPr>
            <w:tcW w:w="900" w:type="dxa"/>
            <w:vAlign w:val="bottom"/>
            <w:tcBorders>
              <w:top w:val="single" w:sz="8" w:color="00C1DE"/>
              <w:bottom w:val="single" w:sz="8" w:color="00C1DE"/>
            </w:tcBorders>
          </w:tcPr>
          <w:p>
            <w:pPr>
              <w:spacing w:after="0"/>
              <w:rPr>
                <w:sz w:val="13"/>
                <w:szCs w:val="13"/>
                <w:color w:val="auto"/>
              </w:rPr>
            </w:pPr>
          </w:p>
        </w:tc>
        <w:tc>
          <w:tcPr>
            <w:tcW w:w="2160" w:type="dxa"/>
            <w:vAlign w:val="bottom"/>
            <w:tcBorders>
              <w:top w:val="single" w:sz="8" w:color="00C1DE"/>
              <w:bottom w:val="single" w:sz="8" w:color="00C1DE"/>
            </w:tcBorders>
            <w:gridSpan w:val="2"/>
          </w:tcPr>
          <w:p>
            <w:pPr>
              <w:jc w:val="right"/>
              <w:ind w:right="538"/>
              <w:spacing w:after="0"/>
              <w:rPr>
                <w:sz w:val="20"/>
                <w:szCs w:val="20"/>
                <w:color w:val="auto"/>
              </w:rPr>
            </w:pPr>
            <w:r>
              <w:rPr>
                <w:rFonts w:ascii="Arial" w:cs="Arial" w:eastAsia="Arial" w:hAnsi="Arial"/>
                <w:sz w:val="12"/>
                <w:szCs w:val="12"/>
                <w:b w:val="1"/>
                <w:bCs w:val="1"/>
                <w:color w:val="00C1DE"/>
              </w:rPr>
              <w:t>Stock Awards</w:t>
            </w:r>
            <w:r>
              <w:rPr>
                <w:rFonts w:ascii="Arial" w:cs="Arial" w:eastAsia="Arial" w:hAnsi="Arial"/>
                <w:sz w:val="10"/>
                <w:szCs w:val="10"/>
                <w:b w:val="1"/>
                <w:bCs w:val="1"/>
                <w:color w:val="00C1DE"/>
              </w:rPr>
              <w:t>(1)</w:t>
            </w:r>
          </w:p>
        </w:tc>
        <w:tc>
          <w:tcPr>
            <w:tcW w:w="1080" w:type="dxa"/>
            <w:vAlign w:val="bottom"/>
            <w:tcBorders>
              <w:top w:val="single" w:sz="8" w:color="00C1DE"/>
              <w:bottom w:val="single" w:sz="8" w:color="00C1DE"/>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00C1DE"/>
              </w:rPr>
              <w:t>Equity</w:t>
            </w:r>
          </w:p>
        </w:tc>
        <w:tc>
          <w:tcPr>
            <w:tcW w:w="1080" w:type="dxa"/>
            <w:vAlign w:val="bottom"/>
          </w:tcPr>
          <w:p>
            <w:pPr>
              <w:jc w:val="right"/>
              <w:ind w:right="118"/>
              <w:spacing w:after="0" w:line="109" w:lineRule="exact"/>
              <w:rPr>
                <w:sz w:val="20"/>
                <w:szCs w:val="20"/>
                <w:color w:val="auto"/>
              </w:rPr>
            </w:pPr>
            <w:r>
              <w:rPr>
                <w:rFonts w:ascii="Arial" w:cs="Arial" w:eastAsia="Arial" w:hAnsi="Arial"/>
                <w:sz w:val="12"/>
                <w:szCs w:val="12"/>
                <w:b w:val="1"/>
                <w:bCs w:val="1"/>
                <w:color w:val="00C1DE"/>
              </w:rPr>
              <w:t>Equity</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Incentive</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Incentive</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Plan Awards:</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00C1DE"/>
              </w:rPr>
              <w:t>Number of</w:t>
            </w:r>
          </w:p>
        </w:tc>
        <w:tc>
          <w:tcPr>
            <w:tcW w:w="126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00C1DE"/>
              </w:rPr>
              <w:t>Number of</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00C1DE"/>
              </w:rPr>
              <w:t>Market</w:t>
            </w: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Plan Awards:</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Market or</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00C1DE"/>
              </w:rPr>
              <w:t>Number</w:t>
            </w:r>
          </w:p>
        </w:tc>
        <w:tc>
          <w:tcPr>
            <w:tcW w:w="880" w:type="dxa"/>
            <w:vAlign w:val="bottom"/>
            <w:vMerge w:val="continue"/>
          </w:tcPr>
          <w:p>
            <w:pPr>
              <w:spacing w:after="0"/>
              <w:rPr>
                <w:sz w:val="11"/>
                <w:szCs w:val="11"/>
                <w:color w:val="auto"/>
              </w:rPr>
            </w:pP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Number of</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Payout Value</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Securities</w:t>
            </w:r>
          </w:p>
        </w:tc>
        <w:tc>
          <w:tcPr>
            <w:tcW w:w="1260" w:type="dxa"/>
            <w:vAlign w:val="bottom"/>
          </w:tcPr>
          <w:p>
            <w:pPr>
              <w:jc w:val="right"/>
              <w:ind w:right="198"/>
              <w:spacing w:after="0" w:line="134" w:lineRule="exact"/>
              <w:rPr>
                <w:sz w:val="20"/>
                <w:szCs w:val="20"/>
                <w:color w:val="auto"/>
              </w:rPr>
            </w:pPr>
            <w:r>
              <w:rPr>
                <w:rFonts w:ascii="Arial" w:cs="Arial" w:eastAsia="Arial" w:hAnsi="Arial"/>
                <w:sz w:val="12"/>
                <w:szCs w:val="12"/>
                <w:b w:val="1"/>
                <w:bCs w:val="1"/>
                <w:color w:val="00C1DE"/>
              </w:rPr>
              <w:t>Securities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C1DE"/>
              </w:rPr>
              <w:t>Value of</w:t>
            </w: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Unearned</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of Unearned</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Underlying</w:t>
            </w:r>
          </w:p>
        </w:tc>
        <w:tc>
          <w:tcPr>
            <w:tcW w:w="1260" w:type="dxa"/>
            <w:vAlign w:val="bottom"/>
          </w:tcPr>
          <w:p>
            <w:pPr>
              <w:jc w:val="right"/>
              <w:ind w:right="198"/>
              <w:spacing w:after="0" w:line="134" w:lineRule="exact"/>
              <w:rPr>
                <w:sz w:val="20"/>
                <w:szCs w:val="20"/>
                <w:color w:val="auto"/>
              </w:rPr>
            </w:pPr>
            <w:r>
              <w:rPr>
                <w:rFonts w:ascii="Arial" w:cs="Arial" w:eastAsia="Arial" w:hAnsi="Arial"/>
                <w:sz w:val="12"/>
                <w:szCs w:val="12"/>
                <w:b w:val="1"/>
                <w:bCs w:val="1"/>
                <w:color w:val="00C1DE"/>
              </w:rPr>
              <w:t>Underlying</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C1DE"/>
              </w:rPr>
              <w:t>of Shares</w:t>
            </w:r>
          </w:p>
        </w:tc>
        <w:tc>
          <w:tcPr>
            <w:tcW w:w="88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C1DE"/>
              </w:rPr>
              <w:t>Shares or</w:t>
            </w: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Shares, Units,</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Shares, Units,</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Unexercised</w:t>
            </w:r>
          </w:p>
        </w:tc>
        <w:tc>
          <w:tcPr>
            <w:tcW w:w="1260" w:type="dxa"/>
            <w:vAlign w:val="bottom"/>
          </w:tcPr>
          <w:p>
            <w:pPr>
              <w:jc w:val="right"/>
              <w:ind w:right="198"/>
              <w:spacing w:after="0" w:line="134" w:lineRule="exact"/>
              <w:rPr>
                <w:sz w:val="20"/>
                <w:szCs w:val="20"/>
                <w:color w:val="auto"/>
              </w:rPr>
            </w:pPr>
            <w:r>
              <w:rPr>
                <w:rFonts w:ascii="Arial" w:cs="Arial" w:eastAsia="Arial" w:hAnsi="Arial"/>
                <w:sz w:val="12"/>
                <w:szCs w:val="12"/>
                <w:b w:val="1"/>
                <w:bCs w:val="1"/>
                <w:color w:val="00C1DE"/>
              </w:rPr>
              <w:t>Unexercised</w:t>
            </w:r>
          </w:p>
        </w:tc>
        <w:tc>
          <w:tcPr>
            <w:tcW w:w="7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00C1DE"/>
              </w:rPr>
              <w:t>Option</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00C1DE"/>
              </w:rPr>
              <w:t>Option</w:t>
            </w:r>
          </w:p>
        </w:tc>
        <w:tc>
          <w:tcPr>
            <w:tcW w:w="90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C1DE"/>
              </w:rPr>
              <w:t>or Units of</w:t>
            </w:r>
          </w:p>
        </w:tc>
        <w:tc>
          <w:tcPr>
            <w:tcW w:w="88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C1DE"/>
              </w:rPr>
              <w:t>Units of</w:t>
            </w: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or Other</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or Other</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00C1DE"/>
              </w:rPr>
              <w:t>Grant</w:t>
            </w: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Options</w:t>
            </w:r>
          </w:p>
        </w:tc>
        <w:tc>
          <w:tcPr>
            <w:tcW w:w="1260" w:type="dxa"/>
            <w:vAlign w:val="bottom"/>
          </w:tcPr>
          <w:p>
            <w:pPr>
              <w:jc w:val="right"/>
              <w:ind w:right="198"/>
              <w:spacing w:after="0" w:line="134" w:lineRule="exact"/>
              <w:rPr>
                <w:sz w:val="20"/>
                <w:szCs w:val="20"/>
                <w:color w:val="auto"/>
              </w:rPr>
            </w:pPr>
            <w:r>
              <w:rPr>
                <w:rFonts w:ascii="Arial" w:cs="Arial" w:eastAsia="Arial" w:hAnsi="Arial"/>
                <w:sz w:val="12"/>
                <w:szCs w:val="12"/>
                <w:b w:val="1"/>
                <w:bCs w:val="1"/>
                <w:color w:val="00C1DE"/>
              </w:rPr>
              <w:t>Options</w:t>
            </w:r>
          </w:p>
        </w:tc>
        <w:tc>
          <w:tcPr>
            <w:tcW w:w="74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0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C1DE"/>
              </w:rPr>
              <w:t>Stock That</w:t>
            </w:r>
          </w:p>
        </w:tc>
        <w:tc>
          <w:tcPr>
            <w:tcW w:w="88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C1DE"/>
              </w:rPr>
              <w:t>Stock That</w:t>
            </w: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Rights That</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Rights That</w:t>
            </w: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Exercisable</w:t>
            </w:r>
          </w:p>
        </w:tc>
        <w:tc>
          <w:tcPr>
            <w:tcW w:w="1260" w:type="dxa"/>
            <w:vAlign w:val="bottom"/>
          </w:tcPr>
          <w:p>
            <w:pPr>
              <w:jc w:val="right"/>
              <w:ind w:right="198"/>
              <w:spacing w:after="0" w:line="134" w:lineRule="exact"/>
              <w:rPr>
                <w:sz w:val="20"/>
                <w:szCs w:val="20"/>
                <w:color w:val="auto"/>
              </w:rPr>
            </w:pPr>
            <w:r>
              <w:rPr>
                <w:rFonts w:ascii="Arial" w:cs="Arial" w:eastAsia="Arial" w:hAnsi="Arial"/>
                <w:sz w:val="12"/>
                <w:szCs w:val="12"/>
                <w:b w:val="1"/>
                <w:bCs w:val="1"/>
                <w:color w:val="00C1DE"/>
              </w:rPr>
              <w:t>Unexercisable</w:t>
            </w:r>
          </w:p>
        </w:tc>
        <w:tc>
          <w:tcPr>
            <w:tcW w:w="74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C1DE"/>
              </w:rPr>
              <w:t>Exercise</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00C1DE"/>
              </w:rPr>
              <w:t>Expiration</w:t>
            </w:r>
          </w:p>
        </w:tc>
        <w:tc>
          <w:tcPr>
            <w:tcW w:w="90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C1DE"/>
              </w:rPr>
              <w:t>Have Not</w:t>
            </w:r>
          </w:p>
        </w:tc>
        <w:tc>
          <w:tcPr>
            <w:tcW w:w="88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C1DE"/>
              </w:rPr>
              <w:t>Have Not</w:t>
            </w:r>
          </w:p>
        </w:tc>
        <w:tc>
          <w:tcPr>
            <w:tcW w:w="128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0C1DE"/>
              </w:rPr>
              <w:t>Have Not</w:t>
            </w:r>
          </w:p>
        </w:tc>
        <w:tc>
          <w:tcPr>
            <w:tcW w:w="10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C1DE"/>
              </w:rPr>
              <w:t>Have Not</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00C1DE"/>
            </w:tcBorders>
          </w:tcPr>
          <w:p>
            <w:pPr>
              <w:ind w:left="80"/>
              <w:spacing w:after="0"/>
              <w:rPr>
                <w:sz w:val="20"/>
                <w:szCs w:val="20"/>
                <w:color w:val="auto"/>
              </w:rPr>
            </w:pPr>
            <w:r>
              <w:rPr>
                <w:rFonts w:ascii="Arial" w:cs="Arial" w:eastAsia="Arial" w:hAnsi="Arial"/>
                <w:sz w:val="12"/>
                <w:szCs w:val="12"/>
                <w:b w:val="1"/>
                <w:bCs w:val="1"/>
                <w:color w:val="00C1DE"/>
              </w:rPr>
              <w:t>Name</w:t>
            </w:r>
          </w:p>
        </w:tc>
        <w:tc>
          <w:tcPr>
            <w:tcW w:w="180" w:type="dxa"/>
            <w:vAlign w:val="bottom"/>
            <w:tcBorders>
              <w:bottom w:val="single" w:sz="8" w:color="00C1DE"/>
            </w:tcBorders>
          </w:tcPr>
          <w:p>
            <w:pPr>
              <w:spacing w:after="0"/>
              <w:rPr>
                <w:sz w:val="16"/>
                <w:szCs w:val="16"/>
                <w:color w:val="auto"/>
              </w:rPr>
            </w:pPr>
          </w:p>
        </w:tc>
        <w:tc>
          <w:tcPr>
            <w:tcW w:w="720" w:type="dxa"/>
            <w:vAlign w:val="bottom"/>
            <w:tcBorders>
              <w:bottom w:val="single" w:sz="8" w:color="00C1DE"/>
            </w:tcBorders>
          </w:tcPr>
          <w:p>
            <w:pPr>
              <w:jc w:val="right"/>
              <w:ind w:right="58"/>
              <w:spacing w:after="0"/>
              <w:rPr>
                <w:sz w:val="20"/>
                <w:szCs w:val="20"/>
                <w:color w:val="auto"/>
              </w:rPr>
            </w:pPr>
            <w:r>
              <w:rPr>
                <w:rFonts w:ascii="Arial" w:cs="Arial" w:eastAsia="Arial" w:hAnsi="Arial"/>
                <w:sz w:val="12"/>
                <w:szCs w:val="12"/>
                <w:b w:val="1"/>
                <w:bCs w:val="1"/>
                <w:color w:val="00C1DE"/>
              </w:rPr>
              <w:t>Date</w:t>
            </w:r>
          </w:p>
        </w:tc>
        <w:tc>
          <w:tcPr>
            <w:tcW w:w="94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w:t>
            </w:r>
          </w:p>
        </w:tc>
        <w:tc>
          <w:tcPr>
            <w:tcW w:w="1260" w:type="dxa"/>
            <w:vAlign w:val="bottom"/>
            <w:tcBorders>
              <w:bottom w:val="single" w:sz="8" w:color="00C1DE"/>
            </w:tcBorders>
          </w:tcPr>
          <w:p>
            <w:pPr>
              <w:jc w:val="right"/>
              <w:ind w:right="198"/>
              <w:spacing w:after="0"/>
              <w:rPr>
                <w:sz w:val="20"/>
                <w:szCs w:val="20"/>
                <w:color w:val="auto"/>
              </w:rPr>
            </w:pPr>
            <w:r>
              <w:rPr>
                <w:rFonts w:ascii="Arial" w:cs="Arial" w:eastAsia="Arial" w:hAnsi="Arial"/>
                <w:sz w:val="12"/>
                <w:szCs w:val="12"/>
                <w:b w:val="1"/>
                <w:bCs w:val="1"/>
                <w:color w:val="00C1DE"/>
              </w:rPr>
              <w:t>(#)</w:t>
            </w:r>
          </w:p>
        </w:tc>
        <w:tc>
          <w:tcPr>
            <w:tcW w:w="740" w:type="dxa"/>
            <w:vAlign w:val="bottom"/>
            <w:tcBorders>
              <w:bottom w:val="single" w:sz="8" w:color="00C1DE"/>
            </w:tcBorders>
          </w:tcPr>
          <w:p>
            <w:pPr>
              <w:jc w:val="right"/>
              <w:ind w:right="58"/>
              <w:spacing w:after="0"/>
              <w:rPr>
                <w:sz w:val="20"/>
                <w:szCs w:val="20"/>
                <w:color w:val="auto"/>
              </w:rPr>
            </w:pPr>
            <w:r>
              <w:rPr>
                <w:rFonts w:ascii="Arial" w:cs="Arial" w:eastAsia="Arial" w:hAnsi="Arial"/>
                <w:sz w:val="12"/>
                <w:szCs w:val="12"/>
                <w:b w:val="1"/>
                <w:bCs w:val="1"/>
                <w:color w:val="00C1DE"/>
              </w:rPr>
              <w:t>Price ($)</w:t>
            </w:r>
          </w:p>
        </w:tc>
        <w:tc>
          <w:tcPr>
            <w:tcW w:w="940" w:type="dxa"/>
            <w:vAlign w:val="bottom"/>
            <w:tcBorders>
              <w:bottom w:val="single" w:sz="8" w:color="00C1DE"/>
            </w:tcBorders>
            <w:gridSpan w:val="2"/>
          </w:tcPr>
          <w:p>
            <w:pPr>
              <w:jc w:val="right"/>
              <w:ind w:right="220"/>
              <w:spacing w:after="0"/>
              <w:rPr>
                <w:sz w:val="20"/>
                <w:szCs w:val="20"/>
                <w:color w:val="auto"/>
              </w:rPr>
            </w:pPr>
            <w:r>
              <w:rPr>
                <w:rFonts w:ascii="Arial" w:cs="Arial" w:eastAsia="Arial" w:hAnsi="Arial"/>
                <w:sz w:val="12"/>
                <w:szCs w:val="12"/>
                <w:b w:val="1"/>
                <w:bCs w:val="1"/>
                <w:color w:val="00C1DE"/>
              </w:rPr>
              <w:t>Date</w:t>
            </w:r>
          </w:p>
        </w:tc>
        <w:tc>
          <w:tcPr>
            <w:tcW w:w="900" w:type="dxa"/>
            <w:vAlign w:val="bottom"/>
            <w:tcBorders>
              <w:bottom w:val="single" w:sz="8" w:color="00C1DE"/>
            </w:tcBorders>
          </w:tcPr>
          <w:p>
            <w:pPr>
              <w:jc w:val="right"/>
              <w:ind w:right="178"/>
              <w:spacing w:after="0"/>
              <w:rPr>
                <w:sz w:val="20"/>
                <w:szCs w:val="20"/>
                <w:color w:val="auto"/>
              </w:rPr>
            </w:pPr>
            <w:r>
              <w:rPr>
                <w:rFonts w:ascii="Arial" w:cs="Arial" w:eastAsia="Arial" w:hAnsi="Arial"/>
                <w:sz w:val="12"/>
                <w:szCs w:val="12"/>
                <w:b w:val="1"/>
                <w:bCs w:val="1"/>
                <w:color w:val="00C1DE"/>
              </w:rPr>
              <w:t>Vested (#)</w:t>
            </w:r>
          </w:p>
        </w:tc>
        <w:tc>
          <w:tcPr>
            <w:tcW w:w="880" w:type="dxa"/>
            <w:vAlign w:val="bottom"/>
            <w:tcBorders>
              <w:bottom w:val="single" w:sz="8" w:color="00C1DE"/>
            </w:tcBorders>
          </w:tcPr>
          <w:p>
            <w:pPr>
              <w:jc w:val="right"/>
              <w:ind w:right="58"/>
              <w:spacing w:after="0"/>
              <w:rPr>
                <w:sz w:val="20"/>
                <w:szCs w:val="20"/>
                <w:color w:val="auto"/>
              </w:rPr>
            </w:pPr>
            <w:r>
              <w:rPr>
                <w:rFonts w:ascii="Arial" w:cs="Arial" w:eastAsia="Arial" w:hAnsi="Arial"/>
                <w:sz w:val="12"/>
                <w:szCs w:val="12"/>
                <w:b w:val="1"/>
                <w:bCs w:val="1"/>
                <w:color w:val="00C1DE"/>
              </w:rPr>
              <w:t>Vested ($)</w:t>
            </w:r>
          </w:p>
        </w:tc>
        <w:tc>
          <w:tcPr>
            <w:tcW w:w="1280" w:type="dxa"/>
            <w:vAlign w:val="bottom"/>
            <w:tcBorders>
              <w:bottom w:val="single" w:sz="8" w:color="00C1DE"/>
            </w:tcBorders>
          </w:tcPr>
          <w:p>
            <w:pPr>
              <w:jc w:val="right"/>
              <w:ind w:right="258"/>
              <w:spacing w:after="0"/>
              <w:rPr>
                <w:sz w:val="20"/>
                <w:szCs w:val="20"/>
                <w:color w:val="auto"/>
              </w:rPr>
            </w:pPr>
            <w:r>
              <w:rPr>
                <w:rFonts w:ascii="Arial" w:cs="Arial" w:eastAsia="Arial" w:hAnsi="Arial"/>
                <w:sz w:val="12"/>
                <w:szCs w:val="12"/>
                <w:b w:val="1"/>
                <w:bCs w:val="1"/>
                <w:color w:val="00C1DE"/>
              </w:rPr>
              <w:t>Vested (#)</w:t>
            </w:r>
          </w:p>
        </w:tc>
        <w:tc>
          <w:tcPr>
            <w:tcW w:w="1080" w:type="dxa"/>
            <w:vAlign w:val="bottom"/>
            <w:tcBorders>
              <w:bottom w:val="single" w:sz="8" w:color="00C1DE"/>
            </w:tcBorders>
          </w:tcPr>
          <w:p>
            <w:pPr>
              <w:jc w:val="right"/>
              <w:ind w:right="118"/>
              <w:spacing w:after="0"/>
              <w:rPr>
                <w:sz w:val="20"/>
                <w:szCs w:val="20"/>
                <w:color w:val="auto"/>
              </w:rPr>
            </w:pPr>
            <w:r>
              <w:rPr>
                <w:rFonts w:ascii="Arial" w:cs="Arial" w:eastAsia="Arial" w:hAnsi="Arial"/>
                <w:sz w:val="12"/>
                <w:szCs w:val="12"/>
                <w:b w:val="1"/>
                <w:bCs w:val="1"/>
                <w:color w:val="00C1DE"/>
              </w:rPr>
              <w:t>Vested ($)</w:t>
            </w:r>
          </w:p>
        </w:tc>
        <w:tc>
          <w:tcPr>
            <w:tcW w:w="0" w:type="dxa"/>
            <w:vAlign w:val="bottom"/>
          </w:tcPr>
          <w:p>
            <w:pPr>
              <w:spacing w:after="0"/>
              <w:rPr>
                <w:sz w:val="1"/>
                <w:szCs w:val="1"/>
                <w:color w:val="auto"/>
              </w:rPr>
            </w:pPr>
          </w:p>
        </w:tc>
      </w:tr>
      <w:tr>
        <w:trPr>
          <w:trHeight w:val="198"/>
        </w:trPr>
        <w:tc>
          <w:tcPr>
            <w:tcW w:w="2000" w:type="dxa"/>
            <w:vAlign w:val="bottom"/>
          </w:tcPr>
          <w:p>
            <w:pPr>
              <w:ind w:left="80"/>
              <w:spacing w:after="0"/>
              <w:rPr>
                <w:sz w:val="20"/>
                <w:szCs w:val="20"/>
                <w:color w:val="auto"/>
              </w:rPr>
            </w:pPr>
            <w:r>
              <w:rPr>
                <w:rFonts w:ascii="Arial" w:cs="Arial" w:eastAsia="Arial" w:hAnsi="Arial"/>
                <w:sz w:val="12"/>
                <w:szCs w:val="12"/>
                <w:color w:val="3E3935"/>
              </w:rPr>
              <w:t>Mary T. Barra</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2/18/2021</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194,637</w:t>
            </w:r>
            <w:r>
              <w:rPr>
                <w:rFonts w:ascii="Arial" w:cs="Arial" w:eastAsia="Arial" w:hAnsi="Arial"/>
                <w:sz w:val="10"/>
                <w:szCs w:val="10"/>
                <w:color w:val="3E3935"/>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52.16</w:t>
            </w:r>
          </w:p>
        </w:tc>
        <w:tc>
          <w:tcPr>
            <w:tcW w:w="760" w:type="dxa"/>
            <w:vAlign w:val="bottom"/>
          </w:tcPr>
          <w:p>
            <w:pPr>
              <w:jc w:val="right"/>
              <w:spacing w:after="0"/>
              <w:rPr>
                <w:sz w:val="20"/>
                <w:szCs w:val="20"/>
                <w:color w:val="auto"/>
              </w:rPr>
            </w:pPr>
            <w:r>
              <w:rPr>
                <w:rFonts w:ascii="Arial" w:cs="Arial" w:eastAsia="Arial" w:hAnsi="Arial"/>
                <w:sz w:val="12"/>
                <w:szCs w:val="12"/>
                <w:color w:val="3E3935"/>
              </w:rPr>
              <w:t>2/18/2031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226,467</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13,277,760</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248,016</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496,032</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316,991</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18,585,182</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313,334</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156,666</w:t>
            </w:r>
            <w:r>
              <w:rPr>
                <w:rFonts w:ascii="Arial" w:cs="Arial" w:eastAsia="Arial" w:hAnsi="Arial"/>
                <w:sz w:val="10"/>
                <w:szCs w:val="10"/>
                <w:color w:val="3E3935"/>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8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3E3935"/>
              </w:rPr>
              <w:t>504,347</w:t>
            </w:r>
            <w:r>
              <w:rPr>
                <w:rFonts w:ascii="Arial" w:cs="Arial" w:eastAsia="Arial" w:hAnsi="Arial"/>
                <w:sz w:val="10"/>
                <w:szCs w:val="10"/>
                <w:color w:val="3E3935"/>
              </w:rPr>
              <w:t>(5)</w:t>
            </w:r>
          </w:p>
        </w:tc>
        <w:tc>
          <w:tcPr>
            <w:tcW w:w="880" w:type="dxa"/>
            <w:vAlign w:val="bottom"/>
          </w:tcPr>
          <w:p>
            <w:pPr>
              <w:jc w:val="right"/>
              <w:ind w:right="58"/>
              <w:spacing w:after="0"/>
              <w:rPr>
                <w:sz w:val="20"/>
                <w:szCs w:val="20"/>
                <w:color w:val="auto"/>
              </w:rPr>
            </w:pPr>
            <w:r>
              <w:rPr>
                <w:rFonts w:ascii="Arial" w:cs="Arial" w:eastAsia="Arial" w:hAnsi="Arial"/>
                <w:sz w:val="12"/>
                <w:szCs w:val="12"/>
                <w:color w:val="3E3935"/>
              </w:rPr>
              <w:t>29,569,865</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0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80"/>
              <w:spacing w:after="0"/>
              <w:rPr>
                <w:sz w:val="20"/>
                <w:szCs w:val="20"/>
                <w:color w:val="auto"/>
              </w:rPr>
            </w:pPr>
            <w:r>
              <w:rPr>
                <w:rFonts w:ascii="Arial" w:cs="Arial" w:eastAsia="Arial" w:hAnsi="Arial"/>
                <w:sz w:val="12"/>
                <w:szCs w:val="12"/>
                <w:color w:val="3E3935"/>
              </w:rPr>
              <w:t>Paul A. Jacobson</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2/18/2021</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64,879</w:t>
            </w:r>
            <w:r>
              <w:rPr>
                <w:rFonts w:ascii="Arial" w:cs="Arial" w:eastAsia="Arial" w:hAnsi="Arial"/>
                <w:sz w:val="10"/>
                <w:szCs w:val="10"/>
                <w:color w:val="3E3935"/>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52.16</w:t>
            </w:r>
          </w:p>
        </w:tc>
        <w:tc>
          <w:tcPr>
            <w:tcW w:w="760" w:type="dxa"/>
            <w:vAlign w:val="bottom"/>
          </w:tcPr>
          <w:p>
            <w:pPr>
              <w:jc w:val="right"/>
              <w:spacing w:after="0"/>
              <w:rPr>
                <w:sz w:val="20"/>
                <w:szCs w:val="20"/>
                <w:color w:val="auto"/>
              </w:rPr>
            </w:pPr>
            <w:r>
              <w:rPr>
                <w:rFonts w:ascii="Arial" w:cs="Arial" w:eastAsia="Arial" w:hAnsi="Arial"/>
                <w:sz w:val="12"/>
                <w:szCs w:val="12"/>
                <w:color w:val="3E3935"/>
              </w:rPr>
              <w:t>2/18/2031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75,489</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4,425,920</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12/1/2020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12,654</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25,307</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44.68</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3E3935"/>
              </w:rPr>
              <w:t>55,954</w:t>
            </w:r>
            <w:r>
              <w:rPr>
                <w:rFonts w:ascii="Arial" w:cs="Arial" w:eastAsia="Arial" w:hAnsi="Arial"/>
                <w:sz w:val="10"/>
                <w:szCs w:val="10"/>
                <w:color w:val="3E3935"/>
              </w:rPr>
              <w:t>(6)</w:t>
            </w:r>
          </w:p>
        </w:tc>
        <w:tc>
          <w:tcPr>
            <w:tcW w:w="880" w:type="dxa"/>
            <w:vAlign w:val="bottom"/>
          </w:tcPr>
          <w:p>
            <w:pPr>
              <w:jc w:val="right"/>
              <w:ind w:right="58"/>
              <w:spacing w:after="0"/>
              <w:rPr>
                <w:sz w:val="20"/>
                <w:szCs w:val="20"/>
                <w:color w:val="auto"/>
              </w:rPr>
            </w:pPr>
            <w:r>
              <w:rPr>
                <w:rFonts w:ascii="Arial" w:cs="Arial" w:eastAsia="Arial" w:hAnsi="Arial"/>
                <w:sz w:val="12"/>
                <w:szCs w:val="12"/>
                <w:color w:val="3E3935"/>
              </w:rPr>
              <w:t>3,280,583</w:t>
            </w:r>
          </w:p>
        </w:tc>
        <w:tc>
          <w:tcPr>
            <w:tcW w:w="1280" w:type="dxa"/>
            <w:vAlign w:val="bottom"/>
          </w:tcPr>
          <w:p>
            <w:pPr>
              <w:jc w:val="right"/>
              <w:spacing w:after="0"/>
              <w:rPr>
                <w:sz w:val="20"/>
                <w:szCs w:val="20"/>
                <w:color w:val="auto"/>
              </w:rPr>
            </w:pPr>
            <w:r>
              <w:rPr>
                <w:rFonts w:ascii="Arial" w:cs="Arial" w:eastAsia="Arial" w:hAnsi="Arial"/>
                <w:sz w:val="12"/>
                <w:szCs w:val="12"/>
                <w:color w:val="3E3935"/>
              </w:rPr>
              <w:t>35,251</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2,066,766</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80"/>
              <w:spacing w:after="0"/>
              <w:rPr>
                <w:sz w:val="20"/>
                <w:szCs w:val="20"/>
                <w:color w:val="auto"/>
              </w:rPr>
            </w:pPr>
            <w:r>
              <w:rPr>
                <w:rFonts w:ascii="Arial" w:cs="Arial" w:eastAsia="Arial" w:hAnsi="Arial"/>
                <w:sz w:val="12"/>
                <w:szCs w:val="12"/>
                <w:color w:val="3E3935"/>
              </w:rPr>
              <w:t>Mark L. Reuss</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2/18/2021</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82,489</w:t>
            </w:r>
            <w:r>
              <w:rPr>
                <w:rFonts w:ascii="Arial" w:cs="Arial" w:eastAsia="Arial" w:hAnsi="Arial"/>
                <w:sz w:val="10"/>
                <w:szCs w:val="10"/>
                <w:color w:val="3E3935"/>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52.16</w:t>
            </w:r>
          </w:p>
        </w:tc>
        <w:tc>
          <w:tcPr>
            <w:tcW w:w="760" w:type="dxa"/>
            <w:vAlign w:val="bottom"/>
          </w:tcPr>
          <w:p>
            <w:pPr>
              <w:jc w:val="right"/>
              <w:spacing w:after="0"/>
              <w:rPr>
                <w:sz w:val="20"/>
                <w:szCs w:val="20"/>
                <w:color w:val="auto"/>
              </w:rPr>
            </w:pPr>
            <w:r>
              <w:rPr>
                <w:rFonts w:ascii="Arial" w:cs="Arial" w:eastAsia="Arial" w:hAnsi="Arial"/>
                <w:sz w:val="12"/>
                <w:szCs w:val="12"/>
                <w:color w:val="3E3935"/>
              </w:rPr>
              <w:t>2/18/2031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95,979</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5,627,249</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98,380</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196,759</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125,740</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7,372,136</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106,667</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53,333</w:t>
            </w:r>
            <w:r>
              <w:rPr>
                <w:rFonts w:ascii="Arial" w:cs="Arial" w:eastAsia="Arial" w:hAnsi="Arial"/>
                <w:sz w:val="10"/>
                <w:szCs w:val="10"/>
                <w:color w:val="3E3935"/>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8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3E3935"/>
              </w:rPr>
              <w:t>171,693</w:t>
            </w:r>
            <w:r>
              <w:rPr>
                <w:rFonts w:ascii="Arial" w:cs="Arial" w:eastAsia="Arial" w:hAnsi="Arial"/>
                <w:sz w:val="10"/>
                <w:szCs w:val="10"/>
                <w:color w:val="3E3935"/>
              </w:rPr>
              <w:t>(5)</w:t>
            </w:r>
          </w:p>
        </w:tc>
        <w:tc>
          <w:tcPr>
            <w:tcW w:w="880" w:type="dxa"/>
            <w:vAlign w:val="bottom"/>
          </w:tcPr>
          <w:p>
            <w:pPr>
              <w:jc w:val="right"/>
              <w:ind w:right="58"/>
              <w:spacing w:after="0"/>
              <w:rPr>
                <w:sz w:val="20"/>
                <w:szCs w:val="20"/>
                <w:color w:val="auto"/>
              </w:rPr>
            </w:pPr>
            <w:r>
              <w:rPr>
                <w:rFonts w:ascii="Arial" w:cs="Arial" w:eastAsia="Arial" w:hAnsi="Arial"/>
                <w:sz w:val="12"/>
                <w:szCs w:val="12"/>
                <w:color w:val="3E3935"/>
              </w:rPr>
              <w:t>10,066,361</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0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80"/>
              <w:spacing w:after="0"/>
              <w:rPr>
                <w:sz w:val="20"/>
                <w:szCs w:val="20"/>
                <w:color w:val="auto"/>
              </w:rPr>
            </w:pPr>
            <w:r>
              <w:rPr>
                <w:rFonts w:ascii="Arial" w:cs="Arial" w:eastAsia="Arial" w:hAnsi="Arial"/>
                <w:sz w:val="12"/>
                <w:szCs w:val="12"/>
                <w:color w:val="3E3935"/>
              </w:rPr>
              <w:t>Douglas L. Parks</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2/18/2021</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61,635</w:t>
            </w:r>
            <w:r>
              <w:rPr>
                <w:rFonts w:ascii="Arial" w:cs="Arial" w:eastAsia="Arial" w:hAnsi="Arial"/>
                <w:sz w:val="10"/>
                <w:szCs w:val="10"/>
                <w:color w:val="3E3935"/>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52.16</w:t>
            </w:r>
          </w:p>
        </w:tc>
        <w:tc>
          <w:tcPr>
            <w:tcW w:w="760" w:type="dxa"/>
            <w:vAlign w:val="bottom"/>
          </w:tcPr>
          <w:p>
            <w:pPr>
              <w:jc w:val="right"/>
              <w:spacing w:after="0"/>
              <w:rPr>
                <w:sz w:val="20"/>
                <w:szCs w:val="20"/>
                <w:color w:val="auto"/>
              </w:rPr>
            </w:pPr>
            <w:r>
              <w:rPr>
                <w:rFonts w:ascii="Arial" w:cs="Arial" w:eastAsia="Arial" w:hAnsi="Arial"/>
                <w:sz w:val="12"/>
                <w:szCs w:val="12"/>
                <w:color w:val="3E3935"/>
              </w:rPr>
              <w:t>2/18/2031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71,715</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4,204,650</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10/1/2020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11,139</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22,278</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30.38</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32,867</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1,926,992</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45,573</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91,144</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58,246</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3,414,963</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16,334</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8,166</w:t>
            </w:r>
            <w:r>
              <w:rPr>
                <w:rFonts w:ascii="Arial" w:cs="Arial" w:eastAsia="Arial" w:hAnsi="Arial"/>
                <w:sz w:val="10"/>
                <w:szCs w:val="10"/>
                <w:color w:val="3E3935"/>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8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3E3935"/>
              </w:rPr>
              <w:t>26,292</w:t>
            </w:r>
            <w:r>
              <w:rPr>
                <w:rFonts w:ascii="Arial" w:cs="Arial" w:eastAsia="Arial" w:hAnsi="Arial"/>
                <w:sz w:val="10"/>
                <w:szCs w:val="10"/>
                <w:color w:val="3E3935"/>
              </w:rPr>
              <w:t>(5)</w:t>
            </w:r>
          </w:p>
        </w:tc>
        <w:tc>
          <w:tcPr>
            <w:tcW w:w="880" w:type="dxa"/>
            <w:vAlign w:val="bottom"/>
          </w:tcPr>
          <w:p>
            <w:pPr>
              <w:jc w:val="right"/>
              <w:ind w:right="58"/>
              <w:spacing w:after="0"/>
              <w:rPr>
                <w:sz w:val="20"/>
                <w:szCs w:val="20"/>
                <w:color w:val="auto"/>
              </w:rPr>
            </w:pPr>
            <w:r>
              <w:rPr>
                <w:rFonts w:ascii="Arial" w:cs="Arial" w:eastAsia="Arial" w:hAnsi="Arial"/>
                <w:sz w:val="12"/>
                <w:szCs w:val="12"/>
                <w:color w:val="3E3935"/>
              </w:rPr>
              <w:t>1,541,500</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0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80"/>
              <w:spacing w:after="0"/>
              <w:rPr>
                <w:sz w:val="20"/>
                <w:szCs w:val="20"/>
                <w:color w:val="auto"/>
              </w:rPr>
            </w:pPr>
            <w:r>
              <w:rPr>
                <w:rFonts w:ascii="Arial" w:cs="Arial" w:eastAsia="Arial" w:hAnsi="Arial"/>
                <w:sz w:val="12"/>
                <w:szCs w:val="12"/>
                <w:color w:val="3E3935"/>
              </w:rPr>
              <w:t>Stephen K. Carlisle</w:t>
            </w: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2/18/2021</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61,635</w:t>
            </w:r>
            <w:r>
              <w:rPr>
                <w:rFonts w:ascii="Arial" w:cs="Arial" w:eastAsia="Arial" w:hAnsi="Arial"/>
                <w:sz w:val="10"/>
                <w:szCs w:val="10"/>
                <w:color w:val="3E3935"/>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52.16</w:t>
            </w:r>
          </w:p>
        </w:tc>
        <w:tc>
          <w:tcPr>
            <w:tcW w:w="760" w:type="dxa"/>
            <w:vAlign w:val="bottom"/>
          </w:tcPr>
          <w:p>
            <w:pPr>
              <w:jc w:val="right"/>
              <w:spacing w:after="0"/>
              <w:rPr>
                <w:sz w:val="20"/>
                <w:szCs w:val="20"/>
                <w:color w:val="auto"/>
              </w:rPr>
            </w:pPr>
            <w:r>
              <w:rPr>
                <w:rFonts w:ascii="Arial" w:cs="Arial" w:eastAsia="Arial" w:hAnsi="Arial"/>
                <w:sz w:val="12"/>
                <w:szCs w:val="12"/>
                <w:color w:val="3E3935"/>
              </w:rPr>
              <w:t>2/18/2031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71,715</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4,204,650</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12/1/2020</w:t>
            </w: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6,715</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393,700</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10/1/2020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33,049</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30.38</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48,758</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2,858,682</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50,430</w:t>
            </w:r>
            <w:r>
              <w:rPr>
                <w:rFonts w:ascii="Arial" w:cs="Arial" w:eastAsia="Arial" w:hAnsi="Arial"/>
                <w:sz w:val="10"/>
                <w:szCs w:val="10"/>
                <w:color w:val="3E3935"/>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3E3935"/>
              </w:rPr>
              <w:t>32,228</w:t>
            </w:r>
            <w:r>
              <w:rPr>
                <w:rFonts w:ascii="Arial" w:cs="Arial" w:eastAsia="Arial" w:hAnsi="Arial"/>
                <w:sz w:val="10"/>
                <w:szCs w:val="10"/>
                <w:color w:val="3E3935"/>
              </w:rPr>
              <w:t>(7)(8)</w:t>
            </w:r>
          </w:p>
        </w:tc>
        <w:tc>
          <w:tcPr>
            <w:tcW w:w="1080" w:type="dxa"/>
            <w:vAlign w:val="bottom"/>
          </w:tcPr>
          <w:p>
            <w:pPr>
              <w:jc w:val="right"/>
              <w:spacing w:after="0"/>
              <w:rPr>
                <w:sz w:val="20"/>
                <w:szCs w:val="20"/>
                <w:color w:val="auto"/>
              </w:rPr>
            </w:pPr>
            <w:r>
              <w:rPr>
                <w:rFonts w:ascii="Arial" w:cs="Arial" w:eastAsia="Arial" w:hAnsi="Arial"/>
                <w:sz w:val="12"/>
                <w:szCs w:val="12"/>
                <w:color w:val="3E3935"/>
              </w:rPr>
              <w:t>1,889,528</w:t>
            </w:r>
            <w:r>
              <w:rPr>
                <w:rFonts w:ascii="Arial" w:cs="Arial" w:eastAsia="Arial" w:hAnsi="Arial"/>
                <w:sz w:val="10"/>
                <w:szCs w:val="10"/>
                <w:color w:val="3E3935"/>
              </w:rPr>
              <w:t>(8)</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180" w:type="dxa"/>
            <w:vAlign w:val="bottom"/>
            <w:tcBorders>
              <w:bottom w:val="single" w:sz="8" w:color="3E3935"/>
            </w:tcBorders>
          </w:tcPr>
          <w:p>
            <w:pPr>
              <w:spacing w:after="0"/>
              <w:rPr>
                <w:sz w:val="4"/>
                <w:szCs w:val="4"/>
                <w:color w:val="auto"/>
              </w:rPr>
            </w:pPr>
          </w:p>
        </w:tc>
        <w:tc>
          <w:tcPr>
            <w:tcW w:w="90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1280" w:type="dxa"/>
            <w:vAlign w:val="bottom"/>
            <w:tcBorders>
              <w:bottom w:val="single" w:sz="8" w:color="3E3935"/>
            </w:tcBorders>
          </w:tcPr>
          <w:p>
            <w:pPr>
              <w:spacing w:after="0"/>
              <w:rPr>
                <w:sz w:val="4"/>
                <w:szCs w:val="4"/>
                <w:color w:val="auto"/>
              </w:rPr>
            </w:pPr>
          </w:p>
        </w:tc>
        <w:tc>
          <w:tcPr>
            <w:tcW w:w="10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00" w:type="dxa"/>
            <w:vAlign w:val="bottom"/>
            <w:gridSpan w:val="2"/>
          </w:tcPr>
          <w:p>
            <w:pPr>
              <w:jc w:val="right"/>
              <w:ind w:right="5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3E3935"/>
              </w:rPr>
              <w:t>—</w:t>
            </w:r>
          </w:p>
        </w:tc>
        <w:tc>
          <w:tcPr>
            <w:tcW w:w="1260" w:type="dxa"/>
            <w:vAlign w:val="bottom"/>
          </w:tcPr>
          <w:p>
            <w:pPr>
              <w:jc w:val="right"/>
              <w:ind w:right="58"/>
              <w:spacing w:after="0"/>
              <w:rPr>
                <w:sz w:val="20"/>
                <w:szCs w:val="20"/>
                <w:color w:val="auto"/>
              </w:rPr>
            </w:pPr>
            <w:r>
              <w:rPr>
                <w:rFonts w:ascii="Arial" w:cs="Arial" w:eastAsia="Arial" w:hAnsi="Arial"/>
                <w:sz w:val="12"/>
                <w:szCs w:val="12"/>
                <w:color w:val="3E3935"/>
              </w:rPr>
              <w:t>15,278</w:t>
            </w:r>
            <w:r>
              <w:rPr>
                <w:rFonts w:ascii="Arial" w:cs="Arial" w:eastAsia="Arial" w:hAnsi="Arial"/>
                <w:sz w:val="10"/>
                <w:szCs w:val="10"/>
                <w:color w:val="3E3935"/>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80" w:type="dxa"/>
            <w:vAlign w:val="bottom"/>
          </w:tcPr>
          <w:p>
            <w:pPr>
              <w:spacing w:after="0"/>
              <w:rPr>
                <w:sz w:val="16"/>
                <w:szCs w:val="16"/>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3E3935"/>
              </w:rPr>
              <w:t>49,184</w:t>
            </w:r>
            <w:r>
              <w:rPr>
                <w:rFonts w:ascii="Arial" w:cs="Arial" w:eastAsia="Arial" w:hAnsi="Arial"/>
                <w:sz w:val="10"/>
                <w:szCs w:val="10"/>
                <w:color w:val="3E3935"/>
              </w:rPr>
              <w:t>(5)</w:t>
            </w:r>
          </w:p>
        </w:tc>
        <w:tc>
          <w:tcPr>
            <w:tcW w:w="880" w:type="dxa"/>
            <w:vAlign w:val="bottom"/>
          </w:tcPr>
          <w:p>
            <w:pPr>
              <w:jc w:val="right"/>
              <w:ind w:right="58"/>
              <w:spacing w:after="0"/>
              <w:rPr>
                <w:sz w:val="20"/>
                <w:szCs w:val="20"/>
                <w:color w:val="auto"/>
              </w:rPr>
            </w:pPr>
            <w:r>
              <w:rPr>
                <w:rFonts w:ascii="Arial" w:cs="Arial" w:eastAsia="Arial" w:hAnsi="Arial"/>
                <w:sz w:val="12"/>
                <w:szCs w:val="12"/>
                <w:color w:val="3E3935"/>
              </w:rPr>
              <w:t>2,883,658</w:t>
            </w: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0" w:lineRule="exact"/>
        <w:rPr>
          <w:sz w:val="20"/>
          <w:szCs w:val="20"/>
          <w:color w:val="auto"/>
        </w:rPr>
      </w:pPr>
    </w:p>
    <w:p>
      <w:pPr>
        <w:ind w:left="600" w:hanging="433"/>
        <w:spacing w:after="0"/>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The awards are valued based on the closing price of GM common stock on the NYSE on December 31, 2021, which was $58.63.</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18, 2021, vest ratably each February 18 of 2022, 2023, and 2024.</w:t>
      </w:r>
    </w:p>
    <w:p>
      <w:pPr>
        <w:spacing w:after="0" w:line="73"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12, 2020, October 1, 2020, and December 1, 2020, vest ratably each February 12 of 2021, 2022, and 2023.</w:t>
      </w:r>
    </w:p>
    <w:p>
      <w:pPr>
        <w:spacing w:after="0" w:line="2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13, 2019, vest ratably each February 13 of 2020, 2021, and 2022.</w:t>
      </w:r>
    </w:p>
    <w:p>
      <w:pPr>
        <w:spacing w:after="0" w:line="73" w:lineRule="exact"/>
        <w:rPr>
          <w:rFonts w:ascii="Arial" w:cs="Arial" w:eastAsia="Arial" w:hAnsi="Arial"/>
          <w:sz w:val="18"/>
          <w:szCs w:val="18"/>
          <w:i w:val="1"/>
          <w:iCs w:val="1"/>
          <w:color w:val="3E3935"/>
        </w:rPr>
      </w:pPr>
    </w:p>
    <w:p>
      <w:pPr>
        <w:jc w:val="both"/>
        <w:ind w:left="600" w:hanging="433"/>
        <w:spacing w:after="0" w:line="247" w:lineRule="auto"/>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2019-2021 PSU awards granted on February 13, 2019, cliff-vested on February 13, 2022, upon determination of results for the performance period January 1, 2019–December 31, 2021. The final performance of the 2019–2021 PSU award was 186% and is discussed on page 60 of this Proxy Statement.</w:t>
      </w:r>
    </w:p>
    <w:p>
      <w:pPr>
        <w:spacing w:after="0" w:line="4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RSU awards granted to Mr. Jacobson on December 1, 2020, vest ratably each December 1 of 2022 and 2023.</w:t>
      </w:r>
    </w:p>
    <w:p>
      <w:pPr>
        <w:spacing w:after="0" w:line="73"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2021-2023 PSU awards granted on February 18, 2021, cliff-vest on February 18, 2024, upon determination of results for the performance period January 1, 2021–December 31, 2023. 2020-2022 PSU awards granted on February 12, 2020, October 1, 2020, and December 1, 2020, cliff-vest on February 12, 2023, upon determination of results for the performance period January 1, 2020– December 31, 2022.</w:t>
      </w:r>
    </w:p>
    <w:p>
      <w:pPr>
        <w:spacing w:after="0" w:line="47" w:lineRule="exact"/>
        <w:rPr>
          <w:rFonts w:ascii="Arial" w:cs="Arial" w:eastAsia="Arial" w:hAnsi="Arial"/>
          <w:sz w:val="18"/>
          <w:szCs w:val="18"/>
          <w:i w:val="1"/>
          <w:iCs w:val="1"/>
          <w:color w:val="3E3935"/>
        </w:rPr>
      </w:pPr>
    </w:p>
    <w:p>
      <w:pPr>
        <w:jc w:val="both"/>
        <w:ind w:left="600" w:hanging="433"/>
        <w:spacing w:after="0" w:line="236" w:lineRule="auto"/>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Assumes target-level payout of PSU awards. The number of shares (and market value of such shares) for maximum-level payout with respect to unvested 2021–2023 PSUs granted on February 18, 2021, outstanding as of December 31, 2021, for Ms. Barra is 452,934 ($26,555,520); for Mr. Jacobson is 150,978 ($8,851,840); Mr. Reuss is 191,958 ($11,254,498); for Mr. Parks is 143,430 ($8,409,301); and for Mr. Carlisle is 143,430 ($8,409,301). The number of shares (and market value of such shares) for maximum-level payout with respect to unvested 2020–2022 PSUs granted on February 12, 2020, outstanding as of December 31, 2021, for Ms. Barra is 633,982 ($37,170,365); for Mr. Reuss is 251,480 ($14,744,272); for Mr. Parks is 116,492 ($6,829,926); and for Mr. Carlisle is 64,456 ($3,779,055). The number of shares (and market value of such shares) for maximum-level payout with respect to unvested 2020–2022 PSUs granted on October 1, 2020, outstanding as of December 31, 2021, for Mr. Parks is 65,734 ($3,853,984) and for Mr. Carlisle is 97,516 ($5,717,363). The number of shares (and market value of such shares) for maximum-level payout with respect to unvested 2020–2022 PSUs granted on December 1, 2020, outstanding as of December 31, 2021, for Mr. Jacobson is 70,502 ($4,133,532) and for Mr. Carlisle is 13,430 ($787,401).</w:t>
      </w:r>
    </w:p>
    <w:p>
      <w:pPr>
        <w:spacing w:after="0" w:line="12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134"/>
        </w:numPr>
        <w:rPr>
          <w:rFonts w:ascii="Times New Roman" w:cs="Times New Roman" w:eastAsia="Times New Roman" w:hAnsi="Times New Roman"/>
          <w:sz w:val="21"/>
          <w:szCs w:val="21"/>
          <w:color w:val="0071CE"/>
        </w:rPr>
      </w:pPr>
      <w:r>
        <w:rPr>
          <w:rFonts w:ascii="Arial" w:cs="Arial" w:eastAsia="Arial" w:hAnsi="Arial"/>
          <w:sz w:val="25"/>
          <w:szCs w:val="25"/>
          <w:color w:val="3E3935"/>
        </w:rPr>
        <w:t>Option Exercises and Stock Vested</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280" w:type="dxa"/>
            <w:vAlign w:val="bottom"/>
            <w:tcBorders>
              <w:top w:val="single" w:sz="8" w:color="00C1DE"/>
            </w:tcBorders>
          </w:tcPr>
          <w:p>
            <w:pPr>
              <w:spacing w:after="0"/>
              <w:rPr>
                <w:sz w:val="20"/>
                <w:szCs w:val="20"/>
                <w:color w:val="auto"/>
              </w:rPr>
            </w:pPr>
          </w:p>
        </w:tc>
        <w:tc>
          <w:tcPr>
            <w:tcW w:w="4460" w:type="dxa"/>
            <w:vAlign w:val="bottom"/>
            <w:tcBorders>
              <w:top w:val="single" w:sz="8" w:color="00C1DE"/>
            </w:tcBorders>
            <w:gridSpan w:val="3"/>
          </w:tcPr>
          <w:p>
            <w:pPr>
              <w:ind w:left="1160"/>
              <w:spacing w:after="0"/>
              <w:rPr>
                <w:sz w:val="20"/>
                <w:szCs w:val="20"/>
                <w:color w:val="auto"/>
              </w:rPr>
            </w:pPr>
            <w:r>
              <w:rPr>
                <w:rFonts w:ascii="Arial" w:cs="Arial" w:eastAsia="Arial" w:hAnsi="Arial"/>
                <w:sz w:val="20"/>
                <w:szCs w:val="20"/>
                <w:b w:val="1"/>
                <w:bCs w:val="1"/>
                <w:color w:val="00C1DE"/>
              </w:rPr>
              <w:t>Option Awards</w:t>
            </w:r>
            <w:r>
              <w:rPr>
                <w:rFonts w:ascii="Arial" w:cs="Arial" w:eastAsia="Arial" w:hAnsi="Arial"/>
                <w:sz w:val="16"/>
                <w:szCs w:val="16"/>
                <w:b w:val="1"/>
                <w:bCs w:val="1"/>
                <w:color w:val="00C1DE"/>
              </w:rPr>
              <w:t>(1)</w:t>
            </w:r>
          </w:p>
        </w:tc>
        <w:tc>
          <w:tcPr>
            <w:tcW w:w="4180" w:type="dxa"/>
            <w:vAlign w:val="bottom"/>
            <w:tcBorders>
              <w:top w:val="single" w:sz="8" w:color="00C1DE"/>
            </w:tcBorders>
            <w:gridSpan w:val="2"/>
          </w:tcPr>
          <w:p>
            <w:pPr>
              <w:jc w:val="right"/>
              <w:ind w:right="1282"/>
              <w:spacing w:after="0"/>
              <w:rPr>
                <w:sz w:val="20"/>
                <w:szCs w:val="20"/>
                <w:color w:val="auto"/>
              </w:rPr>
            </w:pPr>
            <w:r>
              <w:rPr>
                <w:rFonts w:ascii="Arial" w:cs="Arial" w:eastAsia="Arial" w:hAnsi="Arial"/>
                <w:sz w:val="20"/>
                <w:szCs w:val="20"/>
                <w:b w:val="1"/>
                <w:bCs w:val="1"/>
                <w:color w:val="00C1DE"/>
              </w:rPr>
              <w:t>Stock Awards</w:t>
            </w:r>
            <w:r>
              <w:rPr>
                <w:rFonts w:ascii="Arial" w:cs="Arial" w:eastAsia="Arial" w:hAnsi="Arial"/>
                <w:sz w:val="16"/>
                <w:szCs w:val="16"/>
                <w:b w:val="1"/>
                <w:bCs w:val="1"/>
                <w:color w:val="00C1DE"/>
              </w:rPr>
              <w:t>(2)</w:t>
            </w:r>
          </w:p>
        </w:tc>
      </w:tr>
      <w:tr>
        <w:trPr>
          <w:trHeight w:val="184"/>
        </w:trPr>
        <w:tc>
          <w:tcPr>
            <w:tcW w:w="2280" w:type="dxa"/>
            <w:vAlign w:val="bottom"/>
          </w:tcPr>
          <w:p>
            <w:pPr>
              <w:spacing w:after="0"/>
              <w:rPr>
                <w:sz w:val="15"/>
                <w:szCs w:val="15"/>
                <w:color w:val="auto"/>
              </w:rPr>
            </w:pPr>
          </w:p>
        </w:tc>
        <w:tc>
          <w:tcPr>
            <w:tcW w:w="1980" w:type="dxa"/>
            <w:vAlign w:val="bottom"/>
            <w:tcBorders>
              <w:top w:val="single" w:sz="8" w:color="00C1DE"/>
            </w:tcBorders>
          </w:tcPr>
          <w:p>
            <w:pPr>
              <w:jc w:val="right"/>
              <w:ind w:right="182"/>
              <w:spacing w:after="0" w:line="184" w:lineRule="exact"/>
              <w:rPr>
                <w:sz w:val="20"/>
                <w:szCs w:val="20"/>
                <w:color w:val="auto"/>
              </w:rPr>
            </w:pPr>
            <w:r>
              <w:rPr>
                <w:rFonts w:ascii="Arial" w:cs="Arial" w:eastAsia="Arial" w:hAnsi="Arial"/>
                <w:sz w:val="20"/>
                <w:szCs w:val="20"/>
                <w:b w:val="1"/>
                <w:bCs w:val="1"/>
                <w:color w:val="00C1DE"/>
                <w:w w:val="97"/>
              </w:rPr>
              <w:t>Number of Shares</w:t>
            </w:r>
          </w:p>
        </w:tc>
        <w:tc>
          <w:tcPr>
            <w:tcW w:w="2000" w:type="dxa"/>
            <w:vAlign w:val="bottom"/>
            <w:tcBorders>
              <w:top w:val="single" w:sz="8" w:color="00C1DE"/>
            </w:tcBorders>
          </w:tcPr>
          <w:p>
            <w:pPr>
              <w:jc w:val="right"/>
              <w:spacing w:after="0" w:line="184" w:lineRule="exact"/>
              <w:rPr>
                <w:sz w:val="20"/>
                <w:szCs w:val="20"/>
                <w:color w:val="auto"/>
              </w:rPr>
            </w:pPr>
            <w:r>
              <w:rPr>
                <w:rFonts w:ascii="Arial" w:cs="Arial" w:eastAsia="Arial" w:hAnsi="Arial"/>
                <w:sz w:val="20"/>
                <w:szCs w:val="20"/>
                <w:b w:val="1"/>
                <w:bCs w:val="1"/>
                <w:color w:val="00C1DE"/>
              </w:rPr>
              <w:t>Value Realized on</w:t>
            </w:r>
          </w:p>
        </w:tc>
        <w:tc>
          <w:tcPr>
            <w:tcW w:w="480" w:type="dxa"/>
            <w:vAlign w:val="bottom"/>
          </w:tcPr>
          <w:p>
            <w:pPr>
              <w:spacing w:after="0"/>
              <w:rPr>
                <w:sz w:val="15"/>
                <w:szCs w:val="15"/>
                <w:color w:val="auto"/>
              </w:rPr>
            </w:pPr>
          </w:p>
        </w:tc>
        <w:tc>
          <w:tcPr>
            <w:tcW w:w="2180" w:type="dxa"/>
            <w:vAlign w:val="bottom"/>
            <w:tcBorders>
              <w:top w:val="single" w:sz="8" w:color="00C1DE"/>
            </w:tcBorders>
          </w:tcPr>
          <w:p>
            <w:pPr>
              <w:jc w:val="right"/>
              <w:ind w:right="182"/>
              <w:spacing w:after="0" w:line="184" w:lineRule="exact"/>
              <w:rPr>
                <w:sz w:val="20"/>
                <w:szCs w:val="20"/>
                <w:color w:val="auto"/>
              </w:rPr>
            </w:pPr>
            <w:r>
              <w:rPr>
                <w:rFonts w:ascii="Arial" w:cs="Arial" w:eastAsia="Arial" w:hAnsi="Arial"/>
                <w:sz w:val="20"/>
                <w:szCs w:val="20"/>
                <w:b w:val="1"/>
                <w:bCs w:val="1"/>
                <w:color w:val="00C1DE"/>
              </w:rPr>
              <w:t>Number of Shares</w:t>
            </w:r>
          </w:p>
        </w:tc>
        <w:tc>
          <w:tcPr>
            <w:tcW w:w="2000" w:type="dxa"/>
            <w:vAlign w:val="bottom"/>
            <w:tcBorders>
              <w:top w:val="single" w:sz="8" w:color="00C1DE"/>
            </w:tcBorders>
          </w:tcPr>
          <w:p>
            <w:pPr>
              <w:jc w:val="right"/>
              <w:spacing w:after="0" w:line="184" w:lineRule="exact"/>
              <w:rPr>
                <w:sz w:val="20"/>
                <w:szCs w:val="20"/>
                <w:color w:val="auto"/>
              </w:rPr>
            </w:pPr>
            <w:r>
              <w:rPr>
                <w:rFonts w:ascii="Arial" w:cs="Arial" w:eastAsia="Arial" w:hAnsi="Arial"/>
                <w:sz w:val="20"/>
                <w:szCs w:val="20"/>
                <w:b w:val="1"/>
                <w:bCs w:val="1"/>
                <w:color w:val="00C1DE"/>
              </w:rPr>
              <w:t>Value Realized on</w:t>
            </w:r>
          </w:p>
        </w:tc>
      </w:tr>
      <w:tr>
        <w:trPr>
          <w:trHeight w:val="214"/>
        </w:trPr>
        <w:tc>
          <w:tcPr>
            <w:tcW w:w="2280" w:type="dxa"/>
            <w:vAlign w:val="bottom"/>
          </w:tcPr>
          <w:p>
            <w:pPr>
              <w:spacing w:after="0"/>
              <w:rPr>
                <w:sz w:val="18"/>
                <w:szCs w:val="18"/>
                <w:color w:val="auto"/>
              </w:rPr>
            </w:pPr>
          </w:p>
        </w:tc>
        <w:tc>
          <w:tcPr>
            <w:tcW w:w="1980" w:type="dxa"/>
            <w:vAlign w:val="bottom"/>
          </w:tcPr>
          <w:p>
            <w:pPr>
              <w:jc w:val="right"/>
              <w:ind w:right="182"/>
              <w:spacing w:after="0" w:line="214" w:lineRule="exact"/>
              <w:rPr>
                <w:sz w:val="20"/>
                <w:szCs w:val="20"/>
                <w:color w:val="auto"/>
              </w:rPr>
            </w:pPr>
            <w:r>
              <w:rPr>
                <w:rFonts w:ascii="Arial" w:cs="Arial" w:eastAsia="Arial" w:hAnsi="Arial"/>
                <w:sz w:val="20"/>
                <w:szCs w:val="20"/>
                <w:b w:val="1"/>
                <w:bCs w:val="1"/>
                <w:color w:val="00C1DE"/>
              </w:rPr>
              <w:t>Acquired on</w:t>
            </w:r>
          </w:p>
        </w:tc>
        <w:tc>
          <w:tcPr>
            <w:tcW w:w="2480" w:type="dxa"/>
            <w:vAlign w:val="bottom"/>
            <w:gridSpan w:val="2"/>
          </w:tcPr>
          <w:p>
            <w:pPr>
              <w:jc w:val="right"/>
              <w:ind w:right="560"/>
              <w:spacing w:after="0" w:line="214" w:lineRule="exact"/>
              <w:rPr>
                <w:sz w:val="20"/>
                <w:szCs w:val="20"/>
                <w:color w:val="auto"/>
              </w:rPr>
            </w:pPr>
            <w:r>
              <w:rPr>
                <w:rFonts w:ascii="Arial" w:cs="Arial" w:eastAsia="Arial" w:hAnsi="Arial"/>
                <w:sz w:val="20"/>
                <w:szCs w:val="20"/>
                <w:b w:val="1"/>
                <w:bCs w:val="1"/>
                <w:color w:val="00C1DE"/>
              </w:rPr>
              <w:t>Exercise</w:t>
            </w:r>
          </w:p>
        </w:tc>
        <w:tc>
          <w:tcPr>
            <w:tcW w:w="2180" w:type="dxa"/>
            <w:vAlign w:val="bottom"/>
          </w:tcPr>
          <w:p>
            <w:pPr>
              <w:jc w:val="right"/>
              <w:ind w:right="182"/>
              <w:spacing w:after="0" w:line="214" w:lineRule="exact"/>
              <w:rPr>
                <w:sz w:val="20"/>
                <w:szCs w:val="20"/>
                <w:color w:val="auto"/>
              </w:rPr>
            </w:pPr>
            <w:r>
              <w:rPr>
                <w:rFonts w:ascii="Arial" w:cs="Arial" w:eastAsia="Arial" w:hAnsi="Arial"/>
                <w:sz w:val="20"/>
                <w:szCs w:val="20"/>
                <w:b w:val="1"/>
                <w:bCs w:val="1"/>
                <w:color w:val="00C1DE"/>
                <w:w w:val="96"/>
              </w:rPr>
              <w:t>Acquired on Vesting</w:t>
            </w:r>
          </w:p>
        </w:tc>
        <w:tc>
          <w:tcPr>
            <w:tcW w:w="200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Vesting</w:t>
            </w:r>
          </w:p>
        </w:tc>
      </w:tr>
      <w:tr>
        <w:trPr>
          <w:trHeight w:val="278"/>
        </w:trPr>
        <w:tc>
          <w:tcPr>
            <w:tcW w:w="2280" w:type="dxa"/>
            <w:vAlign w:val="bottom"/>
            <w:tcBorders>
              <w:bottom w:val="single" w:sz="8" w:color="00C1DE"/>
            </w:tcBorders>
          </w:tcPr>
          <w:p>
            <w:pPr>
              <w:ind w:left="120"/>
              <w:spacing w:after="0"/>
              <w:rPr>
                <w:sz w:val="20"/>
                <w:szCs w:val="20"/>
                <w:color w:val="auto"/>
              </w:rPr>
            </w:pPr>
            <w:r>
              <w:rPr>
                <w:rFonts w:ascii="Arial" w:cs="Arial" w:eastAsia="Arial" w:hAnsi="Arial"/>
                <w:sz w:val="20"/>
                <w:szCs w:val="20"/>
                <w:b w:val="1"/>
                <w:bCs w:val="1"/>
                <w:color w:val="00C1DE"/>
              </w:rPr>
              <w:t>Name</w:t>
            </w:r>
          </w:p>
        </w:tc>
        <w:tc>
          <w:tcPr>
            <w:tcW w:w="1980" w:type="dxa"/>
            <w:vAlign w:val="bottom"/>
            <w:tcBorders>
              <w:bottom w:val="single" w:sz="8" w:color="00C1DE"/>
            </w:tcBorders>
          </w:tcPr>
          <w:p>
            <w:pPr>
              <w:jc w:val="right"/>
              <w:ind w:right="182"/>
              <w:spacing w:after="0"/>
              <w:rPr>
                <w:sz w:val="20"/>
                <w:szCs w:val="20"/>
                <w:color w:val="auto"/>
              </w:rPr>
            </w:pPr>
            <w:r>
              <w:rPr>
                <w:rFonts w:ascii="Arial" w:cs="Arial" w:eastAsia="Arial" w:hAnsi="Arial"/>
                <w:sz w:val="20"/>
                <w:szCs w:val="20"/>
                <w:b w:val="1"/>
                <w:bCs w:val="1"/>
                <w:color w:val="00C1DE"/>
              </w:rPr>
              <w:t>Exercise (#)</w:t>
            </w:r>
          </w:p>
        </w:tc>
        <w:tc>
          <w:tcPr>
            <w:tcW w:w="20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480" w:type="dxa"/>
            <w:vAlign w:val="bottom"/>
            <w:tcBorders>
              <w:bottom w:val="single" w:sz="8" w:color="00C1DE"/>
            </w:tcBorders>
          </w:tcPr>
          <w:p>
            <w:pPr>
              <w:spacing w:after="0"/>
              <w:rPr>
                <w:sz w:val="24"/>
                <w:szCs w:val="24"/>
                <w:color w:val="auto"/>
              </w:rPr>
            </w:pPr>
          </w:p>
        </w:tc>
        <w:tc>
          <w:tcPr>
            <w:tcW w:w="2180" w:type="dxa"/>
            <w:vAlign w:val="bottom"/>
            <w:tcBorders>
              <w:bottom w:val="single" w:sz="8" w:color="00C1DE"/>
            </w:tcBorders>
          </w:tcPr>
          <w:p>
            <w:pPr>
              <w:jc w:val="right"/>
              <w:ind w:right="182"/>
              <w:spacing w:after="0"/>
              <w:rPr>
                <w:sz w:val="20"/>
                <w:szCs w:val="20"/>
                <w:color w:val="auto"/>
              </w:rPr>
            </w:pPr>
            <w:r>
              <w:rPr>
                <w:rFonts w:ascii="Arial" w:cs="Arial" w:eastAsia="Arial" w:hAnsi="Arial"/>
                <w:sz w:val="20"/>
                <w:szCs w:val="20"/>
                <w:b w:val="1"/>
                <w:bCs w:val="1"/>
                <w:color w:val="00C1DE"/>
              </w:rPr>
              <w:t>(#)</w:t>
            </w:r>
          </w:p>
        </w:tc>
        <w:tc>
          <w:tcPr>
            <w:tcW w:w="20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r>
      <w:tr>
        <w:trPr>
          <w:trHeight w:val="296"/>
        </w:trPr>
        <w:tc>
          <w:tcPr>
            <w:tcW w:w="2280" w:type="dxa"/>
            <w:vAlign w:val="bottom"/>
          </w:tcPr>
          <w:p>
            <w:pPr>
              <w:ind w:left="100"/>
              <w:spacing w:after="0"/>
              <w:rPr>
                <w:sz w:val="20"/>
                <w:szCs w:val="20"/>
                <w:color w:val="auto"/>
              </w:rPr>
            </w:pPr>
            <w:r>
              <w:rPr>
                <w:rFonts w:ascii="Arial" w:cs="Arial" w:eastAsia="Arial" w:hAnsi="Arial"/>
                <w:sz w:val="20"/>
                <w:szCs w:val="20"/>
                <w:color w:val="3E3935"/>
              </w:rPr>
              <w:t>Mary T. Barra</w:t>
            </w:r>
          </w:p>
        </w:tc>
        <w:tc>
          <w:tcPr>
            <w:tcW w:w="1980" w:type="dxa"/>
            <w:vAlign w:val="bottom"/>
          </w:tcPr>
          <w:p>
            <w:pPr>
              <w:jc w:val="right"/>
              <w:ind w:right="182"/>
              <w:spacing w:after="0"/>
              <w:rPr>
                <w:sz w:val="20"/>
                <w:szCs w:val="20"/>
                <w:color w:val="auto"/>
              </w:rPr>
            </w:pPr>
            <w:r>
              <w:rPr>
                <w:rFonts w:ascii="Arial" w:cs="Arial" w:eastAsia="Arial" w:hAnsi="Arial"/>
                <w:sz w:val="20"/>
                <w:szCs w:val="20"/>
                <w:color w:val="3E3935"/>
              </w:rPr>
              <w:t>1,003,027</w:t>
            </w:r>
          </w:p>
        </w:tc>
        <w:tc>
          <w:tcPr>
            <w:tcW w:w="2000" w:type="dxa"/>
            <w:vAlign w:val="bottom"/>
          </w:tcPr>
          <w:p>
            <w:pPr>
              <w:jc w:val="right"/>
              <w:spacing w:after="0"/>
              <w:rPr>
                <w:sz w:val="20"/>
                <w:szCs w:val="20"/>
                <w:color w:val="auto"/>
              </w:rPr>
            </w:pPr>
            <w:r>
              <w:rPr>
                <w:rFonts w:ascii="Arial" w:cs="Arial" w:eastAsia="Arial" w:hAnsi="Arial"/>
                <w:sz w:val="20"/>
                <w:szCs w:val="20"/>
                <w:color w:val="3E3935"/>
              </w:rPr>
              <w:t>26,496,723</w:t>
            </w:r>
          </w:p>
        </w:tc>
        <w:tc>
          <w:tcPr>
            <w:tcW w:w="480" w:type="dxa"/>
            <w:vAlign w:val="bottom"/>
          </w:tcPr>
          <w:p>
            <w:pPr>
              <w:spacing w:after="0"/>
              <w:rPr>
                <w:sz w:val="24"/>
                <w:szCs w:val="24"/>
                <w:color w:val="auto"/>
              </w:rPr>
            </w:pPr>
          </w:p>
        </w:tc>
        <w:tc>
          <w:tcPr>
            <w:tcW w:w="2180" w:type="dxa"/>
            <w:vAlign w:val="bottom"/>
          </w:tcPr>
          <w:p>
            <w:pPr>
              <w:jc w:val="right"/>
              <w:ind w:right="182"/>
              <w:spacing w:after="0"/>
              <w:rPr>
                <w:sz w:val="20"/>
                <w:szCs w:val="20"/>
                <w:color w:val="auto"/>
              </w:rPr>
            </w:pPr>
            <w:r>
              <w:rPr>
                <w:rFonts w:ascii="Arial" w:cs="Arial" w:eastAsia="Arial" w:hAnsi="Arial"/>
                <w:sz w:val="20"/>
                <w:szCs w:val="20"/>
                <w:color w:val="3E3935"/>
              </w:rPr>
              <w:t>468,794</w:t>
            </w:r>
          </w:p>
        </w:tc>
        <w:tc>
          <w:tcPr>
            <w:tcW w:w="2000" w:type="dxa"/>
            <w:vAlign w:val="bottom"/>
          </w:tcPr>
          <w:p>
            <w:pPr>
              <w:jc w:val="right"/>
              <w:spacing w:after="0"/>
              <w:rPr>
                <w:sz w:val="20"/>
                <w:szCs w:val="20"/>
                <w:color w:val="auto"/>
              </w:rPr>
            </w:pPr>
            <w:r>
              <w:rPr>
                <w:rFonts w:ascii="Arial" w:cs="Arial" w:eastAsia="Arial" w:hAnsi="Arial"/>
                <w:sz w:val="20"/>
                <w:szCs w:val="20"/>
                <w:color w:val="3E3935"/>
              </w:rPr>
              <w:t>25,147,014</w:t>
            </w:r>
          </w:p>
        </w:tc>
      </w:tr>
      <w:tr>
        <w:trPr>
          <w:trHeight w:val="58"/>
        </w:trPr>
        <w:tc>
          <w:tcPr>
            <w:tcW w:w="228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r>
      <w:tr>
        <w:trPr>
          <w:trHeight w:val="296"/>
        </w:trPr>
        <w:tc>
          <w:tcPr>
            <w:tcW w:w="2280" w:type="dxa"/>
            <w:vAlign w:val="bottom"/>
          </w:tcPr>
          <w:p>
            <w:pPr>
              <w:ind w:left="100"/>
              <w:spacing w:after="0"/>
              <w:rPr>
                <w:sz w:val="20"/>
                <w:szCs w:val="20"/>
                <w:color w:val="auto"/>
              </w:rPr>
            </w:pPr>
            <w:r>
              <w:rPr>
                <w:rFonts w:ascii="Arial" w:cs="Arial" w:eastAsia="Arial" w:hAnsi="Arial"/>
                <w:sz w:val="20"/>
                <w:szCs w:val="20"/>
                <w:color w:val="3E3935"/>
              </w:rPr>
              <w:t>Paul A. Jacobson</w:t>
            </w:r>
          </w:p>
        </w:tc>
        <w:tc>
          <w:tcPr>
            <w:tcW w:w="1980" w:type="dxa"/>
            <w:vAlign w:val="bottom"/>
          </w:tcPr>
          <w:p>
            <w:pPr>
              <w:jc w:val="right"/>
              <w:ind w:right="182"/>
              <w:spacing w:after="0"/>
              <w:rPr>
                <w:sz w:val="20"/>
                <w:szCs w:val="20"/>
                <w:color w:val="auto"/>
              </w:rPr>
            </w:pPr>
            <w:r>
              <w:rPr>
                <w:rFonts w:ascii="Arial" w:cs="Arial" w:eastAsia="Arial" w:hAnsi="Arial"/>
                <w:sz w:val="20"/>
                <w:szCs w:val="20"/>
                <w:color w:val="3E3935"/>
              </w:rPr>
              <w:t>—</w:t>
            </w:r>
          </w:p>
        </w:tc>
        <w:tc>
          <w:tcPr>
            <w:tcW w:w="2480" w:type="dxa"/>
            <w:vAlign w:val="bottom"/>
            <w:gridSpan w:val="2"/>
          </w:tcPr>
          <w:p>
            <w:pPr>
              <w:jc w:val="right"/>
              <w:ind w:right="560"/>
              <w:spacing w:after="0"/>
              <w:rPr>
                <w:sz w:val="20"/>
                <w:szCs w:val="20"/>
                <w:color w:val="auto"/>
              </w:rPr>
            </w:pPr>
            <w:r>
              <w:rPr>
                <w:rFonts w:ascii="Arial" w:cs="Arial" w:eastAsia="Arial" w:hAnsi="Arial"/>
                <w:sz w:val="20"/>
                <w:szCs w:val="20"/>
                <w:color w:val="3E3935"/>
              </w:rPr>
              <w:t>—</w:t>
            </w:r>
          </w:p>
        </w:tc>
        <w:tc>
          <w:tcPr>
            <w:tcW w:w="2180" w:type="dxa"/>
            <w:vAlign w:val="bottom"/>
          </w:tcPr>
          <w:p>
            <w:pPr>
              <w:jc w:val="right"/>
              <w:ind w:right="182"/>
              <w:spacing w:after="0"/>
              <w:rPr>
                <w:sz w:val="20"/>
                <w:szCs w:val="20"/>
                <w:color w:val="auto"/>
              </w:rPr>
            </w:pPr>
            <w:r>
              <w:rPr>
                <w:rFonts w:ascii="Arial" w:cs="Arial" w:eastAsia="Arial" w:hAnsi="Arial"/>
                <w:sz w:val="20"/>
                <w:szCs w:val="20"/>
                <w:color w:val="3E3935"/>
              </w:rPr>
              <w:t>—</w:t>
            </w:r>
          </w:p>
        </w:tc>
        <w:tc>
          <w:tcPr>
            <w:tcW w:w="2000" w:type="dxa"/>
            <w:vAlign w:val="bottom"/>
          </w:tcPr>
          <w:p>
            <w:pPr>
              <w:jc w:val="right"/>
              <w:spacing w:after="0"/>
              <w:rPr>
                <w:sz w:val="20"/>
                <w:szCs w:val="20"/>
                <w:color w:val="auto"/>
              </w:rPr>
            </w:pPr>
            <w:r>
              <w:rPr>
                <w:rFonts w:ascii="Arial" w:cs="Arial" w:eastAsia="Arial" w:hAnsi="Arial"/>
                <w:sz w:val="20"/>
                <w:szCs w:val="20"/>
                <w:color w:val="3E3935"/>
              </w:rPr>
              <w:t>—</w:t>
            </w:r>
          </w:p>
        </w:tc>
      </w:tr>
      <w:tr>
        <w:trPr>
          <w:trHeight w:val="58"/>
        </w:trPr>
        <w:tc>
          <w:tcPr>
            <w:tcW w:w="228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r>
      <w:tr>
        <w:trPr>
          <w:trHeight w:val="296"/>
        </w:trPr>
        <w:tc>
          <w:tcPr>
            <w:tcW w:w="2280" w:type="dxa"/>
            <w:vAlign w:val="bottom"/>
          </w:tcPr>
          <w:p>
            <w:pPr>
              <w:ind w:left="100"/>
              <w:spacing w:after="0"/>
              <w:rPr>
                <w:sz w:val="20"/>
                <w:szCs w:val="20"/>
                <w:color w:val="auto"/>
              </w:rPr>
            </w:pPr>
            <w:r>
              <w:rPr>
                <w:rFonts w:ascii="Arial" w:cs="Arial" w:eastAsia="Arial" w:hAnsi="Arial"/>
                <w:sz w:val="20"/>
                <w:szCs w:val="20"/>
                <w:color w:val="3E3935"/>
              </w:rPr>
              <w:t>Mark L. Reuss</w:t>
            </w:r>
          </w:p>
        </w:tc>
        <w:tc>
          <w:tcPr>
            <w:tcW w:w="1980" w:type="dxa"/>
            <w:vAlign w:val="bottom"/>
          </w:tcPr>
          <w:p>
            <w:pPr>
              <w:jc w:val="right"/>
              <w:ind w:right="182"/>
              <w:spacing w:after="0"/>
              <w:rPr>
                <w:sz w:val="20"/>
                <w:szCs w:val="20"/>
                <w:color w:val="auto"/>
              </w:rPr>
            </w:pPr>
            <w:r>
              <w:rPr>
                <w:rFonts w:ascii="Arial" w:cs="Arial" w:eastAsia="Arial" w:hAnsi="Arial"/>
                <w:sz w:val="20"/>
                <w:szCs w:val="20"/>
                <w:color w:val="3E3935"/>
              </w:rPr>
              <w:t>203,314</w:t>
            </w:r>
          </w:p>
        </w:tc>
        <w:tc>
          <w:tcPr>
            <w:tcW w:w="2000" w:type="dxa"/>
            <w:vAlign w:val="bottom"/>
          </w:tcPr>
          <w:p>
            <w:pPr>
              <w:jc w:val="right"/>
              <w:spacing w:after="0"/>
              <w:rPr>
                <w:sz w:val="20"/>
                <w:szCs w:val="20"/>
                <w:color w:val="auto"/>
              </w:rPr>
            </w:pPr>
            <w:r>
              <w:rPr>
                <w:rFonts w:ascii="Arial" w:cs="Arial" w:eastAsia="Arial" w:hAnsi="Arial"/>
                <w:sz w:val="20"/>
                <w:szCs w:val="20"/>
                <w:color w:val="3E3935"/>
              </w:rPr>
              <w:t>6,103,717</w:t>
            </w:r>
          </w:p>
        </w:tc>
        <w:tc>
          <w:tcPr>
            <w:tcW w:w="480" w:type="dxa"/>
            <w:vAlign w:val="bottom"/>
          </w:tcPr>
          <w:p>
            <w:pPr>
              <w:spacing w:after="0"/>
              <w:rPr>
                <w:sz w:val="24"/>
                <w:szCs w:val="24"/>
                <w:color w:val="auto"/>
              </w:rPr>
            </w:pPr>
          </w:p>
        </w:tc>
        <w:tc>
          <w:tcPr>
            <w:tcW w:w="2180" w:type="dxa"/>
            <w:vAlign w:val="bottom"/>
          </w:tcPr>
          <w:p>
            <w:pPr>
              <w:jc w:val="right"/>
              <w:ind w:right="182"/>
              <w:spacing w:after="0"/>
              <w:rPr>
                <w:sz w:val="20"/>
                <w:szCs w:val="20"/>
                <w:color w:val="auto"/>
              </w:rPr>
            </w:pPr>
            <w:r>
              <w:rPr>
                <w:rFonts w:ascii="Arial" w:cs="Arial" w:eastAsia="Arial" w:hAnsi="Arial"/>
                <w:sz w:val="20"/>
                <w:szCs w:val="20"/>
                <w:color w:val="3E3935"/>
              </w:rPr>
              <w:t>140,099</w:t>
            </w:r>
          </w:p>
        </w:tc>
        <w:tc>
          <w:tcPr>
            <w:tcW w:w="2000" w:type="dxa"/>
            <w:vAlign w:val="bottom"/>
          </w:tcPr>
          <w:p>
            <w:pPr>
              <w:jc w:val="right"/>
              <w:spacing w:after="0"/>
              <w:rPr>
                <w:sz w:val="20"/>
                <w:szCs w:val="20"/>
                <w:color w:val="auto"/>
              </w:rPr>
            </w:pPr>
            <w:r>
              <w:rPr>
                <w:rFonts w:ascii="Arial" w:cs="Arial" w:eastAsia="Arial" w:hAnsi="Arial"/>
                <w:sz w:val="20"/>
                <w:szCs w:val="20"/>
                <w:color w:val="3E3935"/>
              </w:rPr>
              <w:t>7,521,474</w:t>
            </w:r>
          </w:p>
        </w:tc>
      </w:tr>
      <w:tr>
        <w:trPr>
          <w:trHeight w:val="58"/>
        </w:trPr>
        <w:tc>
          <w:tcPr>
            <w:tcW w:w="228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r>
      <w:tr>
        <w:trPr>
          <w:trHeight w:val="296"/>
        </w:trPr>
        <w:tc>
          <w:tcPr>
            <w:tcW w:w="2280" w:type="dxa"/>
            <w:vAlign w:val="bottom"/>
          </w:tcPr>
          <w:p>
            <w:pPr>
              <w:ind w:left="100"/>
              <w:spacing w:after="0"/>
              <w:rPr>
                <w:sz w:val="20"/>
                <w:szCs w:val="20"/>
                <w:color w:val="auto"/>
              </w:rPr>
            </w:pPr>
            <w:r>
              <w:rPr>
                <w:rFonts w:ascii="Arial" w:cs="Arial" w:eastAsia="Arial" w:hAnsi="Arial"/>
                <w:sz w:val="20"/>
                <w:szCs w:val="20"/>
                <w:color w:val="3E3935"/>
              </w:rPr>
              <w:t>Douglas L. Parks</w:t>
            </w:r>
          </w:p>
        </w:tc>
        <w:tc>
          <w:tcPr>
            <w:tcW w:w="1980" w:type="dxa"/>
            <w:vAlign w:val="bottom"/>
          </w:tcPr>
          <w:p>
            <w:pPr>
              <w:jc w:val="right"/>
              <w:ind w:right="182"/>
              <w:spacing w:after="0"/>
              <w:rPr>
                <w:sz w:val="20"/>
                <w:szCs w:val="20"/>
                <w:color w:val="auto"/>
              </w:rPr>
            </w:pPr>
            <w:r>
              <w:rPr>
                <w:rFonts w:ascii="Arial" w:cs="Arial" w:eastAsia="Arial" w:hAnsi="Arial"/>
                <w:sz w:val="20"/>
                <w:szCs w:val="20"/>
                <w:color w:val="3E3935"/>
              </w:rPr>
              <w:t>57,268</w:t>
            </w:r>
          </w:p>
        </w:tc>
        <w:tc>
          <w:tcPr>
            <w:tcW w:w="2000" w:type="dxa"/>
            <w:vAlign w:val="bottom"/>
          </w:tcPr>
          <w:p>
            <w:pPr>
              <w:jc w:val="right"/>
              <w:spacing w:after="0"/>
              <w:rPr>
                <w:sz w:val="20"/>
                <w:szCs w:val="20"/>
                <w:color w:val="auto"/>
              </w:rPr>
            </w:pPr>
            <w:r>
              <w:rPr>
                <w:rFonts w:ascii="Arial" w:cs="Arial" w:eastAsia="Arial" w:hAnsi="Arial"/>
                <w:sz w:val="20"/>
                <w:szCs w:val="20"/>
                <w:color w:val="3E3935"/>
              </w:rPr>
              <w:t>1,322,332</w:t>
            </w:r>
          </w:p>
        </w:tc>
        <w:tc>
          <w:tcPr>
            <w:tcW w:w="480" w:type="dxa"/>
            <w:vAlign w:val="bottom"/>
          </w:tcPr>
          <w:p>
            <w:pPr>
              <w:spacing w:after="0"/>
              <w:rPr>
                <w:sz w:val="24"/>
                <w:szCs w:val="24"/>
                <w:color w:val="auto"/>
              </w:rPr>
            </w:pPr>
          </w:p>
        </w:tc>
        <w:tc>
          <w:tcPr>
            <w:tcW w:w="2180" w:type="dxa"/>
            <w:vAlign w:val="bottom"/>
          </w:tcPr>
          <w:p>
            <w:pPr>
              <w:jc w:val="right"/>
              <w:ind w:right="182"/>
              <w:spacing w:after="0"/>
              <w:rPr>
                <w:sz w:val="20"/>
                <w:szCs w:val="20"/>
                <w:color w:val="auto"/>
              </w:rPr>
            </w:pPr>
            <w:r>
              <w:rPr>
                <w:rFonts w:ascii="Arial" w:cs="Arial" w:eastAsia="Arial" w:hAnsi="Arial"/>
                <w:sz w:val="20"/>
                <w:szCs w:val="20"/>
                <w:color w:val="3E3935"/>
              </w:rPr>
              <w:t>26,628</w:t>
            </w:r>
          </w:p>
        </w:tc>
        <w:tc>
          <w:tcPr>
            <w:tcW w:w="2000" w:type="dxa"/>
            <w:vAlign w:val="bottom"/>
          </w:tcPr>
          <w:p>
            <w:pPr>
              <w:jc w:val="right"/>
              <w:spacing w:after="0"/>
              <w:rPr>
                <w:sz w:val="20"/>
                <w:szCs w:val="20"/>
                <w:color w:val="auto"/>
              </w:rPr>
            </w:pPr>
            <w:r>
              <w:rPr>
                <w:rFonts w:ascii="Arial" w:cs="Arial" w:eastAsia="Arial" w:hAnsi="Arial"/>
                <w:sz w:val="20"/>
                <w:szCs w:val="20"/>
                <w:color w:val="3E3935"/>
              </w:rPr>
              <w:t>1,434,514</w:t>
            </w:r>
          </w:p>
        </w:tc>
      </w:tr>
      <w:tr>
        <w:trPr>
          <w:trHeight w:val="58"/>
        </w:trPr>
        <w:tc>
          <w:tcPr>
            <w:tcW w:w="228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218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r>
      <w:tr>
        <w:trPr>
          <w:trHeight w:val="296"/>
        </w:trPr>
        <w:tc>
          <w:tcPr>
            <w:tcW w:w="2280" w:type="dxa"/>
            <w:vAlign w:val="bottom"/>
          </w:tcPr>
          <w:p>
            <w:pPr>
              <w:ind w:left="100"/>
              <w:spacing w:after="0"/>
              <w:rPr>
                <w:sz w:val="20"/>
                <w:szCs w:val="20"/>
                <w:color w:val="auto"/>
              </w:rPr>
            </w:pPr>
            <w:r>
              <w:rPr>
                <w:rFonts w:ascii="Arial" w:cs="Arial" w:eastAsia="Arial" w:hAnsi="Arial"/>
                <w:sz w:val="20"/>
                <w:szCs w:val="20"/>
                <w:color w:val="3E3935"/>
              </w:rPr>
              <w:t>Stephen K. Carlisle</w:t>
            </w:r>
          </w:p>
        </w:tc>
        <w:tc>
          <w:tcPr>
            <w:tcW w:w="1980" w:type="dxa"/>
            <w:vAlign w:val="bottom"/>
          </w:tcPr>
          <w:p>
            <w:pPr>
              <w:jc w:val="right"/>
              <w:ind w:right="182"/>
              <w:spacing w:after="0"/>
              <w:rPr>
                <w:sz w:val="20"/>
                <w:szCs w:val="20"/>
                <w:color w:val="auto"/>
              </w:rPr>
            </w:pPr>
            <w:r>
              <w:rPr>
                <w:rFonts w:ascii="Arial" w:cs="Arial" w:eastAsia="Arial" w:hAnsi="Arial"/>
                <w:sz w:val="20"/>
                <w:szCs w:val="20"/>
                <w:color w:val="3E3935"/>
              </w:rPr>
              <w:t>297,206</w:t>
            </w:r>
          </w:p>
        </w:tc>
        <w:tc>
          <w:tcPr>
            <w:tcW w:w="2000" w:type="dxa"/>
            <w:vAlign w:val="bottom"/>
          </w:tcPr>
          <w:p>
            <w:pPr>
              <w:jc w:val="right"/>
              <w:spacing w:after="0"/>
              <w:rPr>
                <w:sz w:val="20"/>
                <w:szCs w:val="20"/>
                <w:color w:val="auto"/>
              </w:rPr>
            </w:pPr>
            <w:r>
              <w:rPr>
                <w:rFonts w:ascii="Arial" w:cs="Arial" w:eastAsia="Arial" w:hAnsi="Arial"/>
                <w:sz w:val="20"/>
                <w:szCs w:val="20"/>
                <w:color w:val="3E3935"/>
              </w:rPr>
              <w:t>5,149,657</w:t>
            </w:r>
          </w:p>
        </w:tc>
        <w:tc>
          <w:tcPr>
            <w:tcW w:w="480" w:type="dxa"/>
            <w:vAlign w:val="bottom"/>
          </w:tcPr>
          <w:p>
            <w:pPr>
              <w:spacing w:after="0"/>
              <w:rPr>
                <w:sz w:val="24"/>
                <w:szCs w:val="24"/>
                <w:color w:val="auto"/>
              </w:rPr>
            </w:pPr>
          </w:p>
        </w:tc>
        <w:tc>
          <w:tcPr>
            <w:tcW w:w="2180" w:type="dxa"/>
            <w:vAlign w:val="bottom"/>
          </w:tcPr>
          <w:p>
            <w:pPr>
              <w:jc w:val="right"/>
              <w:ind w:right="182"/>
              <w:spacing w:after="0"/>
              <w:rPr>
                <w:sz w:val="20"/>
                <w:szCs w:val="20"/>
                <w:color w:val="auto"/>
              </w:rPr>
            </w:pPr>
            <w:r>
              <w:rPr>
                <w:rFonts w:ascii="Arial" w:cs="Arial" w:eastAsia="Arial" w:hAnsi="Arial"/>
                <w:sz w:val="20"/>
                <w:szCs w:val="20"/>
                <w:color w:val="3E3935"/>
              </w:rPr>
              <w:t>47,476</w:t>
            </w:r>
          </w:p>
        </w:tc>
        <w:tc>
          <w:tcPr>
            <w:tcW w:w="2000" w:type="dxa"/>
            <w:vAlign w:val="bottom"/>
          </w:tcPr>
          <w:p>
            <w:pPr>
              <w:jc w:val="right"/>
              <w:spacing w:after="0"/>
              <w:rPr>
                <w:sz w:val="20"/>
                <w:szCs w:val="20"/>
                <w:color w:val="auto"/>
              </w:rPr>
            </w:pPr>
            <w:r>
              <w:rPr>
                <w:rFonts w:ascii="Arial" w:cs="Arial" w:eastAsia="Arial" w:hAnsi="Arial"/>
                <w:sz w:val="20"/>
                <w:szCs w:val="20"/>
                <w:color w:val="3E3935"/>
              </w:rPr>
              <w:t>2,551,266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5" w:lineRule="exact"/>
        <w:rPr>
          <w:sz w:val="20"/>
          <w:szCs w:val="20"/>
          <w:color w:val="auto"/>
        </w:rPr>
      </w:pPr>
    </w:p>
    <w:p>
      <w:pPr>
        <w:ind w:left="600" w:hanging="433"/>
        <w:spacing w:after="0" w:line="263" w:lineRule="auto"/>
        <w:tabs>
          <w:tab w:leader="none" w:pos="600" w:val="left"/>
        </w:tabs>
        <w:numPr>
          <w:ilvl w:val="0"/>
          <w:numId w:val="135"/>
        </w:numPr>
        <w:rPr>
          <w:rFonts w:ascii="Arial" w:cs="Arial" w:eastAsia="Arial" w:hAnsi="Arial"/>
          <w:sz w:val="18"/>
          <w:szCs w:val="18"/>
          <w:i w:val="1"/>
          <w:iCs w:val="1"/>
          <w:color w:val="3E3935"/>
        </w:rPr>
      </w:pPr>
      <w:r>
        <w:rPr>
          <w:rFonts w:ascii="Arial" w:cs="Arial" w:eastAsia="Arial" w:hAnsi="Arial"/>
          <w:sz w:val="18"/>
          <w:szCs w:val="18"/>
          <w:i w:val="1"/>
          <w:iCs w:val="1"/>
          <w:color w:val="3E3935"/>
        </w:rPr>
        <w:t>The aggregate dollar value realized upon exercise is computed by multiplying the number of shares at exercise by the difference between the market price of GM common stock and the exercise price of the options.</w:t>
      </w:r>
    </w:p>
    <w:p>
      <w:pPr>
        <w:spacing w:after="0" w:line="27"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135"/>
        </w:numPr>
        <w:rPr>
          <w:rFonts w:ascii="Arial" w:cs="Arial" w:eastAsia="Arial" w:hAnsi="Arial"/>
          <w:sz w:val="18"/>
          <w:szCs w:val="18"/>
          <w:i w:val="1"/>
          <w:iCs w:val="1"/>
          <w:color w:val="3E3935"/>
        </w:rPr>
      </w:pPr>
      <w:r>
        <w:rPr>
          <w:rFonts w:ascii="Arial" w:cs="Arial" w:eastAsia="Arial" w:hAnsi="Arial"/>
          <w:sz w:val="18"/>
          <w:szCs w:val="18"/>
          <w:i w:val="1"/>
          <w:iCs w:val="1"/>
          <w:color w:val="3E3935"/>
        </w:rPr>
        <w:t>The aggregate dollar value realized upon vesting is computed by multiplying the number of shares vested by the closing price of GM common stock on the vesting date.</w:t>
      </w:r>
    </w:p>
    <w:p>
      <w:pPr>
        <w:spacing w:after="0" w:line="276" w:lineRule="exact"/>
        <w:rPr>
          <w:sz w:val="20"/>
          <w:szCs w:val="20"/>
          <w:color w:val="auto"/>
        </w:rPr>
      </w:pPr>
    </w:p>
    <w:p>
      <w:pPr>
        <w:ind w:left="700" w:hanging="533"/>
        <w:spacing w:after="0"/>
        <w:tabs>
          <w:tab w:leader="none" w:pos="700" w:val="left"/>
        </w:tabs>
        <w:numPr>
          <w:ilvl w:val="0"/>
          <w:numId w:val="136"/>
        </w:numPr>
        <w:rPr>
          <w:rFonts w:ascii="Times New Roman" w:cs="Times New Roman" w:eastAsia="Times New Roman" w:hAnsi="Times New Roman"/>
          <w:sz w:val="21"/>
          <w:szCs w:val="21"/>
          <w:color w:val="0071CE"/>
        </w:rPr>
      </w:pPr>
      <w:r>
        <w:rPr>
          <w:rFonts w:ascii="Arial" w:cs="Arial" w:eastAsia="Arial" w:hAnsi="Arial"/>
          <w:sz w:val="25"/>
          <w:szCs w:val="25"/>
          <w:color w:val="3E3935"/>
        </w:rPr>
        <w:t>Pension Benefits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3E3935"/>
        </w:rPr>
        <w:t>GM Salaried Retirement Plan</w:t>
      </w:r>
    </w:p>
    <w:p>
      <w:pPr>
        <w:spacing w:after="0" w:line="151"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Salaried Retirement Plan (“SRP”) is a funded, tax-qualified retirement plan that covers</w:t>
      </w:r>
      <w:r>
        <w:rPr>
          <w:rFonts w:ascii="Arial" w:cs="Arial" w:eastAsia="Arial" w:hAnsi="Arial"/>
          <w:sz w:val="20"/>
          <w:szCs w:val="20"/>
          <w:b w:val="1"/>
          <w:bCs w:val="1"/>
          <w:color w:val="0071CE"/>
        </w:rPr>
        <w:t xml:space="preserve"> </w:t>
      </w:r>
      <w:r>
        <w:rPr>
          <w:rFonts w:ascii="Arial" w:cs="Arial" w:eastAsia="Arial" w:hAnsi="Arial"/>
          <w:sz w:val="20"/>
          <w:szCs w:val="20"/>
          <w:color w:val="3E3935"/>
        </w:rPr>
        <w:t>eligible employees hired prior to 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Benefit Formula:</w:t>
      </w:r>
    </w:p>
    <w:p>
      <w:pPr>
        <w:spacing w:after="0" w:line="131"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Service Prior to January 1, 2001: </w:t>
      </w:r>
      <w:r>
        <w:rPr>
          <w:rFonts w:ascii="Arial" w:cs="Arial" w:eastAsia="Arial" w:hAnsi="Arial"/>
          <w:sz w:val="20"/>
          <w:szCs w:val="20"/>
          <w:color w:val="3E3935"/>
        </w:rPr>
        <w:t>The plan provided benefits on both a contributory and noncontributory formula.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w:t>
      </w:r>
    </w:p>
    <w:p>
      <w:pPr>
        <w:spacing w:after="0" w:line="105"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Service from January 1, 2001, to December 31, 2006: </w:t>
      </w:r>
      <w:r>
        <w:rPr>
          <w:rFonts w:ascii="Arial" w:cs="Arial" w:eastAsia="Arial" w:hAnsi="Arial"/>
          <w:sz w:val="20"/>
          <w:szCs w:val="20"/>
          <w:color w:val="3E3935"/>
        </w:rPr>
        <w:t>The plan provided benefits under a cash balance formula with pay</w:t>
      </w:r>
      <w:r>
        <w:rPr>
          <w:rFonts w:ascii="Arial" w:cs="Arial" w:eastAsia="Arial" w:hAnsi="Arial"/>
          <w:sz w:val="20"/>
          <w:szCs w:val="20"/>
          <w:b w:val="1"/>
          <w:bCs w:val="1"/>
          <w:color w:val="0071CE"/>
        </w:rPr>
        <w:t xml:space="preserve"> </w:t>
      </w:r>
      <w:r>
        <w:rPr>
          <w:rFonts w:ascii="Arial" w:cs="Arial" w:eastAsia="Arial" w:hAnsi="Arial"/>
          <w:sz w:val="20"/>
          <w:szCs w:val="20"/>
          <w:color w:val="3E3935"/>
        </w:rPr>
        <w:t>credits based on age through December 31, 2006, when the formula was frozen, with balances continuing to earn interest credits thereafter.</w:t>
      </w:r>
    </w:p>
    <w:p>
      <w:pPr>
        <w:spacing w:after="0" w:line="89" w:lineRule="exact"/>
        <w:rPr>
          <w:sz w:val="20"/>
          <w:szCs w:val="20"/>
          <w:color w:val="auto"/>
        </w:rPr>
      </w:pPr>
    </w:p>
    <w:p>
      <w:pPr>
        <w:jc w:val="both"/>
        <w:ind w:left="160"/>
        <w:spacing w:after="0"/>
        <w:rPr>
          <w:sz w:val="20"/>
          <w:szCs w:val="20"/>
          <w:color w:val="auto"/>
        </w:rPr>
      </w:pPr>
      <w:r>
        <w:rPr>
          <w:rFonts w:ascii="Arial" w:cs="Arial" w:eastAsia="Arial" w:hAnsi="Arial"/>
          <w:sz w:val="19"/>
          <w:szCs w:val="19"/>
          <w:b w:val="1"/>
          <w:bCs w:val="1"/>
          <w:color w:val="0071CE"/>
        </w:rPr>
        <w:t xml:space="preserve">Time and Form of Payment: </w:t>
      </w:r>
      <w:r>
        <w:rPr>
          <w:rFonts w:ascii="Arial" w:cs="Arial" w:eastAsia="Arial" w:hAnsi="Arial"/>
          <w:sz w:val="19"/>
          <w:szCs w:val="19"/>
          <w:color w:val="3E3935"/>
        </w:rPr>
        <w:t>For employees hired prior to January 1, 2001, the accumulated benefit an employee earns over</w:t>
      </w:r>
      <w:r>
        <w:rPr>
          <w:rFonts w:ascii="Arial" w:cs="Arial" w:eastAsia="Arial" w:hAnsi="Arial"/>
          <w:sz w:val="19"/>
          <w:szCs w:val="19"/>
          <w:b w:val="1"/>
          <w:bCs w:val="1"/>
          <w:color w:val="0071CE"/>
        </w:rPr>
        <w:t xml:space="preserve"> </w:t>
      </w:r>
      <w:r>
        <w:rPr>
          <w:rFonts w:ascii="Arial" w:cs="Arial" w:eastAsia="Arial" w:hAnsi="Arial"/>
          <w:sz w:val="19"/>
          <w:szCs w:val="19"/>
          <w:color w:val="3E3935"/>
        </w:rPr>
        <w:t>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2021, Ms. Barra and Messrs. Reuss, Parks, and Carlisle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percent lump sum option. For employees hired from January 1, 2001, to December 31, 2006, the plan provides a single-life annuity, a contingent annuitant optional form of payment, or a 100 percent lump sum option.</w:t>
      </w:r>
    </w:p>
    <w:p>
      <w:pPr>
        <w:spacing w:after="0" w:line="116"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7"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Tax Code Limitations on Benefits: </w:t>
      </w:r>
      <w:r>
        <w:rPr>
          <w:rFonts w:ascii="Arial" w:cs="Arial" w:eastAsia="Arial" w:hAnsi="Arial"/>
          <w:sz w:val="20"/>
          <w:szCs w:val="20"/>
          <w:color w:val="3E3935"/>
        </w:rPr>
        <w:t>Section 415(b)(1)(A) of the IRC limits the benefits payable under the SRP. For 2021,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maximum single life annuity an NEO could have received under these limits was $230,000 per year. This ceiling is actuarially adjusted in accordance with IRS rules to reflect employee contributions, actual forms of distribution, and actual retirement dates.</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3E3935"/>
        </w:rPr>
        <w:t>GM Executive Retirement Plan</w:t>
      </w:r>
    </w:p>
    <w:p>
      <w:pPr>
        <w:spacing w:after="0" w:line="151"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Executive Retirement Plan (“DB ERP”) is an unfunded, non-tax-qualified retirement plan that</w:t>
      </w:r>
      <w:r>
        <w:rPr>
          <w:rFonts w:ascii="Arial" w:cs="Arial" w:eastAsia="Arial" w:hAnsi="Arial"/>
          <w:sz w:val="20"/>
          <w:szCs w:val="20"/>
          <w:b w:val="1"/>
          <w:bCs w:val="1"/>
          <w:color w:val="0071CE"/>
        </w:rPr>
        <w:t xml:space="preserve"> </w:t>
      </w:r>
      <w:r>
        <w:rPr>
          <w:rFonts w:ascii="Arial" w:cs="Arial" w:eastAsia="Arial" w:hAnsi="Arial"/>
          <w:sz w:val="20"/>
          <w:szCs w:val="20"/>
          <w:color w:val="3E3935"/>
        </w:rPr>
        <w:t>covers eligible executives to provide retirement benefits above amounts available under our other pension programs.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Benefit Formula:</w:t>
      </w:r>
    </w:p>
    <w:p>
      <w:pPr>
        <w:spacing w:after="0" w:line="131"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color w:val="0071CE"/>
        </w:rPr>
        <w:t xml:space="preserve">Service Prior to January 1, 2007: </w:t>
      </w:r>
      <w:r>
        <w:rPr>
          <w:rFonts w:ascii="Arial" w:cs="Arial" w:eastAsia="Arial" w:hAnsi="Arial"/>
          <w:sz w:val="20"/>
          <w:szCs w:val="20"/>
          <w:color w:val="3E3935"/>
        </w:rPr>
        <w:t>The supplemental pension equals the greater of (a) 2 percent of the average monthly</w:t>
      </w:r>
      <w:r>
        <w:rPr>
          <w:rFonts w:ascii="Arial" w:cs="Arial" w:eastAsia="Arial" w:hAnsi="Arial"/>
          <w:sz w:val="20"/>
          <w:szCs w:val="20"/>
          <w:b w:val="1"/>
          <w:bCs w:val="1"/>
          <w:color w:val="0071CE"/>
        </w:rPr>
        <w:t xml:space="preserve"> </w:t>
      </w:r>
      <w:r>
        <w:rPr>
          <w:rFonts w:ascii="Arial" w:cs="Arial" w:eastAsia="Arial" w:hAnsi="Arial"/>
          <w:sz w:val="20"/>
          <w:szCs w:val="20"/>
          <w:color w:val="3E3935"/>
        </w:rPr>
        <w:t>base salary multiplied by all years of contributory service less the sum of all benefits payable under the SRP plus the maximum Social Security benefit as of January 2007 multiplied by all years of contributory service or (b) 1.5 percent of the average monthly base salary plus annual incentive plan compensation multiplied by all years of contributory service, up to a maximum of 35 years, less the sum of all benefits payable under the SRP plus 100 percent of the maximum Social Security benefit as of January 2007. In both cases, the base salary and annual incentive plan payments are determined using the highest 60 months out of the last 120 months as of December 31, 2006. These DB accruals were frozen on December 31, 2006, with service continuing towards eligibility to retire.</w:t>
      </w:r>
    </w:p>
    <w:p>
      <w:pPr>
        <w:spacing w:after="0" w:line="103"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Service from January 1, 2007, to September 30, 2012: </w:t>
      </w:r>
      <w:r>
        <w:rPr>
          <w:rFonts w:ascii="Arial" w:cs="Arial" w:eastAsia="Arial" w:hAnsi="Arial"/>
          <w:sz w:val="20"/>
          <w:szCs w:val="20"/>
          <w:color w:val="3E3935"/>
        </w:rPr>
        <w:t>For employees hired prior to January 1, 2001, the supplemental</w:t>
      </w:r>
      <w:r>
        <w:rPr>
          <w:rFonts w:ascii="Arial" w:cs="Arial" w:eastAsia="Arial" w:hAnsi="Arial"/>
          <w:sz w:val="20"/>
          <w:szCs w:val="20"/>
          <w:b w:val="1"/>
          <w:bCs w:val="1"/>
          <w:color w:val="0071CE"/>
        </w:rPr>
        <w:t xml:space="preserve"> </w:t>
      </w:r>
      <w:r>
        <w:rPr>
          <w:rFonts w:ascii="Arial" w:cs="Arial" w:eastAsia="Arial" w:hAnsi="Arial"/>
          <w:sz w:val="20"/>
          <w:szCs w:val="20"/>
          <w:color w:val="3E3935"/>
        </w:rPr>
        <w:t>pension equals 1.25 percent of annual base salary plus short-term incentive payments and is applicable to amounts in excess of the IRS-prescribed limit applicable to tax-qualified plans. These DB accruals were frozen on September 30, 2012, with service continuing towards eligibility to retire.</w:t>
      </w:r>
    </w:p>
    <w:p>
      <w:pPr>
        <w:spacing w:after="0" w:line="89"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Time and Form of Payment: </w:t>
      </w:r>
      <w:r>
        <w:rPr>
          <w:rFonts w:ascii="Arial" w:cs="Arial" w:eastAsia="Arial" w:hAnsi="Arial"/>
          <w:sz w:val="20"/>
          <w:szCs w:val="20"/>
          <w:color w:val="3E3935"/>
        </w:rPr>
        <w:t>Normal retirement age under the plan is age 65; however, employees who commenced service</w:t>
      </w:r>
      <w:r>
        <w:rPr>
          <w:rFonts w:ascii="Arial" w:cs="Arial" w:eastAsia="Arial" w:hAnsi="Arial"/>
          <w:sz w:val="20"/>
          <w:szCs w:val="20"/>
          <w:b w:val="1"/>
          <w:bCs w:val="1"/>
          <w:color w:val="0071CE"/>
        </w:rPr>
        <w:t xml:space="preserve"> </w:t>
      </w:r>
      <w:r>
        <w:rPr>
          <w:rFonts w:ascii="Arial" w:cs="Arial" w:eastAsia="Arial" w:hAnsi="Arial"/>
          <w:sz w:val="20"/>
          <w:szCs w:val="20"/>
          <w:color w:val="3E3935"/>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SRP. As of December 31, 2021, Ms. Barra and Messrs. Reuss, Parks, and Carlisle were eligible for early retirement. The DB ERP is payable as a five-year certain annuity, with payments starting upon the retirement of the executive and continuing for 60 months.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3E3935"/>
        </w:rPr>
        <w:t>GM Canadian Retirement Program for Salaried Employees</w:t>
      </w:r>
    </w:p>
    <w:p>
      <w:pPr>
        <w:spacing w:after="0" w:line="151"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Canadian Retirement Program for Salaried Employees (“GM Canada Salaried Plan”) is a</w:t>
      </w:r>
      <w:r>
        <w:rPr>
          <w:rFonts w:ascii="Arial" w:cs="Arial" w:eastAsia="Arial" w:hAnsi="Arial"/>
          <w:sz w:val="20"/>
          <w:szCs w:val="20"/>
          <w:b w:val="1"/>
          <w:bCs w:val="1"/>
          <w:color w:val="0071CE"/>
        </w:rPr>
        <w:t xml:space="preserve"> </w:t>
      </w:r>
      <w:r>
        <w:rPr>
          <w:rFonts w:ascii="Arial" w:cs="Arial" w:eastAsia="Arial" w:hAnsi="Arial"/>
          <w:sz w:val="20"/>
          <w:szCs w:val="20"/>
          <w:color w:val="3E3935"/>
        </w:rPr>
        <w:t>funded DB plan open to all GM Canada employees hired prior to January 1, 2007, when it closed to new entrants. The plan permitted employee contributions, which vested immediately, until December 31, 2012. All DB accruals were frozen on December 31, 2012, with service continuing towards eligibility to retire.</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Benefit Formula:</w:t>
      </w:r>
    </w:p>
    <w:p>
      <w:pPr>
        <w:spacing w:after="0" w:line="131" w:lineRule="exact"/>
        <w:rPr>
          <w:sz w:val="20"/>
          <w:szCs w:val="20"/>
          <w:color w:val="auto"/>
        </w:rPr>
      </w:pPr>
    </w:p>
    <w:p>
      <w:pPr>
        <w:jc w:val="both"/>
        <w:ind w:left="160"/>
        <w:spacing w:after="0" w:line="246" w:lineRule="auto"/>
        <w:rPr>
          <w:sz w:val="20"/>
          <w:szCs w:val="20"/>
          <w:color w:val="auto"/>
        </w:rPr>
      </w:pPr>
      <w:r>
        <w:rPr>
          <w:rFonts w:ascii="Arial" w:cs="Arial" w:eastAsia="Arial" w:hAnsi="Arial"/>
          <w:sz w:val="19"/>
          <w:szCs w:val="19"/>
          <w:b w:val="1"/>
          <w:bCs w:val="1"/>
          <w:color w:val="0071CE"/>
        </w:rPr>
        <w:t xml:space="preserve">Service Prior to January 1, 2007: </w:t>
      </w:r>
      <w:r>
        <w:rPr>
          <w:rFonts w:ascii="Arial" w:cs="Arial" w:eastAsia="Arial" w:hAnsi="Arial"/>
          <w:sz w:val="19"/>
          <w:szCs w:val="19"/>
          <w:color w:val="3E3935"/>
        </w:rPr>
        <w:t>1.0 percent of final 3-year average pay plus 0.75 percent of final 3-year average pay in</w:t>
      </w:r>
      <w:r>
        <w:rPr>
          <w:rFonts w:ascii="Arial" w:cs="Arial" w:eastAsia="Arial" w:hAnsi="Arial"/>
          <w:sz w:val="19"/>
          <w:szCs w:val="19"/>
          <w:b w:val="1"/>
          <w:bCs w:val="1"/>
          <w:color w:val="0071CE"/>
        </w:rPr>
        <w:t xml:space="preserve"> </w:t>
      </w:r>
      <w:r>
        <w:rPr>
          <w:rFonts w:ascii="Arial" w:cs="Arial" w:eastAsia="Arial" w:hAnsi="Arial"/>
          <w:sz w:val="19"/>
          <w:szCs w:val="19"/>
          <w:color w:val="3E3935"/>
        </w:rPr>
        <w:t>excess of 3-year average Yearly Maximum Pensionable Earnings (“YMPE”) per year of contributory service (the 1.0 percent formula is subject to a Minimum Basic Benefit of $ 67 per month per year of contributory service prior to January 1, 2007, if retiring on or after October 1, 2006). Average pay and average YMPE were frozen as of December 31, 2006, for all those active as of December 31, 2006, except for Quebec active members, whose future earnings and YMPE growth are reflected.</w:t>
      </w:r>
    </w:p>
    <w:p>
      <w:pPr>
        <w:spacing w:after="0" w:line="259"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7"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Time and Form of Payment: </w:t>
      </w:r>
      <w:r>
        <w:rPr>
          <w:rFonts w:ascii="Arial" w:cs="Arial" w:eastAsia="Arial" w:hAnsi="Arial"/>
          <w:sz w:val="20"/>
          <w:szCs w:val="20"/>
          <w:color w:val="3E3935"/>
        </w:rPr>
        <w:t>Normal retirement age is defined as age 65. Employees who commenced service prior to 1988</w:t>
      </w:r>
      <w:r>
        <w:rPr>
          <w:rFonts w:ascii="Arial" w:cs="Arial" w:eastAsia="Arial" w:hAnsi="Arial"/>
          <w:sz w:val="20"/>
          <w:szCs w:val="20"/>
          <w:b w:val="1"/>
          <w:bCs w:val="1"/>
          <w:color w:val="0071CE"/>
        </w:rPr>
        <w:t xml:space="preserve"> </w:t>
      </w:r>
      <w:r>
        <w:rPr>
          <w:rFonts w:ascii="Arial" w:cs="Arial" w:eastAsia="Arial" w:hAnsi="Arial"/>
          <w:sz w:val="20"/>
          <w:szCs w:val="20"/>
          <w:color w:val="3E3935"/>
        </w:rPr>
        <w:t>may elect early retirement after 30 years of credited service, 85 points, based on combined age and service, or age 60 and 10 or more years of service, with certain age-reduction factors applied. As of December 31, 2021, Mr. Carlisle was eligible for early retirement. The plan also provides bridging supplements. The plan provides a single-life annuity, a spousal joint and survivor annuity, a contingent annuitant optional form of payment, or a 100 percent lump sum option.</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Tax Code Limitations on Benefits: </w:t>
      </w:r>
      <w:r>
        <w:rPr>
          <w:rFonts w:ascii="Arial" w:cs="Arial" w:eastAsia="Arial" w:hAnsi="Arial"/>
          <w:sz w:val="20"/>
          <w:szCs w:val="20"/>
          <w:color w:val="3E3935"/>
        </w:rPr>
        <w:t>The Income Tax Act limits the benefits payable from a registered pension plan.</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table below reflects pension benefits as of December 31, 2021, provided by the respective plans.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2160" w:type="dxa"/>
            <w:vAlign w:val="bottom"/>
            <w:tcBorders>
              <w:top w:val="single" w:sz="8" w:color="00C1DE"/>
            </w:tcBorders>
          </w:tcPr>
          <w:p>
            <w:pPr>
              <w:spacing w:after="0"/>
              <w:rPr>
                <w:sz w:val="18"/>
                <w:szCs w:val="18"/>
                <w:color w:val="auto"/>
              </w:rPr>
            </w:pPr>
          </w:p>
        </w:tc>
        <w:tc>
          <w:tcPr>
            <w:tcW w:w="2680" w:type="dxa"/>
            <w:vAlign w:val="bottom"/>
            <w:tcBorders>
              <w:top w:val="single" w:sz="8" w:color="00C1DE"/>
            </w:tcBorders>
          </w:tcPr>
          <w:p>
            <w:pPr>
              <w:spacing w:after="0"/>
              <w:rPr>
                <w:sz w:val="18"/>
                <w:szCs w:val="18"/>
                <w:color w:val="auto"/>
              </w:rPr>
            </w:pPr>
          </w:p>
        </w:tc>
        <w:tc>
          <w:tcPr>
            <w:tcW w:w="2380" w:type="dxa"/>
            <w:vAlign w:val="bottom"/>
            <w:tcBorders>
              <w:top w:val="single" w:sz="8" w:color="00C1DE"/>
            </w:tcBorders>
          </w:tcPr>
          <w:p>
            <w:pPr>
              <w:jc w:val="right"/>
              <w:ind w:right="62"/>
              <w:spacing w:after="0" w:line="217" w:lineRule="exact"/>
              <w:rPr>
                <w:sz w:val="20"/>
                <w:szCs w:val="20"/>
                <w:color w:val="auto"/>
              </w:rPr>
            </w:pPr>
            <w:r>
              <w:rPr>
                <w:rFonts w:ascii="Arial" w:cs="Arial" w:eastAsia="Arial" w:hAnsi="Arial"/>
                <w:sz w:val="20"/>
                <w:szCs w:val="20"/>
                <w:b w:val="1"/>
                <w:bCs w:val="1"/>
                <w:color w:val="00C1DE"/>
              </w:rPr>
              <w:t>Number of Years</w:t>
            </w:r>
          </w:p>
        </w:tc>
        <w:tc>
          <w:tcPr>
            <w:tcW w:w="1860" w:type="dxa"/>
            <w:vAlign w:val="bottom"/>
            <w:tcBorders>
              <w:top w:val="single" w:sz="8" w:color="00C1DE"/>
            </w:tcBorders>
          </w:tcPr>
          <w:p>
            <w:pPr>
              <w:jc w:val="right"/>
              <w:ind w:right="62"/>
              <w:spacing w:after="0" w:line="217" w:lineRule="exact"/>
              <w:rPr>
                <w:sz w:val="20"/>
                <w:szCs w:val="20"/>
                <w:color w:val="auto"/>
              </w:rPr>
            </w:pPr>
            <w:r>
              <w:rPr>
                <w:rFonts w:ascii="Arial" w:cs="Arial" w:eastAsia="Arial" w:hAnsi="Arial"/>
                <w:sz w:val="20"/>
                <w:szCs w:val="20"/>
                <w:b w:val="1"/>
                <w:bCs w:val="1"/>
                <w:color w:val="00C1DE"/>
              </w:rPr>
              <w:t>Present Value of</w:t>
            </w:r>
          </w:p>
        </w:tc>
        <w:tc>
          <w:tcPr>
            <w:tcW w:w="1840" w:type="dxa"/>
            <w:vAlign w:val="bottom"/>
            <w:tcBorders>
              <w:top w:val="single" w:sz="8" w:color="00C1DE"/>
            </w:tcBorders>
            <w:vMerge w:val="restart"/>
          </w:tcPr>
          <w:p>
            <w:pPr>
              <w:jc w:val="right"/>
              <w:spacing w:after="0"/>
              <w:rPr>
                <w:sz w:val="20"/>
                <w:szCs w:val="20"/>
                <w:color w:val="auto"/>
              </w:rPr>
            </w:pPr>
            <w:r>
              <w:rPr>
                <w:rFonts w:ascii="Arial" w:cs="Arial" w:eastAsia="Arial" w:hAnsi="Arial"/>
                <w:sz w:val="20"/>
                <w:szCs w:val="20"/>
                <w:b w:val="1"/>
                <w:bCs w:val="1"/>
                <w:color w:val="00C1DE"/>
              </w:rPr>
              <w:t>Payments During</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8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of Eligible Credited</w:t>
            </w:r>
          </w:p>
        </w:tc>
        <w:tc>
          <w:tcPr>
            <w:tcW w:w="186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Accumulated</w:t>
            </w: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8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Service as of</w:t>
            </w:r>
          </w:p>
        </w:tc>
        <w:tc>
          <w:tcPr>
            <w:tcW w:w="186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Benefits</w:t>
            </w:r>
            <w:r>
              <w:rPr>
                <w:rFonts w:ascii="Arial" w:cs="Arial" w:eastAsia="Arial" w:hAnsi="Arial"/>
                <w:sz w:val="16"/>
                <w:szCs w:val="16"/>
                <w:b w:val="1"/>
                <w:bCs w:val="1"/>
                <w:color w:val="00C1DE"/>
              </w:rPr>
              <w:t>(2)</w:t>
            </w:r>
          </w:p>
        </w:tc>
        <w:tc>
          <w:tcPr>
            <w:tcW w:w="184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Last Fiscal Year</w:t>
            </w:r>
          </w:p>
        </w:tc>
        <w:tc>
          <w:tcPr>
            <w:tcW w:w="0" w:type="dxa"/>
            <w:vAlign w:val="bottom"/>
          </w:tcPr>
          <w:p>
            <w:pPr>
              <w:spacing w:after="0"/>
              <w:rPr>
                <w:sz w:val="1"/>
                <w:szCs w:val="1"/>
                <w:color w:val="auto"/>
              </w:rPr>
            </w:pPr>
          </w:p>
        </w:tc>
      </w:tr>
      <w:tr>
        <w:trPr>
          <w:trHeight w:val="278"/>
        </w:trPr>
        <w:tc>
          <w:tcPr>
            <w:tcW w:w="2160" w:type="dxa"/>
            <w:vAlign w:val="bottom"/>
            <w:tcBorders>
              <w:bottom w:val="single" w:sz="8" w:color="00C1DE"/>
            </w:tcBorders>
          </w:tcPr>
          <w:p>
            <w:pPr>
              <w:ind w:left="120"/>
              <w:spacing w:after="0"/>
              <w:rPr>
                <w:sz w:val="20"/>
                <w:szCs w:val="20"/>
                <w:color w:val="auto"/>
              </w:rPr>
            </w:pPr>
            <w:r>
              <w:rPr>
                <w:rFonts w:ascii="Arial" w:cs="Arial" w:eastAsia="Arial" w:hAnsi="Arial"/>
                <w:sz w:val="20"/>
                <w:szCs w:val="20"/>
                <w:b w:val="1"/>
                <w:bCs w:val="1"/>
                <w:color w:val="00C1DE"/>
              </w:rPr>
              <w:t>Name</w:t>
            </w:r>
          </w:p>
        </w:tc>
        <w:tc>
          <w:tcPr>
            <w:tcW w:w="2680" w:type="dxa"/>
            <w:vAlign w:val="bottom"/>
            <w:tcBorders>
              <w:bottom w:val="single" w:sz="8" w:color="00C1DE"/>
            </w:tcBorders>
          </w:tcPr>
          <w:p>
            <w:pPr>
              <w:ind w:left="180"/>
              <w:spacing w:after="0"/>
              <w:rPr>
                <w:sz w:val="20"/>
                <w:szCs w:val="20"/>
                <w:color w:val="auto"/>
              </w:rPr>
            </w:pPr>
            <w:r>
              <w:rPr>
                <w:rFonts w:ascii="Arial" w:cs="Arial" w:eastAsia="Arial" w:hAnsi="Arial"/>
                <w:sz w:val="20"/>
                <w:szCs w:val="20"/>
                <w:b w:val="1"/>
                <w:bCs w:val="1"/>
                <w:color w:val="00C1DE"/>
              </w:rPr>
              <w:t>Plan Name</w:t>
            </w:r>
          </w:p>
        </w:tc>
        <w:tc>
          <w:tcPr>
            <w:tcW w:w="238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December 31, 2021</w:t>
            </w:r>
            <w:r>
              <w:rPr>
                <w:rFonts w:ascii="Arial" w:cs="Arial" w:eastAsia="Arial" w:hAnsi="Arial"/>
                <w:sz w:val="16"/>
                <w:szCs w:val="16"/>
                <w:b w:val="1"/>
                <w:bCs w:val="1"/>
                <w:color w:val="00C1DE"/>
              </w:rPr>
              <w:t>(1)</w:t>
            </w:r>
          </w:p>
        </w:tc>
        <w:tc>
          <w:tcPr>
            <w:tcW w:w="186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w:t>
            </w:r>
          </w:p>
        </w:tc>
        <w:tc>
          <w:tcPr>
            <w:tcW w:w="184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296"/>
        </w:trPr>
        <w:tc>
          <w:tcPr>
            <w:tcW w:w="2160" w:type="dxa"/>
            <w:vAlign w:val="bottom"/>
          </w:tcPr>
          <w:p>
            <w:pPr>
              <w:ind w:left="100"/>
              <w:spacing w:after="0"/>
              <w:rPr>
                <w:sz w:val="20"/>
                <w:szCs w:val="20"/>
                <w:color w:val="auto"/>
              </w:rPr>
            </w:pPr>
            <w:r>
              <w:rPr>
                <w:rFonts w:ascii="Arial" w:cs="Arial" w:eastAsia="Arial" w:hAnsi="Arial"/>
                <w:sz w:val="20"/>
                <w:szCs w:val="20"/>
                <w:color w:val="3E3935"/>
              </w:rPr>
              <w:t>Mary T. Barra</w:t>
            </w:r>
          </w:p>
        </w:tc>
        <w:tc>
          <w:tcPr>
            <w:tcW w:w="2680" w:type="dxa"/>
            <w:vAlign w:val="bottom"/>
          </w:tcPr>
          <w:p>
            <w:pPr>
              <w:ind w:left="180"/>
              <w:spacing w:after="0"/>
              <w:rPr>
                <w:sz w:val="20"/>
                <w:szCs w:val="20"/>
                <w:color w:val="auto"/>
              </w:rPr>
            </w:pPr>
            <w:r>
              <w:rPr>
                <w:rFonts w:ascii="Arial" w:cs="Arial" w:eastAsia="Arial" w:hAnsi="Arial"/>
                <w:sz w:val="20"/>
                <w:szCs w:val="20"/>
                <w:color w:val="3E3935"/>
              </w:rPr>
              <w:t>SRP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39.3</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1,433,790</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1"/>
        </w:trPr>
        <w:tc>
          <w:tcPr>
            <w:tcW w:w="216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20"/>
                <w:szCs w:val="20"/>
                <w:color w:val="3E3935"/>
              </w:rPr>
              <w:t>DB ERP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39.3</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1,291,346</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680" w:type="dxa"/>
            <w:vAlign w:val="bottom"/>
            <w:tcBorders>
              <w:bottom w:val="single" w:sz="8" w:color="3E3935"/>
            </w:tcBorders>
          </w:tcPr>
          <w:p>
            <w:pPr>
              <w:spacing w:after="0"/>
              <w:rPr>
                <w:sz w:val="5"/>
                <w:szCs w:val="5"/>
                <w:color w:val="auto"/>
              </w:rPr>
            </w:pPr>
          </w:p>
        </w:tc>
        <w:tc>
          <w:tcPr>
            <w:tcW w:w="2380" w:type="dxa"/>
            <w:vAlign w:val="bottom"/>
            <w:tcBorders>
              <w:bottom w:val="single" w:sz="8" w:color="3E3935"/>
            </w:tcBorders>
          </w:tcPr>
          <w:p>
            <w:pPr>
              <w:spacing w:after="0"/>
              <w:rPr>
                <w:sz w:val="5"/>
                <w:szCs w:val="5"/>
                <w:color w:val="auto"/>
              </w:rPr>
            </w:pPr>
          </w:p>
        </w:tc>
        <w:tc>
          <w:tcPr>
            <w:tcW w:w="1860" w:type="dxa"/>
            <w:vAlign w:val="bottom"/>
            <w:tcBorders>
              <w:bottom w:val="single" w:sz="8" w:color="3E3935"/>
            </w:tcBorders>
          </w:tcPr>
          <w:p>
            <w:pPr>
              <w:spacing w:after="0"/>
              <w:rPr>
                <w:sz w:val="5"/>
                <w:szCs w:val="5"/>
                <w:color w:val="auto"/>
              </w:rPr>
            </w:pPr>
          </w:p>
        </w:tc>
        <w:tc>
          <w:tcPr>
            <w:tcW w:w="1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100"/>
              <w:spacing w:after="0"/>
              <w:rPr>
                <w:sz w:val="20"/>
                <w:szCs w:val="20"/>
                <w:color w:val="auto"/>
              </w:rPr>
            </w:pPr>
            <w:r>
              <w:rPr>
                <w:rFonts w:ascii="Arial" w:cs="Arial" w:eastAsia="Arial" w:hAnsi="Arial"/>
                <w:sz w:val="20"/>
                <w:szCs w:val="20"/>
                <w:color w:val="3E3935"/>
              </w:rPr>
              <w:t>Paul A. Jacobson</w:t>
            </w:r>
            <w:r>
              <w:rPr>
                <w:rFonts w:ascii="Arial" w:cs="Arial" w:eastAsia="Arial" w:hAnsi="Arial"/>
                <w:sz w:val="16"/>
                <w:szCs w:val="16"/>
                <w:color w:val="3E3935"/>
              </w:rPr>
              <w:t>(3)</w:t>
            </w:r>
          </w:p>
        </w:tc>
        <w:tc>
          <w:tcPr>
            <w:tcW w:w="2680" w:type="dxa"/>
            <w:vAlign w:val="bottom"/>
          </w:tcPr>
          <w:p>
            <w:pPr>
              <w:ind w:left="180"/>
              <w:spacing w:after="0"/>
              <w:rPr>
                <w:sz w:val="20"/>
                <w:szCs w:val="20"/>
                <w:color w:val="auto"/>
              </w:rPr>
            </w:pPr>
            <w:r>
              <w:rPr>
                <w:rFonts w:ascii="Arial" w:cs="Arial" w:eastAsia="Arial" w:hAnsi="Arial"/>
                <w:sz w:val="20"/>
                <w:szCs w:val="20"/>
                <w:color w:val="3E3935"/>
              </w:rPr>
              <w:t>—</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680" w:type="dxa"/>
            <w:vAlign w:val="bottom"/>
            <w:tcBorders>
              <w:bottom w:val="single" w:sz="8" w:color="3E3935"/>
            </w:tcBorders>
          </w:tcPr>
          <w:p>
            <w:pPr>
              <w:spacing w:after="0"/>
              <w:rPr>
                <w:sz w:val="5"/>
                <w:szCs w:val="5"/>
                <w:color w:val="auto"/>
              </w:rPr>
            </w:pPr>
          </w:p>
        </w:tc>
        <w:tc>
          <w:tcPr>
            <w:tcW w:w="2380" w:type="dxa"/>
            <w:vAlign w:val="bottom"/>
            <w:tcBorders>
              <w:bottom w:val="single" w:sz="8" w:color="3E3935"/>
            </w:tcBorders>
          </w:tcPr>
          <w:p>
            <w:pPr>
              <w:spacing w:after="0"/>
              <w:rPr>
                <w:sz w:val="5"/>
                <w:szCs w:val="5"/>
                <w:color w:val="auto"/>
              </w:rPr>
            </w:pPr>
          </w:p>
        </w:tc>
        <w:tc>
          <w:tcPr>
            <w:tcW w:w="1860" w:type="dxa"/>
            <w:vAlign w:val="bottom"/>
            <w:tcBorders>
              <w:bottom w:val="single" w:sz="8" w:color="3E3935"/>
            </w:tcBorders>
          </w:tcPr>
          <w:p>
            <w:pPr>
              <w:spacing w:after="0"/>
              <w:rPr>
                <w:sz w:val="5"/>
                <w:szCs w:val="5"/>
                <w:color w:val="auto"/>
              </w:rPr>
            </w:pPr>
          </w:p>
        </w:tc>
        <w:tc>
          <w:tcPr>
            <w:tcW w:w="1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100"/>
              <w:spacing w:after="0"/>
              <w:rPr>
                <w:sz w:val="20"/>
                <w:szCs w:val="20"/>
                <w:color w:val="auto"/>
              </w:rPr>
            </w:pPr>
            <w:r>
              <w:rPr>
                <w:rFonts w:ascii="Arial" w:cs="Arial" w:eastAsia="Arial" w:hAnsi="Arial"/>
                <w:sz w:val="20"/>
                <w:szCs w:val="20"/>
                <w:color w:val="3E3935"/>
              </w:rPr>
              <w:t>Mark L. Reuss</w:t>
            </w:r>
          </w:p>
        </w:tc>
        <w:tc>
          <w:tcPr>
            <w:tcW w:w="2680" w:type="dxa"/>
            <w:vAlign w:val="bottom"/>
          </w:tcPr>
          <w:p>
            <w:pPr>
              <w:ind w:left="180"/>
              <w:spacing w:after="0"/>
              <w:rPr>
                <w:sz w:val="20"/>
                <w:szCs w:val="20"/>
                <w:color w:val="auto"/>
              </w:rPr>
            </w:pPr>
            <w:r>
              <w:rPr>
                <w:rFonts w:ascii="Arial" w:cs="Arial" w:eastAsia="Arial" w:hAnsi="Arial"/>
                <w:sz w:val="20"/>
                <w:szCs w:val="20"/>
                <w:color w:val="3E3935"/>
              </w:rPr>
              <w:t>SRP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34.8</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1,175,528</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1"/>
        </w:trPr>
        <w:tc>
          <w:tcPr>
            <w:tcW w:w="216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20"/>
                <w:szCs w:val="20"/>
                <w:color w:val="3E3935"/>
              </w:rPr>
              <w:t>DB ERP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34.8</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776,940</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680" w:type="dxa"/>
            <w:vAlign w:val="bottom"/>
            <w:tcBorders>
              <w:bottom w:val="single" w:sz="8" w:color="3E3935"/>
            </w:tcBorders>
          </w:tcPr>
          <w:p>
            <w:pPr>
              <w:spacing w:after="0"/>
              <w:rPr>
                <w:sz w:val="5"/>
                <w:szCs w:val="5"/>
                <w:color w:val="auto"/>
              </w:rPr>
            </w:pPr>
          </w:p>
        </w:tc>
        <w:tc>
          <w:tcPr>
            <w:tcW w:w="2380" w:type="dxa"/>
            <w:vAlign w:val="bottom"/>
            <w:tcBorders>
              <w:bottom w:val="single" w:sz="8" w:color="3E3935"/>
            </w:tcBorders>
          </w:tcPr>
          <w:p>
            <w:pPr>
              <w:spacing w:after="0"/>
              <w:rPr>
                <w:sz w:val="5"/>
                <w:szCs w:val="5"/>
                <w:color w:val="auto"/>
              </w:rPr>
            </w:pPr>
          </w:p>
        </w:tc>
        <w:tc>
          <w:tcPr>
            <w:tcW w:w="1860" w:type="dxa"/>
            <w:vAlign w:val="bottom"/>
            <w:tcBorders>
              <w:bottom w:val="single" w:sz="8" w:color="3E3935"/>
            </w:tcBorders>
          </w:tcPr>
          <w:p>
            <w:pPr>
              <w:spacing w:after="0"/>
              <w:rPr>
                <w:sz w:val="5"/>
                <w:szCs w:val="5"/>
                <w:color w:val="auto"/>
              </w:rPr>
            </w:pPr>
          </w:p>
        </w:tc>
        <w:tc>
          <w:tcPr>
            <w:tcW w:w="1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100"/>
              <w:spacing w:after="0"/>
              <w:rPr>
                <w:sz w:val="20"/>
                <w:szCs w:val="20"/>
                <w:color w:val="auto"/>
              </w:rPr>
            </w:pPr>
            <w:r>
              <w:rPr>
                <w:rFonts w:ascii="Arial" w:cs="Arial" w:eastAsia="Arial" w:hAnsi="Arial"/>
                <w:sz w:val="20"/>
                <w:szCs w:val="20"/>
                <w:color w:val="3E3935"/>
              </w:rPr>
              <w:t>Douglas L. Parks</w:t>
            </w:r>
          </w:p>
        </w:tc>
        <w:tc>
          <w:tcPr>
            <w:tcW w:w="2680" w:type="dxa"/>
            <w:vAlign w:val="bottom"/>
          </w:tcPr>
          <w:p>
            <w:pPr>
              <w:ind w:left="180"/>
              <w:spacing w:after="0"/>
              <w:rPr>
                <w:sz w:val="20"/>
                <w:szCs w:val="20"/>
                <w:color w:val="auto"/>
              </w:rPr>
            </w:pPr>
            <w:r>
              <w:rPr>
                <w:rFonts w:ascii="Arial" w:cs="Arial" w:eastAsia="Arial" w:hAnsi="Arial"/>
                <w:sz w:val="20"/>
                <w:szCs w:val="20"/>
                <w:color w:val="3E3935"/>
              </w:rPr>
              <w:t>SRP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36.7</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1,259,261</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1"/>
        </w:trPr>
        <w:tc>
          <w:tcPr>
            <w:tcW w:w="216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20"/>
                <w:szCs w:val="20"/>
                <w:color w:val="3E3935"/>
              </w:rPr>
              <w:t>DB ERP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36.7</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491,556</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680" w:type="dxa"/>
            <w:vAlign w:val="bottom"/>
            <w:tcBorders>
              <w:bottom w:val="single" w:sz="8" w:color="3E3935"/>
            </w:tcBorders>
          </w:tcPr>
          <w:p>
            <w:pPr>
              <w:spacing w:after="0"/>
              <w:rPr>
                <w:sz w:val="5"/>
                <w:szCs w:val="5"/>
                <w:color w:val="auto"/>
              </w:rPr>
            </w:pPr>
          </w:p>
        </w:tc>
        <w:tc>
          <w:tcPr>
            <w:tcW w:w="2380" w:type="dxa"/>
            <w:vAlign w:val="bottom"/>
            <w:tcBorders>
              <w:bottom w:val="single" w:sz="8" w:color="3E3935"/>
            </w:tcBorders>
          </w:tcPr>
          <w:p>
            <w:pPr>
              <w:spacing w:after="0"/>
              <w:rPr>
                <w:sz w:val="5"/>
                <w:szCs w:val="5"/>
                <w:color w:val="auto"/>
              </w:rPr>
            </w:pPr>
          </w:p>
        </w:tc>
        <w:tc>
          <w:tcPr>
            <w:tcW w:w="1860" w:type="dxa"/>
            <w:vAlign w:val="bottom"/>
            <w:tcBorders>
              <w:bottom w:val="single" w:sz="8" w:color="3E3935"/>
            </w:tcBorders>
          </w:tcPr>
          <w:p>
            <w:pPr>
              <w:spacing w:after="0"/>
              <w:rPr>
                <w:sz w:val="5"/>
                <w:szCs w:val="5"/>
                <w:color w:val="auto"/>
              </w:rPr>
            </w:pPr>
          </w:p>
        </w:tc>
        <w:tc>
          <w:tcPr>
            <w:tcW w:w="1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160" w:type="dxa"/>
            <w:vAlign w:val="bottom"/>
          </w:tcPr>
          <w:p>
            <w:pPr>
              <w:ind w:left="100"/>
              <w:spacing w:after="0"/>
              <w:rPr>
                <w:sz w:val="20"/>
                <w:szCs w:val="20"/>
                <w:color w:val="auto"/>
              </w:rPr>
            </w:pPr>
            <w:r>
              <w:rPr>
                <w:rFonts w:ascii="Arial" w:cs="Arial" w:eastAsia="Arial" w:hAnsi="Arial"/>
                <w:sz w:val="20"/>
                <w:szCs w:val="20"/>
                <w:color w:val="3E3935"/>
              </w:rPr>
              <w:t>Stephen K. Carlisle</w:t>
            </w:r>
            <w:r>
              <w:rPr>
                <w:rFonts w:ascii="Arial" w:cs="Arial" w:eastAsia="Arial" w:hAnsi="Arial"/>
                <w:sz w:val="16"/>
                <w:szCs w:val="16"/>
                <w:color w:val="3E3935"/>
              </w:rPr>
              <w:t>(4)</w:t>
            </w:r>
          </w:p>
        </w:tc>
        <w:tc>
          <w:tcPr>
            <w:tcW w:w="2680" w:type="dxa"/>
            <w:vAlign w:val="bottom"/>
          </w:tcPr>
          <w:p>
            <w:pPr>
              <w:ind w:left="180"/>
              <w:spacing w:after="0"/>
              <w:rPr>
                <w:sz w:val="20"/>
                <w:szCs w:val="20"/>
                <w:color w:val="auto"/>
              </w:rPr>
            </w:pPr>
            <w:r>
              <w:rPr>
                <w:rFonts w:ascii="Arial" w:cs="Arial" w:eastAsia="Arial" w:hAnsi="Arial"/>
                <w:sz w:val="20"/>
                <w:szCs w:val="20"/>
                <w:color w:val="3E3935"/>
              </w:rPr>
              <w:t>SRP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37.6</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952,013</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1"/>
        </w:trPr>
        <w:tc>
          <w:tcPr>
            <w:tcW w:w="216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20"/>
                <w:szCs w:val="20"/>
                <w:color w:val="3E3935"/>
              </w:rPr>
              <w:t>DB ERP</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37.6</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423,897</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1"/>
        </w:trPr>
        <w:tc>
          <w:tcPr>
            <w:tcW w:w="216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20"/>
                <w:szCs w:val="20"/>
                <w:color w:val="3E3935"/>
              </w:rPr>
              <w:t>GM Canada Salaried Plan</w:t>
            </w:r>
          </w:p>
        </w:tc>
        <w:tc>
          <w:tcPr>
            <w:tcW w:w="2380" w:type="dxa"/>
            <w:vAlign w:val="bottom"/>
          </w:tcPr>
          <w:p>
            <w:pPr>
              <w:jc w:val="right"/>
              <w:ind w:right="62"/>
              <w:spacing w:after="0"/>
              <w:rPr>
                <w:sz w:val="20"/>
                <w:szCs w:val="20"/>
                <w:color w:val="auto"/>
              </w:rPr>
            </w:pPr>
            <w:r>
              <w:rPr>
                <w:rFonts w:ascii="Arial" w:cs="Arial" w:eastAsia="Arial" w:hAnsi="Arial"/>
                <w:sz w:val="20"/>
                <w:szCs w:val="20"/>
                <w:color w:val="3E3935"/>
              </w:rPr>
              <w:t>37.6</w:t>
            </w:r>
          </w:p>
        </w:tc>
        <w:tc>
          <w:tcPr>
            <w:tcW w:w="1860" w:type="dxa"/>
            <w:vAlign w:val="bottom"/>
          </w:tcPr>
          <w:p>
            <w:pPr>
              <w:jc w:val="right"/>
              <w:ind w:right="62"/>
              <w:spacing w:after="0"/>
              <w:rPr>
                <w:sz w:val="20"/>
                <w:szCs w:val="20"/>
                <w:color w:val="auto"/>
              </w:rPr>
            </w:pPr>
            <w:r>
              <w:rPr>
                <w:rFonts w:ascii="Arial" w:cs="Arial" w:eastAsia="Arial" w:hAnsi="Arial"/>
                <w:sz w:val="20"/>
                <w:szCs w:val="20"/>
                <w:color w:val="3E3935"/>
              </w:rPr>
              <w:t>234,723</w:t>
            </w:r>
          </w:p>
        </w:tc>
        <w:tc>
          <w:tcPr>
            <w:tcW w:w="184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0" w:lineRule="exact"/>
        <w:rPr>
          <w:sz w:val="20"/>
          <w:szCs w:val="20"/>
          <w:color w:val="auto"/>
        </w:rPr>
      </w:pPr>
    </w:p>
    <w:p>
      <w:pPr>
        <w:ind w:left="700" w:hanging="533"/>
        <w:spacing w:after="0" w:line="251" w:lineRule="auto"/>
        <w:tabs>
          <w:tab w:leader="none" w:pos="700" w:val="left"/>
        </w:tabs>
        <w:numPr>
          <w:ilvl w:val="0"/>
          <w:numId w:val="137"/>
        </w:numPr>
        <w:rPr>
          <w:rFonts w:ascii="Arial" w:cs="Arial" w:eastAsia="Arial" w:hAnsi="Arial"/>
          <w:sz w:val="20"/>
          <w:szCs w:val="20"/>
          <w:i w:val="1"/>
          <w:iCs w:val="1"/>
          <w:color w:val="3E3935"/>
        </w:rPr>
      </w:pPr>
      <w:r>
        <w:rPr>
          <w:rFonts w:ascii="Arial" w:cs="Arial" w:eastAsia="Arial" w:hAnsi="Arial"/>
          <w:sz w:val="20"/>
          <w:szCs w:val="20"/>
          <w:i w:val="1"/>
          <w:iCs w:val="1"/>
          <w:color w:val="3E3935"/>
        </w:rPr>
        <w:t>Eligible service recognizes credited service under the frozen qualified SRP in addition to future service to determine retirement eligibility.</w:t>
      </w:r>
    </w:p>
    <w:p>
      <w:pPr>
        <w:spacing w:after="0" w:line="27" w:lineRule="exact"/>
        <w:rPr>
          <w:rFonts w:ascii="Arial" w:cs="Arial" w:eastAsia="Arial" w:hAnsi="Arial"/>
          <w:sz w:val="20"/>
          <w:szCs w:val="20"/>
          <w:i w:val="1"/>
          <w:iCs w:val="1"/>
          <w:color w:val="3E3935"/>
        </w:rPr>
      </w:pPr>
    </w:p>
    <w:p>
      <w:pPr>
        <w:jc w:val="both"/>
        <w:ind w:left="700" w:hanging="533"/>
        <w:spacing w:after="0" w:line="229" w:lineRule="auto"/>
        <w:tabs>
          <w:tab w:leader="none" w:pos="700" w:val="left"/>
        </w:tabs>
        <w:numPr>
          <w:ilvl w:val="0"/>
          <w:numId w:val="137"/>
        </w:numPr>
        <w:rPr>
          <w:rFonts w:ascii="Arial" w:cs="Arial" w:eastAsia="Arial" w:hAnsi="Arial"/>
          <w:sz w:val="20"/>
          <w:szCs w:val="20"/>
          <w:i w:val="1"/>
          <w:iCs w:val="1"/>
          <w:color w:val="3E3935"/>
        </w:rPr>
      </w:pPr>
      <w:r>
        <w:rPr>
          <w:rFonts w:ascii="Arial" w:cs="Arial" w:eastAsia="Arial" w:hAnsi="Arial"/>
          <w:sz w:val="20"/>
          <w:szCs w:val="20"/>
          <w:i w:val="1"/>
          <w:iCs w:val="1"/>
          <w:color w:val="3E3935"/>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2021, FASB ASC Topic 715, “Compensation-Retirement Benefits,” except where needed to meet proxy statement requirements. The discount rates used for calculations as of December 31, 2021, for the SRP is 3.01%; for the DB ERP is 2.52%; and for the GM Canada Salaried Plan is 3.04%.</w:t>
      </w:r>
    </w:p>
    <w:p>
      <w:pPr>
        <w:spacing w:after="0" w:line="42" w:lineRule="exact"/>
        <w:rPr>
          <w:rFonts w:ascii="Arial" w:cs="Arial" w:eastAsia="Arial" w:hAnsi="Arial"/>
          <w:sz w:val="20"/>
          <w:szCs w:val="20"/>
          <w:i w:val="1"/>
          <w:iCs w:val="1"/>
          <w:color w:val="3E3935"/>
        </w:rPr>
      </w:pPr>
    </w:p>
    <w:p>
      <w:pPr>
        <w:ind w:left="700" w:hanging="533"/>
        <w:spacing w:after="0"/>
        <w:tabs>
          <w:tab w:leader="none" w:pos="700" w:val="left"/>
        </w:tabs>
        <w:numPr>
          <w:ilvl w:val="0"/>
          <w:numId w:val="137"/>
        </w:numPr>
        <w:rPr>
          <w:rFonts w:ascii="Arial" w:cs="Arial" w:eastAsia="Arial" w:hAnsi="Arial"/>
          <w:sz w:val="20"/>
          <w:szCs w:val="20"/>
          <w:i w:val="1"/>
          <w:iCs w:val="1"/>
          <w:color w:val="3E3935"/>
        </w:rPr>
      </w:pPr>
      <w:r>
        <w:rPr>
          <w:rFonts w:ascii="Arial" w:cs="Arial" w:eastAsia="Arial" w:hAnsi="Arial"/>
          <w:sz w:val="20"/>
          <w:szCs w:val="20"/>
          <w:i w:val="1"/>
          <w:iCs w:val="1"/>
          <w:color w:val="3E3935"/>
        </w:rPr>
        <w:t>Mr. Jacobson is only eligible to participate in DC plans offered by the Company based on his date of service.</w:t>
      </w:r>
    </w:p>
    <w:p>
      <w:pPr>
        <w:spacing w:after="0" w:line="64" w:lineRule="exact"/>
        <w:rPr>
          <w:rFonts w:ascii="Arial" w:cs="Arial" w:eastAsia="Arial" w:hAnsi="Arial"/>
          <w:sz w:val="20"/>
          <w:szCs w:val="20"/>
          <w:i w:val="1"/>
          <w:iCs w:val="1"/>
          <w:color w:val="3E3935"/>
        </w:rPr>
      </w:pPr>
    </w:p>
    <w:p>
      <w:pPr>
        <w:ind w:left="700" w:hanging="533"/>
        <w:spacing w:after="0"/>
        <w:tabs>
          <w:tab w:leader="none" w:pos="700" w:val="left"/>
        </w:tabs>
        <w:numPr>
          <w:ilvl w:val="0"/>
          <w:numId w:val="137"/>
        </w:numPr>
        <w:rPr>
          <w:rFonts w:ascii="Arial" w:cs="Arial" w:eastAsia="Arial" w:hAnsi="Arial"/>
          <w:sz w:val="20"/>
          <w:szCs w:val="20"/>
          <w:i w:val="1"/>
          <w:iCs w:val="1"/>
          <w:color w:val="3E3935"/>
        </w:rPr>
      </w:pPr>
      <w:r>
        <w:rPr>
          <w:rFonts w:ascii="Arial" w:cs="Arial" w:eastAsia="Arial" w:hAnsi="Arial"/>
          <w:sz w:val="20"/>
          <w:szCs w:val="20"/>
          <w:i w:val="1"/>
          <w:iCs w:val="1"/>
          <w:color w:val="3E3935"/>
        </w:rPr>
        <w:t>Mr. Carlisle is a participant in the GM Canada Salaried Plan due to his service with GM Canada.</w:t>
      </w:r>
    </w:p>
    <w:p>
      <w:pPr>
        <w:spacing w:after="0" w:line="317" w:lineRule="exact"/>
        <w:rPr>
          <w:sz w:val="20"/>
          <w:szCs w:val="20"/>
          <w:color w:val="auto"/>
        </w:rPr>
      </w:pPr>
    </w:p>
    <w:p>
      <w:pPr>
        <w:ind w:left="700" w:hanging="533"/>
        <w:spacing w:after="0"/>
        <w:tabs>
          <w:tab w:leader="none" w:pos="700" w:val="left"/>
        </w:tabs>
        <w:numPr>
          <w:ilvl w:val="0"/>
          <w:numId w:val="138"/>
        </w:numPr>
        <w:rPr>
          <w:rFonts w:ascii="Times New Roman" w:cs="Times New Roman" w:eastAsia="Times New Roman" w:hAnsi="Times New Roman"/>
          <w:sz w:val="21"/>
          <w:szCs w:val="21"/>
          <w:color w:val="0071CE"/>
        </w:rPr>
      </w:pPr>
      <w:r>
        <w:rPr>
          <w:rFonts w:ascii="Arial" w:cs="Arial" w:eastAsia="Arial" w:hAnsi="Arial"/>
          <w:sz w:val="25"/>
          <w:szCs w:val="25"/>
          <w:color w:val="3E3935"/>
        </w:rPr>
        <w:t>Nonqualified Deferred Compensation Plan</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We maintain certain deferred compensation programs and arrangements for executives.</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w:t>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IRC, as amended. The DC ERP is maintained as an unfunded plan, and we bear all expenses for administration of the plan and payment of amounts to participants.</w:t>
      </w:r>
    </w:p>
    <w:p>
      <w:pPr>
        <w:spacing w:after="0" w:line="94"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Aggregate account balances disclosed below include both vested and unvested contributions made by the Company. Contributions made prior to 2007 vested immediately. Contributions made between January 1, 2007, and September 30, 2012, vest when the participant attains age 55 with 10 years of service, and the benefit is payable as a five-year certain annuity with payments starting upon the retirement of the executive and continuing for 60 months. Contributions made on or after October 1, 2012, vest when the participant attains three years of service, regardless of age, and the benefit is payable as a 100 percent lump sum upon the retirement of the executive.</w:t>
      </w:r>
    </w:p>
    <w:p>
      <w:pPr>
        <w:spacing w:after="0" w:line="109" w:lineRule="exact"/>
        <w:rPr>
          <w:sz w:val="20"/>
          <w:szCs w:val="20"/>
          <w:color w:val="auto"/>
        </w:rPr>
      </w:pPr>
    </w:p>
    <w:p>
      <w:pPr>
        <w:jc w:val="both"/>
        <w:ind w:left="160" w:right="20"/>
        <w:spacing w:after="0" w:line="251" w:lineRule="auto"/>
        <w:rPr>
          <w:sz w:val="20"/>
          <w:szCs w:val="20"/>
          <w:color w:val="auto"/>
        </w:rPr>
      </w:pPr>
      <w:r>
        <w:rPr>
          <w:rFonts w:ascii="Arial" w:cs="Arial" w:eastAsia="Arial" w:hAnsi="Arial"/>
          <w:sz w:val="20"/>
          <w:szCs w:val="20"/>
          <w:color w:val="3E3935"/>
        </w:rPr>
        <w:t>The table below reflects December 31, 2021, balances for the nonqualified deferred compensation plan and any contributions, earnings, or withdrawals during the year.</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2140" w:type="dxa"/>
            <w:vAlign w:val="bottom"/>
            <w:tcBorders>
              <w:top w:val="single" w:sz="8" w:color="00C1DE"/>
            </w:tcBorders>
          </w:tcPr>
          <w:p>
            <w:pPr>
              <w:spacing w:after="0"/>
              <w:rPr>
                <w:sz w:val="18"/>
                <w:szCs w:val="18"/>
                <w:color w:val="auto"/>
              </w:rPr>
            </w:pPr>
          </w:p>
        </w:tc>
        <w:tc>
          <w:tcPr>
            <w:tcW w:w="1280" w:type="dxa"/>
            <w:vAlign w:val="bottom"/>
            <w:tcBorders>
              <w:top w:val="single" w:sz="8" w:color="00C1DE"/>
            </w:tcBorders>
          </w:tcPr>
          <w:p>
            <w:pPr>
              <w:spacing w:after="0"/>
              <w:rPr>
                <w:sz w:val="18"/>
                <w:szCs w:val="18"/>
                <w:color w:val="auto"/>
              </w:rPr>
            </w:pPr>
          </w:p>
        </w:tc>
        <w:tc>
          <w:tcPr>
            <w:tcW w:w="1580" w:type="dxa"/>
            <w:vAlign w:val="bottom"/>
            <w:tcBorders>
              <w:top w:val="single" w:sz="8" w:color="00C1DE"/>
            </w:tcBorders>
          </w:tcPr>
          <w:p>
            <w:pPr>
              <w:jc w:val="right"/>
              <w:ind w:right="62"/>
              <w:spacing w:after="0" w:line="217" w:lineRule="exact"/>
              <w:rPr>
                <w:sz w:val="20"/>
                <w:szCs w:val="20"/>
                <w:color w:val="auto"/>
              </w:rPr>
            </w:pPr>
            <w:r>
              <w:rPr>
                <w:rFonts w:ascii="Arial" w:cs="Arial" w:eastAsia="Arial" w:hAnsi="Arial"/>
                <w:sz w:val="20"/>
                <w:szCs w:val="20"/>
                <w:b w:val="1"/>
                <w:bCs w:val="1"/>
                <w:color w:val="00C1DE"/>
              </w:rPr>
              <w:t>Executive</w:t>
            </w:r>
          </w:p>
        </w:tc>
        <w:tc>
          <w:tcPr>
            <w:tcW w:w="1600" w:type="dxa"/>
            <w:vAlign w:val="bottom"/>
            <w:tcBorders>
              <w:top w:val="single" w:sz="8" w:color="00C1DE"/>
            </w:tcBorders>
          </w:tcPr>
          <w:p>
            <w:pPr>
              <w:jc w:val="right"/>
              <w:ind w:right="62"/>
              <w:spacing w:after="0" w:line="217" w:lineRule="exact"/>
              <w:rPr>
                <w:sz w:val="20"/>
                <w:szCs w:val="20"/>
                <w:color w:val="auto"/>
              </w:rPr>
            </w:pPr>
            <w:r>
              <w:rPr>
                <w:rFonts w:ascii="Arial" w:cs="Arial" w:eastAsia="Arial" w:hAnsi="Arial"/>
                <w:sz w:val="20"/>
                <w:szCs w:val="20"/>
                <w:b w:val="1"/>
                <w:bCs w:val="1"/>
                <w:color w:val="00C1DE"/>
              </w:rPr>
              <w:t>Registrant</w:t>
            </w:r>
          </w:p>
        </w:tc>
        <w:tc>
          <w:tcPr>
            <w:tcW w:w="1520" w:type="dxa"/>
            <w:vAlign w:val="bottom"/>
            <w:tcBorders>
              <w:top w:val="single" w:sz="8" w:color="00C1DE"/>
            </w:tcBorders>
          </w:tcPr>
          <w:p>
            <w:pPr>
              <w:jc w:val="right"/>
              <w:ind w:right="62"/>
              <w:spacing w:after="0" w:line="217" w:lineRule="exact"/>
              <w:rPr>
                <w:sz w:val="20"/>
                <w:szCs w:val="20"/>
                <w:color w:val="auto"/>
              </w:rPr>
            </w:pPr>
            <w:r>
              <w:rPr>
                <w:rFonts w:ascii="Arial" w:cs="Arial" w:eastAsia="Arial" w:hAnsi="Arial"/>
                <w:sz w:val="20"/>
                <w:szCs w:val="20"/>
                <w:b w:val="1"/>
                <w:bCs w:val="1"/>
                <w:color w:val="00C1DE"/>
              </w:rPr>
              <w:t>Aggregate</w:t>
            </w:r>
          </w:p>
        </w:tc>
        <w:tc>
          <w:tcPr>
            <w:tcW w:w="1520" w:type="dxa"/>
            <w:vAlign w:val="bottom"/>
            <w:tcBorders>
              <w:top w:val="single" w:sz="8" w:color="00C1DE"/>
            </w:tcBorders>
          </w:tcPr>
          <w:p>
            <w:pPr>
              <w:jc w:val="right"/>
              <w:ind w:right="62"/>
              <w:spacing w:after="0" w:line="217" w:lineRule="exact"/>
              <w:rPr>
                <w:sz w:val="20"/>
                <w:szCs w:val="20"/>
                <w:color w:val="auto"/>
              </w:rPr>
            </w:pPr>
            <w:r>
              <w:rPr>
                <w:rFonts w:ascii="Arial" w:cs="Arial" w:eastAsia="Arial" w:hAnsi="Arial"/>
                <w:sz w:val="20"/>
                <w:szCs w:val="20"/>
                <w:b w:val="1"/>
                <w:bCs w:val="1"/>
                <w:color w:val="00C1DE"/>
              </w:rPr>
              <w:t>Aggregate</w:t>
            </w:r>
          </w:p>
        </w:tc>
        <w:tc>
          <w:tcPr>
            <w:tcW w:w="1280" w:type="dxa"/>
            <w:vAlign w:val="bottom"/>
            <w:tcBorders>
              <w:top w:val="single" w:sz="8" w:color="00C1DE"/>
            </w:tcBorders>
          </w:tcPr>
          <w:p>
            <w:pPr>
              <w:jc w:val="right"/>
              <w:spacing w:after="0" w:line="217" w:lineRule="exact"/>
              <w:rPr>
                <w:sz w:val="20"/>
                <w:szCs w:val="20"/>
                <w:color w:val="auto"/>
              </w:rPr>
            </w:pPr>
            <w:r>
              <w:rPr>
                <w:rFonts w:ascii="Arial" w:cs="Arial" w:eastAsia="Arial" w:hAnsi="Arial"/>
                <w:sz w:val="20"/>
                <w:szCs w:val="20"/>
                <w:b w:val="1"/>
                <w:bCs w:val="1"/>
                <w:color w:val="00C1DE"/>
              </w:rPr>
              <w:t>Aggregate</w:t>
            </w:r>
          </w:p>
        </w:tc>
      </w:tr>
      <w:tr>
        <w:trPr>
          <w:trHeight w:val="214"/>
        </w:trPr>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Contributions</w:t>
            </w:r>
          </w:p>
        </w:tc>
        <w:tc>
          <w:tcPr>
            <w:tcW w:w="160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Contributions</w:t>
            </w:r>
          </w:p>
        </w:tc>
        <w:tc>
          <w:tcPr>
            <w:tcW w:w="152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Earnings</w:t>
            </w:r>
          </w:p>
        </w:tc>
        <w:tc>
          <w:tcPr>
            <w:tcW w:w="152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Withdrawals</w:t>
            </w:r>
          </w:p>
        </w:tc>
        <w:tc>
          <w:tcPr>
            <w:tcW w:w="12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Balance at</w:t>
            </w:r>
          </w:p>
        </w:tc>
      </w:tr>
      <w:tr>
        <w:trPr>
          <w:trHeight w:val="214"/>
        </w:trPr>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in the Last</w:t>
            </w:r>
          </w:p>
        </w:tc>
        <w:tc>
          <w:tcPr>
            <w:tcW w:w="160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in the Last</w:t>
            </w:r>
          </w:p>
        </w:tc>
        <w:tc>
          <w:tcPr>
            <w:tcW w:w="152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in the Last</w:t>
            </w:r>
          </w:p>
        </w:tc>
        <w:tc>
          <w:tcPr>
            <w:tcW w:w="152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and</w:t>
            </w:r>
          </w:p>
        </w:tc>
        <w:tc>
          <w:tcPr>
            <w:tcW w:w="12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2021 Fiscal</w:t>
            </w:r>
          </w:p>
        </w:tc>
      </w:tr>
      <w:tr>
        <w:trPr>
          <w:trHeight w:val="214"/>
        </w:trPr>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Fiscal Year</w:t>
            </w:r>
          </w:p>
        </w:tc>
        <w:tc>
          <w:tcPr>
            <w:tcW w:w="160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Fiscal Year</w:t>
            </w:r>
            <w:r>
              <w:rPr>
                <w:rFonts w:ascii="Arial" w:cs="Arial" w:eastAsia="Arial" w:hAnsi="Arial"/>
                <w:sz w:val="16"/>
                <w:szCs w:val="16"/>
                <w:b w:val="1"/>
                <w:bCs w:val="1"/>
                <w:color w:val="00C1DE"/>
              </w:rPr>
              <w:t>(1)</w:t>
            </w:r>
          </w:p>
        </w:tc>
        <w:tc>
          <w:tcPr>
            <w:tcW w:w="152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Fiscal Year</w:t>
            </w:r>
            <w:r>
              <w:rPr>
                <w:rFonts w:ascii="Arial" w:cs="Arial" w:eastAsia="Arial" w:hAnsi="Arial"/>
                <w:sz w:val="16"/>
                <w:szCs w:val="16"/>
                <w:b w:val="1"/>
                <w:bCs w:val="1"/>
                <w:color w:val="00C1DE"/>
              </w:rPr>
              <w:t>(2)</w:t>
            </w:r>
          </w:p>
        </w:tc>
        <w:tc>
          <w:tcPr>
            <w:tcW w:w="152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C1DE"/>
              </w:rPr>
              <w:t>Distributions</w:t>
            </w:r>
          </w:p>
        </w:tc>
        <w:tc>
          <w:tcPr>
            <w:tcW w:w="12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Year End</w:t>
            </w:r>
            <w:r>
              <w:rPr>
                <w:rFonts w:ascii="Arial" w:cs="Arial" w:eastAsia="Arial" w:hAnsi="Arial"/>
                <w:sz w:val="16"/>
                <w:szCs w:val="16"/>
                <w:b w:val="1"/>
                <w:bCs w:val="1"/>
                <w:color w:val="00C1DE"/>
              </w:rPr>
              <w:t>(3)</w:t>
            </w:r>
          </w:p>
        </w:tc>
      </w:tr>
      <w:tr>
        <w:trPr>
          <w:trHeight w:val="278"/>
        </w:trPr>
        <w:tc>
          <w:tcPr>
            <w:tcW w:w="2140" w:type="dxa"/>
            <w:vAlign w:val="bottom"/>
            <w:tcBorders>
              <w:bottom w:val="single" w:sz="8" w:color="00C1DE"/>
            </w:tcBorders>
          </w:tcPr>
          <w:p>
            <w:pPr>
              <w:ind w:left="120"/>
              <w:spacing w:after="0"/>
              <w:rPr>
                <w:sz w:val="20"/>
                <w:szCs w:val="20"/>
                <w:color w:val="auto"/>
              </w:rPr>
            </w:pPr>
            <w:r>
              <w:rPr>
                <w:rFonts w:ascii="Arial" w:cs="Arial" w:eastAsia="Arial" w:hAnsi="Arial"/>
                <w:sz w:val="20"/>
                <w:szCs w:val="20"/>
                <w:b w:val="1"/>
                <w:bCs w:val="1"/>
                <w:color w:val="00C1DE"/>
              </w:rPr>
              <w:t>Name</w:t>
            </w:r>
          </w:p>
        </w:tc>
        <w:tc>
          <w:tcPr>
            <w:tcW w:w="128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Plan</w:t>
            </w:r>
          </w:p>
        </w:tc>
        <w:tc>
          <w:tcPr>
            <w:tcW w:w="158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w:t>
            </w:r>
          </w:p>
        </w:tc>
        <w:tc>
          <w:tcPr>
            <w:tcW w:w="160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w:t>
            </w:r>
          </w:p>
        </w:tc>
        <w:tc>
          <w:tcPr>
            <w:tcW w:w="152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w:t>
            </w:r>
          </w:p>
        </w:tc>
        <w:tc>
          <w:tcPr>
            <w:tcW w:w="152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w:t>
            </w:r>
          </w:p>
        </w:tc>
        <w:tc>
          <w:tcPr>
            <w:tcW w:w="128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r>
      <w:tr>
        <w:trPr>
          <w:trHeight w:val="296"/>
        </w:trPr>
        <w:tc>
          <w:tcPr>
            <w:tcW w:w="2140" w:type="dxa"/>
            <w:vAlign w:val="bottom"/>
          </w:tcPr>
          <w:p>
            <w:pPr>
              <w:ind w:left="100"/>
              <w:spacing w:after="0"/>
              <w:rPr>
                <w:sz w:val="20"/>
                <w:szCs w:val="20"/>
                <w:color w:val="auto"/>
              </w:rPr>
            </w:pPr>
            <w:r>
              <w:rPr>
                <w:rFonts w:ascii="Arial" w:cs="Arial" w:eastAsia="Arial" w:hAnsi="Arial"/>
                <w:sz w:val="20"/>
                <w:szCs w:val="20"/>
                <w:color w:val="3E3935"/>
              </w:rPr>
              <w:t>Mary T. Barra</w:t>
            </w:r>
          </w:p>
        </w:tc>
        <w:tc>
          <w:tcPr>
            <w:tcW w:w="1280" w:type="dxa"/>
            <w:vAlign w:val="bottom"/>
          </w:tcPr>
          <w:p>
            <w:pPr>
              <w:jc w:val="right"/>
              <w:ind w:right="6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420,663</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518,127</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280" w:type="dxa"/>
            <w:vAlign w:val="bottom"/>
          </w:tcPr>
          <w:p>
            <w:pPr>
              <w:jc w:val="right"/>
              <w:spacing w:after="0"/>
              <w:rPr>
                <w:sz w:val="20"/>
                <w:szCs w:val="20"/>
                <w:color w:val="auto"/>
              </w:rPr>
            </w:pPr>
            <w:r>
              <w:rPr>
                <w:rFonts w:ascii="Arial" w:cs="Arial" w:eastAsia="Arial" w:hAnsi="Arial"/>
                <w:sz w:val="20"/>
                <w:szCs w:val="20"/>
                <w:color w:val="3E3935"/>
              </w:rPr>
              <w:t>4,844,404</w:t>
            </w:r>
          </w:p>
        </w:tc>
      </w:tr>
      <w:tr>
        <w:trPr>
          <w:trHeight w:val="58"/>
        </w:trPr>
        <w:tc>
          <w:tcPr>
            <w:tcW w:w="214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r>
      <w:tr>
        <w:trPr>
          <w:trHeight w:val="296"/>
        </w:trPr>
        <w:tc>
          <w:tcPr>
            <w:tcW w:w="2140" w:type="dxa"/>
            <w:vAlign w:val="bottom"/>
          </w:tcPr>
          <w:p>
            <w:pPr>
              <w:ind w:left="100"/>
              <w:spacing w:after="0"/>
              <w:rPr>
                <w:sz w:val="20"/>
                <w:szCs w:val="20"/>
                <w:color w:val="auto"/>
              </w:rPr>
            </w:pPr>
            <w:r>
              <w:rPr>
                <w:rFonts w:ascii="Arial" w:cs="Arial" w:eastAsia="Arial" w:hAnsi="Arial"/>
                <w:sz w:val="20"/>
                <w:szCs w:val="20"/>
                <w:color w:val="3E3935"/>
              </w:rPr>
              <w:t>Paul A. Jacobson</w:t>
            </w:r>
          </w:p>
        </w:tc>
        <w:tc>
          <w:tcPr>
            <w:tcW w:w="1280" w:type="dxa"/>
            <w:vAlign w:val="bottom"/>
          </w:tcPr>
          <w:p>
            <w:pPr>
              <w:jc w:val="right"/>
              <w:ind w:right="6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63,888</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2,138</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280" w:type="dxa"/>
            <w:vAlign w:val="bottom"/>
          </w:tcPr>
          <w:p>
            <w:pPr>
              <w:jc w:val="right"/>
              <w:spacing w:after="0"/>
              <w:rPr>
                <w:sz w:val="20"/>
                <w:szCs w:val="20"/>
                <w:color w:val="auto"/>
              </w:rPr>
            </w:pPr>
            <w:r>
              <w:rPr>
                <w:rFonts w:ascii="Arial" w:cs="Arial" w:eastAsia="Arial" w:hAnsi="Arial"/>
                <w:sz w:val="20"/>
                <w:szCs w:val="20"/>
                <w:color w:val="3E3935"/>
              </w:rPr>
              <w:t>66,026</w:t>
            </w:r>
          </w:p>
        </w:tc>
      </w:tr>
      <w:tr>
        <w:trPr>
          <w:trHeight w:val="58"/>
        </w:trPr>
        <w:tc>
          <w:tcPr>
            <w:tcW w:w="214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r>
      <w:tr>
        <w:trPr>
          <w:trHeight w:val="296"/>
        </w:trPr>
        <w:tc>
          <w:tcPr>
            <w:tcW w:w="2140" w:type="dxa"/>
            <w:vAlign w:val="bottom"/>
          </w:tcPr>
          <w:p>
            <w:pPr>
              <w:ind w:left="100"/>
              <w:spacing w:after="0"/>
              <w:rPr>
                <w:sz w:val="20"/>
                <w:szCs w:val="20"/>
                <w:color w:val="auto"/>
              </w:rPr>
            </w:pPr>
            <w:r>
              <w:rPr>
                <w:rFonts w:ascii="Arial" w:cs="Arial" w:eastAsia="Arial" w:hAnsi="Arial"/>
                <w:sz w:val="20"/>
                <w:szCs w:val="20"/>
                <w:color w:val="3E3935"/>
              </w:rPr>
              <w:t>Mark L. Reuss</w:t>
            </w:r>
          </w:p>
        </w:tc>
        <w:tc>
          <w:tcPr>
            <w:tcW w:w="1280" w:type="dxa"/>
            <w:vAlign w:val="bottom"/>
          </w:tcPr>
          <w:p>
            <w:pPr>
              <w:jc w:val="right"/>
              <w:ind w:right="6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206,917</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225,741</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280" w:type="dxa"/>
            <w:vAlign w:val="bottom"/>
          </w:tcPr>
          <w:p>
            <w:pPr>
              <w:jc w:val="right"/>
              <w:spacing w:after="0"/>
              <w:rPr>
                <w:sz w:val="20"/>
                <w:szCs w:val="20"/>
                <w:color w:val="auto"/>
              </w:rPr>
            </w:pPr>
            <w:r>
              <w:rPr>
                <w:rFonts w:ascii="Arial" w:cs="Arial" w:eastAsia="Arial" w:hAnsi="Arial"/>
                <w:sz w:val="20"/>
                <w:szCs w:val="20"/>
                <w:color w:val="3E3935"/>
              </w:rPr>
              <w:t>2,259,099</w:t>
            </w:r>
          </w:p>
        </w:tc>
      </w:tr>
      <w:tr>
        <w:trPr>
          <w:trHeight w:val="58"/>
        </w:trPr>
        <w:tc>
          <w:tcPr>
            <w:tcW w:w="214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r>
      <w:tr>
        <w:trPr>
          <w:trHeight w:val="296"/>
        </w:trPr>
        <w:tc>
          <w:tcPr>
            <w:tcW w:w="2140" w:type="dxa"/>
            <w:vAlign w:val="bottom"/>
          </w:tcPr>
          <w:p>
            <w:pPr>
              <w:ind w:left="100"/>
              <w:spacing w:after="0"/>
              <w:rPr>
                <w:sz w:val="20"/>
                <w:szCs w:val="20"/>
                <w:color w:val="auto"/>
              </w:rPr>
            </w:pPr>
            <w:r>
              <w:rPr>
                <w:rFonts w:ascii="Arial" w:cs="Arial" w:eastAsia="Arial" w:hAnsi="Arial"/>
                <w:sz w:val="20"/>
                <w:szCs w:val="20"/>
                <w:color w:val="3E3935"/>
              </w:rPr>
              <w:t>Douglas L. Parks</w:t>
            </w:r>
          </w:p>
        </w:tc>
        <w:tc>
          <w:tcPr>
            <w:tcW w:w="1280" w:type="dxa"/>
            <w:vAlign w:val="bottom"/>
          </w:tcPr>
          <w:p>
            <w:pPr>
              <w:jc w:val="right"/>
              <w:ind w:right="6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120,583</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98,608</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280" w:type="dxa"/>
            <w:vAlign w:val="bottom"/>
          </w:tcPr>
          <w:p>
            <w:pPr>
              <w:jc w:val="right"/>
              <w:spacing w:after="0"/>
              <w:rPr>
                <w:sz w:val="20"/>
                <w:szCs w:val="20"/>
                <w:color w:val="auto"/>
              </w:rPr>
            </w:pPr>
            <w:r>
              <w:rPr>
                <w:rFonts w:ascii="Arial" w:cs="Arial" w:eastAsia="Arial" w:hAnsi="Arial"/>
                <w:sz w:val="20"/>
                <w:szCs w:val="20"/>
                <w:color w:val="3E3935"/>
              </w:rPr>
              <w:t>1,049,091</w:t>
            </w:r>
          </w:p>
        </w:tc>
      </w:tr>
      <w:tr>
        <w:trPr>
          <w:trHeight w:val="58"/>
        </w:trPr>
        <w:tc>
          <w:tcPr>
            <w:tcW w:w="214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r>
      <w:tr>
        <w:trPr>
          <w:trHeight w:val="296"/>
        </w:trPr>
        <w:tc>
          <w:tcPr>
            <w:tcW w:w="2140" w:type="dxa"/>
            <w:vAlign w:val="bottom"/>
          </w:tcPr>
          <w:p>
            <w:pPr>
              <w:ind w:left="100"/>
              <w:spacing w:after="0"/>
              <w:rPr>
                <w:sz w:val="20"/>
                <w:szCs w:val="20"/>
                <w:color w:val="auto"/>
              </w:rPr>
            </w:pPr>
            <w:r>
              <w:rPr>
                <w:rFonts w:ascii="Arial" w:cs="Arial" w:eastAsia="Arial" w:hAnsi="Arial"/>
                <w:sz w:val="20"/>
                <w:szCs w:val="20"/>
                <w:color w:val="3E3935"/>
              </w:rPr>
              <w:t>Stephen K. Carlisle</w:t>
            </w:r>
          </w:p>
        </w:tc>
        <w:tc>
          <w:tcPr>
            <w:tcW w:w="1280" w:type="dxa"/>
            <w:vAlign w:val="bottom"/>
          </w:tcPr>
          <w:p>
            <w:pPr>
              <w:jc w:val="right"/>
              <w:ind w:right="6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130,200</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12,987</w:t>
            </w:r>
          </w:p>
        </w:tc>
        <w:tc>
          <w:tcPr>
            <w:tcW w:w="1520" w:type="dxa"/>
            <w:vAlign w:val="bottom"/>
          </w:tcPr>
          <w:p>
            <w:pPr>
              <w:jc w:val="right"/>
              <w:ind w:right="62"/>
              <w:spacing w:after="0"/>
              <w:rPr>
                <w:sz w:val="20"/>
                <w:szCs w:val="20"/>
                <w:color w:val="auto"/>
              </w:rPr>
            </w:pPr>
            <w:r>
              <w:rPr>
                <w:rFonts w:ascii="Arial" w:cs="Arial" w:eastAsia="Arial" w:hAnsi="Arial"/>
                <w:sz w:val="20"/>
                <w:szCs w:val="20"/>
                <w:color w:val="3E3935"/>
              </w:rPr>
              <w:t>—</w:t>
            </w:r>
          </w:p>
        </w:tc>
        <w:tc>
          <w:tcPr>
            <w:tcW w:w="1280" w:type="dxa"/>
            <w:vAlign w:val="bottom"/>
          </w:tcPr>
          <w:p>
            <w:pPr>
              <w:jc w:val="right"/>
              <w:spacing w:after="0"/>
              <w:rPr>
                <w:sz w:val="20"/>
                <w:szCs w:val="20"/>
                <w:color w:val="auto"/>
              </w:rPr>
            </w:pPr>
            <w:r>
              <w:rPr>
                <w:rFonts w:ascii="Arial" w:cs="Arial" w:eastAsia="Arial" w:hAnsi="Arial"/>
                <w:sz w:val="20"/>
                <w:szCs w:val="20"/>
                <w:color w:val="3E3935"/>
              </w:rPr>
              <w:t>846,255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0" w:lineRule="exact"/>
        <w:rPr>
          <w:sz w:val="20"/>
          <w:szCs w:val="20"/>
          <w:color w:val="auto"/>
        </w:rPr>
      </w:pPr>
    </w:p>
    <w:p>
      <w:pPr>
        <w:ind w:left="700" w:hanging="533"/>
        <w:spacing w:after="0"/>
        <w:tabs>
          <w:tab w:leader="none" w:pos="700" w:val="left"/>
        </w:tabs>
        <w:numPr>
          <w:ilvl w:val="0"/>
          <w:numId w:val="139"/>
        </w:numPr>
        <w:rPr>
          <w:rFonts w:ascii="Arial" w:cs="Arial" w:eastAsia="Arial" w:hAnsi="Arial"/>
          <w:sz w:val="20"/>
          <w:szCs w:val="20"/>
          <w:i w:val="1"/>
          <w:iCs w:val="1"/>
          <w:color w:val="3E3935"/>
        </w:rPr>
      </w:pPr>
      <w:r>
        <w:rPr>
          <w:rFonts w:ascii="Arial" w:cs="Arial" w:eastAsia="Arial" w:hAnsi="Arial"/>
          <w:sz w:val="20"/>
          <w:szCs w:val="20"/>
          <w:i w:val="1"/>
          <w:iCs w:val="1"/>
          <w:color w:val="3E3935"/>
        </w:rPr>
        <w:t>The amounts shown are included in All Other Compensation in the Summary Compensation Table.</w:t>
      </w:r>
    </w:p>
    <w:p>
      <w:pPr>
        <w:spacing w:after="0" w:line="64" w:lineRule="exact"/>
        <w:rPr>
          <w:rFonts w:ascii="Arial" w:cs="Arial" w:eastAsia="Arial" w:hAnsi="Arial"/>
          <w:sz w:val="20"/>
          <w:szCs w:val="20"/>
          <w:i w:val="1"/>
          <w:iCs w:val="1"/>
          <w:color w:val="3E3935"/>
        </w:rPr>
      </w:pPr>
    </w:p>
    <w:p>
      <w:pPr>
        <w:jc w:val="both"/>
        <w:ind w:left="700" w:hanging="533"/>
        <w:spacing w:after="0" w:line="238" w:lineRule="auto"/>
        <w:tabs>
          <w:tab w:leader="none" w:pos="700" w:val="left"/>
        </w:tabs>
        <w:numPr>
          <w:ilvl w:val="0"/>
          <w:numId w:val="139"/>
        </w:numPr>
        <w:rPr>
          <w:rFonts w:ascii="Arial" w:cs="Arial" w:eastAsia="Arial" w:hAnsi="Arial"/>
          <w:sz w:val="20"/>
          <w:szCs w:val="20"/>
          <w:i w:val="1"/>
          <w:iCs w:val="1"/>
          <w:color w:val="3E3935"/>
        </w:rPr>
      </w:pPr>
      <w:r>
        <w:rPr>
          <w:rFonts w:ascii="Arial" w:cs="Arial" w:eastAsia="Arial" w:hAnsi="Arial"/>
          <w:sz w:val="20"/>
          <w:szCs w:val="20"/>
          <w:i w:val="1"/>
          <w:iCs w:val="1"/>
          <w:color w:val="3E3935"/>
        </w:rPr>
        <w:t>The amounts shown are not reported in Change in Pension Value and Nonqualified Deferred Compensation Earnings in the Summary Compensation Table because we do not pay above-market earnings on deferred compensation in retirement plans.</w:t>
      </w:r>
    </w:p>
    <w:p>
      <w:pPr>
        <w:spacing w:after="0" w:line="38" w:lineRule="exact"/>
        <w:rPr>
          <w:rFonts w:ascii="Arial" w:cs="Arial" w:eastAsia="Arial" w:hAnsi="Arial"/>
          <w:sz w:val="20"/>
          <w:szCs w:val="20"/>
          <w:i w:val="1"/>
          <w:iCs w:val="1"/>
          <w:color w:val="3E3935"/>
        </w:rPr>
      </w:pPr>
    </w:p>
    <w:p>
      <w:pPr>
        <w:ind w:left="700" w:hanging="533"/>
        <w:spacing w:after="0" w:line="251" w:lineRule="auto"/>
        <w:tabs>
          <w:tab w:leader="none" w:pos="700" w:val="left"/>
        </w:tabs>
        <w:numPr>
          <w:ilvl w:val="0"/>
          <w:numId w:val="139"/>
        </w:numPr>
        <w:rPr>
          <w:rFonts w:ascii="Arial" w:cs="Arial" w:eastAsia="Arial" w:hAnsi="Arial"/>
          <w:sz w:val="20"/>
          <w:szCs w:val="20"/>
          <w:i w:val="1"/>
          <w:iCs w:val="1"/>
          <w:color w:val="3E3935"/>
        </w:rPr>
      </w:pPr>
      <w:r>
        <w:rPr>
          <w:rFonts w:ascii="Arial" w:cs="Arial" w:eastAsia="Arial" w:hAnsi="Arial"/>
          <w:sz w:val="20"/>
          <w:szCs w:val="20"/>
          <w:i w:val="1"/>
          <w:iCs w:val="1"/>
          <w:color w:val="3E3935"/>
        </w:rPr>
        <w:t>The following amounts have been included in the Summary Compensation Table in prior years: $2,700,521 (Ms. Barra), $1,250,933 (Mr. Reuss), $107,433 (Mr. Parks), and $125,239 (Mr. Carlisle).</w:t>
      </w:r>
    </w:p>
    <w:p>
      <w:pPr>
        <w:spacing w:after="0" w:line="280" w:lineRule="exact"/>
        <w:rPr>
          <w:sz w:val="20"/>
          <w:szCs w:val="20"/>
          <w:color w:val="auto"/>
        </w:rPr>
      </w:pPr>
    </w:p>
    <w:p>
      <w:pPr>
        <w:ind w:left="700" w:hanging="533"/>
        <w:spacing w:after="0"/>
        <w:tabs>
          <w:tab w:leader="none" w:pos="700" w:val="left"/>
        </w:tabs>
        <w:numPr>
          <w:ilvl w:val="0"/>
          <w:numId w:val="140"/>
        </w:numPr>
        <w:rPr>
          <w:rFonts w:ascii="Times New Roman" w:cs="Times New Roman" w:eastAsia="Times New Roman" w:hAnsi="Times New Roman"/>
          <w:sz w:val="21"/>
          <w:szCs w:val="21"/>
          <w:color w:val="0071CE"/>
        </w:rPr>
      </w:pPr>
      <w:r>
        <w:rPr>
          <w:rFonts w:ascii="Arial" w:cs="Arial" w:eastAsia="Arial" w:hAnsi="Arial"/>
          <w:sz w:val="25"/>
          <w:szCs w:val="25"/>
          <w:color w:val="3E3935"/>
        </w:rPr>
        <w:t>Potential Payments Upon Termination</w:t>
      </w:r>
    </w:p>
    <w:p>
      <w:pPr>
        <w:spacing w:after="0" w:line="141"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Company does not maintain individual employment agreements with any NEO that provide guaranteed payments in the event of a termination of employment or change in control. In the event that a NEO’s position with the Company is eliminated, including the elimination of the NEO’s position as a result of a change in control, the NEO would be eligible for a severance payment under the Executive Severance Program.</w:t>
      </w:r>
    </w:p>
    <w:p>
      <w:pPr>
        <w:spacing w:after="0" w:line="106"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table below shows the potential payments to each NEO assuming a termination of employment on December 31, 2021, due to the following events: voluntary separation or termination for cause, qualifying termination under the Executive Severance Program, full career status retirement, disability, death, or change in control with termination of employment. Each of the separation events is described in more detail below. These provisions are generally applicable to participants in each of the respective plans and are not reserved only for NEOs. The payments below are in addition to the present value of the accumulated benefits from each NEO’s qualified and nonqualified pension plans shown in the Pension Benefits table on page 77 of this Proxy Statement and the aggregate balance due to each NEO that is shown in the Nonqualified Deferred Compensation Plan table above.</w:t>
      </w:r>
    </w:p>
    <w:p>
      <w:pPr>
        <w:spacing w:after="0" w:line="271"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For purposes of the following table, the Company describes these terminations and potential payments:</w:t>
      </w:r>
    </w:p>
    <w:p>
      <w:pPr>
        <w:spacing w:after="0" w:line="129"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Voluntary Separation or Termination for Cause </w:t>
      </w:r>
      <w:r>
        <w:rPr>
          <w:rFonts w:ascii="Arial" w:cs="Arial" w:eastAsia="Arial" w:hAnsi="Arial"/>
          <w:sz w:val="20"/>
          <w:szCs w:val="20"/>
          <w:color w:val="3E3935"/>
        </w:rPr>
        <w:t>— A voluntary separation occurs when an executive voluntarily terminates</w:t>
      </w:r>
      <w:r>
        <w:rPr>
          <w:rFonts w:ascii="Arial" w:cs="Arial" w:eastAsia="Arial" w:hAnsi="Arial"/>
          <w:sz w:val="20"/>
          <w:szCs w:val="20"/>
          <w:b w:val="1"/>
          <w:bCs w:val="1"/>
          <w:color w:val="0071CE"/>
        </w:rPr>
        <w:t xml:space="preserve"> </w:t>
      </w:r>
      <w:r>
        <w:rPr>
          <w:rFonts w:ascii="Arial" w:cs="Arial" w:eastAsia="Arial" w:hAnsi="Arial"/>
          <w:sz w:val="20"/>
          <w:szCs w:val="20"/>
          <w:color w:val="3E3935"/>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103"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71CE"/>
        </w:rPr>
        <w:t xml:space="preserve">Executive Severance Program </w:t>
      </w:r>
      <w:r>
        <w:rPr>
          <w:rFonts w:ascii="Arial" w:cs="Arial" w:eastAsia="Arial" w:hAnsi="Arial"/>
          <w:sz w:val="20"/>
          <w:szCs w:val="20"/>
          <w:color w:val="3E3935"/>
        </w:rPr>
        <w:t>— A separation occurs when an executive’s position is eliminated, or the Company and an</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agree to mutually end the employment relationship. An executive will be eligible to receive a severance payment from the Company calculated based on his or her position and reflected as a multiple of base salary, COBRA, and a STIP award at target. An executive may receive cash payments of the value of the equity awards that are scheduled to vest within the next year after separation at the time of vesting. Unvested Stock Options are usually forfeited. An executive is also eligible for outplacement assistance based on position. All potential payments are contingent upon the executive entering into a mutual separation agreement.</w:t>
      </w:r>
    </w:p>
    <w:p>
      <w:pPr>
        <w:spacing w:after="0" w:line="89"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Full Career Status Retirement </w:t>
      </w:r>
      <w:r>
        <w:rPr>
          <w:rFonts w:ascii="Arial" w:cs="Arial" w:eastAsia="Arial" w:hAnsi="Arial"/>
          <w:sz w:val="20"/>
          <w:szCs w:val="20"/>
          <w:color w:val="3E3935"/>
        </w:rPr>
        <w:t>— A full career status retirement occurs when an executive reaches the age of 55 with 10 or</w:t>
      </w:r>
      <w:r>
        <w:rPr>
          <w:rFonts w:ascii="Arial" w:cs="Arial" w:eastAsia="Arial" w:hAnsi="Arial"/>
          <w:sz w:val="20"/>
          <w:szCs w:val="20"/>
          <w:b w:val="1"/>
          <w:bCs w:val="1"/>
          <w:color w:val="0071CE"/>
        </w:rPr>
        <w:t xml:space="preserve"> </w:t>
      </w:r>
      <w:r>
        <w:rPr>
          <w:rFonts w:ascii="Arial" w:cs="Arial" w:eastAsia="Arial" w:hAnsi="Arial"/>
          <w:sz w:val="20"/>
          <w:szCs w:val="20"/>
          <w:color w:val="3E3935"/>
        </w:rPr>
        <w:t>more years of continuous service with the Company, or reaches the age of 62 or older, at which time the executive voluntarily separates from the Company. An executive who enters into a separation or severance agreement cannot also elect full career status retirement.</w:t>
      </w:r>
    </w:p>
    <w:p>
      <w:pPr>
        <w:spacing w:after="0" w:line="10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In the event of a full career status retirement, the executive is generally eligible for a prorated STIP award based on his or her retirement date in the performance year and once final performance has been determined. RSUs granted in the year of the retirement date, are prorated based on the retirement date. RSUs granted prior to the year of the retirement date, continue to vest in accordance with the vesting schedule. PSUs granted in the year of the retirement date, are prorated based on the retirement date and will be adjusted for final company performance against the performance measures contained in the awards; such awards will be payable following approval of such performance. PSUs granted prior to the year of the retirement date will remain outstanding until the end of the performance period, at which time they will be adjusted for final Company performance and be settled following approval of such performance. Stock Options granted in the year of the retirement date, are prorated based on the retirement date. Stock Options granted prior to the year of the retirement date, will continue to vest in accordance with the vesting schedule.</w:t>
      </w:r>
    </w:p>
    <w:p>
      <w:pPr>
        <w:spacing w:after="0" w:line="11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71CE"/>
        </w:rPr>
        <w:t xml:space="preserve">Disability </w:t>
      </w:r>
      <w:r>
        <w:rPr>
          <w:rFonts w:ascii="Arial" w:cs="Arial" w:eastAsia="Arial" w:hAnsi="Arial"/>
          <w:sz w:val="20"/>
          <w:szCs w:val="20"/>
          <w:color w:val="3E3935"/>
        </w:rPr>
        <w:t>— Disability occurs when an executive terminates employment by reason of his or her inability to engage in any</w:t>
      </w:r>
      <w:r>
        <w:rPr>
          <w:rFonts w:ascii="Arial" w:cs="Arial" w:eastAsia="Arial" w:hAnsi="Arial"/>
          <w:sz w:val="20"/>
          <w:szCs w:val="20"/>
          <w:b w:val="1"/>
          <w:bCs w:val="1"/>
          <w:color w:val="0071CE"/>
        </w:rPr>
        <w:t xml:space="preserve"> </w:t>
      </w:r>
      <w:r>
        <w:rPr>
          <w:rFonts w:ascii="Arial" w:cs="Arial" w:eastAsia="Arial" w:hAnsi="Arial"/>
          <w:sz w:val="20"/>
          <w:szCs w:val="20"/>
          <w:color w:val="3E3935"/>
        </w:rPr>
        <w:t>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continue to vest according to the vesting schedule. PSUs vest immediately upon such termination and will remain outstanding until the end of the performance period, at which time they will be adjusted for final Company performance and be settled following approval of such performance. Stock Options will continue to vest in accordance with the vesting schedule.</w:t>
      </w:r>
    </w:p>
    <w:p>
      <w:pPr>
        <w:spacing w:after="0" w:line="8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Death </w:t>
      </w:r>
      <w:r>
        <w:rPr>
          <w:rFonts w:ascii="Arial" w:cs="Arial" w:eastAsia="Arial" w:hAnsi="Arial"/>
          <w:sz w:val="20"/>
          <w:szCs w:val="20"/>
          <w:color w:val="3E3935"/>
        </w:rPr>
        <w:t>— Following the death of an executive, the beneficiary of the executive will be eligible to receive the full-year STIP</w:t>
      </w:r>
      <w:r>
        <w:rPr>
          <w:rFonts w:ascii="Arial" w:cs="Arial" w:eastAsia="Arial" w:hAnsi="Arial"/>
          <w:sz w:val="20"/>
          <w:szCs w:val="20"/>
          <w:b w:val="1"/>
          <w:bCs w:val="1"/>
          <w:color w:val="0071CE"/>
        </w:rPr>
        <w:t xml:space="preserve"> </w:t>
      </w:r>
      <w:r>
        <w:rPr>
          <w:rFonts w:ascii="Arial" w:cs="Arial" w:eastAsia="Arial" w:hAnsi="Arial"/>
          <w:sz w:val="20"/>
          <w:szCs w:val="20"/>
          <w:color w:val="3E3935"/>
        </w:rPr>
        <w:t>award subject to adjustment for final Company performance. RSUs immediately vest in full and are settled within 90 days of death. PSUs vest immediately upon death and will remain outstanding until the end of the performance period, at which time they will be adjusted for final Company performance and be settled following approval of such performance. Stock Options vest immediately upon death.</w:t>
      </w:r>
    </w:p>
    <w:p>
      <w:pPr>
        <w:spacing w:after="0" w:line="267"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7"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color w:val="0071CE"/>
        </w:rPr>
        <w:t xml:space="preserve">Change in Control (Double Trigger) </w:t>
      </w:r>
      <w:r>
        <w:rPr>
          <w:rFonts w:ascii="Arial" w:cs="Arial" w:eastAsia="Arial" w:hAnsi="Arial"/>
          <w:sz w:val="20"/>
          <w:szCs w:val="20"/>
          <w:color w:val="3E3935"/>
        </w:rPr>
        <w:t>— In the event of a termination of employment resulting from a change in control, an</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will be eligible for severance under the Executive Severance Program that provides a severance payment based on position and a multiple of base salary and COBRA. An executive will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w:t>
      </w:r>
    </w:p>
    <w:p>
      <w:pPr>
        <w:spacing w:after="0" w:line="10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Amounts shown below are calculated by assuming that the relevant employment termination event occurred on December 31, 2021.</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3320" w:type="dxa"/>
            <w:vAlign w:val="bottom"/>
            <w:tcBorders>
              <w:top w:val="single" w:sz="8" w:color="00C1DE"/>
            </w:tcBorders>
          </w:tcPr>
          <w:p>
            <w:pPr>
              <w:spacing w:after="0"/>
              <w:rPr>
                <w:sz w:val="15"/>
                <w:szCs w:val="15"/>
                <w:color w:val="auto"/>
              </w:rPr>
            </w:pPr>
          </w:p>
        </w:tc>
        <w:tc>
          <w:tcPr>
            <w:tcW w:w="1300" w:type="dxa"/>
            <w:vAlign w:val="bottom"/>
            <w:tcBorders>
              <w:top w:val="single" w:sz="8" w:color="00C1DE"/>
            </w:tcBorders>
          </w:tcPr>
          <w:p>
            <w:pPr>
              <w:spacing w:after="0"/>
              <w:rPr>
                <w:sz w:val="15"/>
                <w:szCs w:val="15"/>
                <w:color w:val="auto"/>
              </w:rPr>
            </w:pPr>
          </w:p>
        </w:tc>
        <w:tc>
          <w:tcPr>
            <w:tcW w:w="1160" w:type="dxa"/>
            <w:vAlign w:val="bottom"/>
            <w:tcBorders>
              <w:top w:val="single" w:sz="8" w:color="00C1DE"/>
            </w:tcBorders>
          </w:tcPr>
          <w:p>
            <w:pPr>
              <w:jc w:val="right"/>
              <w:ind w:right="69"/>
              <w:spacing w:after="0"/>
              <w:rPr>
                <w:sz w:val="20"/>
                <w:szCs w:val="20"/>
                <w:color w:val="auto"/>
              </w:rPr>
            </w:pPr>
            <w:r>
              <w:rPr>
                <w:rFonts w:ascii="Arial" w:cs="Arial" w:eastAsia="Arial" w:hAnsi="Arial"/>
                <w:sz w:val="14"/>
                <w:szCs w:val="14"/>
                <w:b w:val="1"/>
                <w:bCs w:val="1"/>
                <w:color w:val="00C1DE"/>
              </w:rPr>
              <w:t>Voluntary</w:t>
            </w:r>
          </w:p>
        </w:tc>
        <w:tc>
          <w:tcPr>
            <w:tcW w:w="1000" w:type="dxa"/>
            <w:vAlign w:val="bottom"/>
            <w:tcBorders>
              <w:top w:val="single" w:sz="8" w:color="00C1DE"/>
            </w:tcBorders>
          </w:tcPr>
          <w:p>
            <w:pPr>
              <w:spacing w:after="0"/>
              <w:rPr>
                <w:sz w:val="15"/>
                <w:szCs w:val="15"/>
                <w:color w:val="auto"/>
              </w:rPr>
            </w:pPr>
          </w:p>
        </w:tc>
        <w:tc>
          <w:tcPr>
            <w:tcW w:w="1160" w:type="dxa"/>
            <w:vAlign w:val="bottom"/>
            <w:tcBorders>
              <w:top w:val="single" w:sz="8" w:color="00C1DE"/>
            </w:tcBorders>
          </w:tcPr>
          <w:p>
            <w:pPr>
              <w:spacing w:after="0"/>
              <w:rPr>
                <w:sz w:val="15"/>
                <w:szCs w:val="15"/>
                <w:color w:val="auto"/>
              </w:rPr>
            </w:pPr>
          </w:p>
        </w:tc>
        <w:tc>
          <w:tcPr>
            <w:tcW w:w="1020" w:type="dxa"/>
            <w:vAlign w:val="bottom"/>
            <w:tcBorders>
              <w:top w:val="single" w:sz="8" w:color="00C1DE"/>
            </w:tcBorders>
          </w:tcPr>
          <w:p>
            <w:pPr>
              <w:spacing w:after="0"/>
              <w:rPr>
                <w:sz w:val="15"/>
                <w:szCs w:val="15"/>
                <w:color w:val="auto"/>
              </w:rPr>
            </w:pPr>
          </w:p>
        </w:tc>
        <w:tc>
          <w:tcPr>
            <w:tcW w:w="940" w:type="dxa"/>
            <w:vAlign w:val="bottom"/>
            <w:tcBorders>
              <w:top w:val="single" w:sz="8" w:color="00C1DE"/>
            </w:tcBorders>
          </w:tcPr>
          <w:p>
            <w:pPr>
              <w:spacing w:after="0"/>
              <w:rPr>
                <w:sz w:val="15"/>
                <w:szCs w:val="15"/>
                <w:color w:val="auto"/>
              </w:rPr>
            </w:pPr>
          </w:p>
        </w:tc>
        <w:tc>
          <w:tcPr>
            <w:tcW w:w="1020" w:type="dxa"/>
            <w:vAlign w:val="bottom"/>
            <w:tcBorders>
              <w:top w:val="single" w:sz="8" w:color="00C1DE"/>
            </w:tcBorders>
          </w:tcPr>
          <w:p>
            <w:pPr>
              <w:spacing w:after="0"/>
              <w:rPr>
                <w:sz w:val="15"/>
                <w:szCs w:val="15"/>
                <w:color w:val="auto"/>
              </w:rPr>
            </w:pPr>
          </w:p>
        </w:tc>
      </w:tr>
      <w:tr>
        <w:trPr>
          <w:trHeight w:val="160"/>
        </w:trPr>
        <w:tc>
          <w:tcPr>
            <w:tcW w:w="3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00C1DE"/>
              </w:rPr>
              <w:t>Separation or</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00C1DE"/>
              </w:rPr>
              <w:t>Executive</w:t>
            </w: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00C1DE"/>
              </w:rPr>
              <w:t>Change in</w:t>
            </w:r>
          </w:p>
        </w:tc>
      </w:tr>
      <w:tr>
        <w:trPr>
          <w:trHeight w:val="155"/>
        </w:trPr>
        <w:tc>
          <w:tcPr>
            <w:tcW w:w="3320" w:type="dxa"/>
            <w:vAlign w:val="bottom"/>
          </w:tcPr>
          <w:p>
            <w:pPr>
              <w:spacing w:after="0"/>
              <w:rPr>
                <w:sz w:val="13"/>
                <w:szCs w:val="13"/>
                <w:color w:val="auto"/>
              </w:rPr>
            </w:pPr>
          </w:p>
        </w:tc>
        <w:tc>
          <w:tcPr>
            <w:tcW w:w="1300" w:type="dxa"/>
            <w:vAlign w:val="bottom"/>
          </w:tcPr>
          <w:p>
            <w:pPr>
              <w:ind w:left="200"/>
              <w:spacing w:after="0" w:line="155" w:lineRule="exact"/>
              <w:rPr>
                <w:sz w:val="20"/>
                <w:szCs w:val="20"/>
                <w:color w:val="auto"/>
              </w:rPr>
            </w:pPr>
            <w:r>
              <w:rPr>
                <w:rFonts w:ascii="Arial" w:cs="Arial" w:eastAsia="Arial" w:hAnsi="Arial"/>
                <w:sz w:val="14"/>
                <w:szCs w:val="14"/>
                <w:b w:val="1"/>
                <w:bCs w:val="1"/>
                <w:color w:val="00C1DE"/>
              </w:rPr>
              <w:t>Compensation</w:t>
            </w:r>
          </w:p>
        </w:tc>
        <w:tc>
          <w:tcPr>
            <w:tcW w:w="1160" w:type="dxa"/>
            <w:vAlign w:val="bottom"/>
          </w:tcPr>
          <w:p>
            <w:pPr>
              <w:jc w:val="right"/>
              <w:ind w:right="69"/>
              <w:spacing w:after="0" w:line="155" w:lineRule="exact"/>
              <w:rPr>
                <w:sz w:val="20"/>
                <w:szCs w:val="20"/>
                <w:color w:val="auto"/>
              </w:rPr>
            </w:pPr>
            <w:r>
              <w:rPr>
                <w:rFonts w:ascii="Arial" w:cs="Arial" w:eastAsia="Arial" w:hAnsi="Arial"/>
                <w:sz w:val="14"/>
                <w:szCs w:val="14"/>
                <w:b w:val="1"/>
                <w:bCs w:val="1"/>
                <w:color w:val="00C1DE"/>
              </w:rPr>
              <w:t>Termination</w:t>
            </w:r>
          </w:p>
        </w:tc>
        <w:tc>
          <w:tcPr>
            <w:tcW w:w="1000" w:type="dxa"/>
            <w:vAlign w:val="bottom"/>
          </w:tcPr>
          <w:p>
            <w:pPr>
              <w:jc w:val="right"/>
              <w:ind w:right="69"/>
              <w:spacing w:after="0" w:line="155" w:lineRule="exact"/>
              <w:rPr>
                <w:sz w:val="20"/>
                <w:szCs w:val="20"/>
                <w:color w:val="auto"/>
              </w:rPr>
            </w:pPr>
            <w:r>
              <w:rPr>
                <w:rFonts w:ascii="Arial" w:cs="Arial" w:eastAsia="Arial" w:hAnsi="Arial"/>
                <w:sz w:val="14"/>
                <w:szCs w:val="14"/>
                <w:b w:val="1"/>
                <w:bCs w:val="1"/>
                <w:color w:val="00C1DE"/>
              </w:rPr>
              <w:t>Severance</w:t>
            </w: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29"/>
              <w:spacing w:after="0" w:line="155" w:lineRule="exact"/>
              <w:rPr>
                <w:sz w:val="20"/>
                <w:szCs w:val="20"/>
                <w:color w:val="auto"/>
              </w:rPr>
            </w:pPr>
            <w:r>
              <w:rPr>
                <w:rFonts w:ascii="Arial" w:cs="Arial" w:eastAsia="Arial" w:hAnsi="Arial"/>
                <w:sz w:val="14"/>
                <w:szCs w:val="14"/>
                <w:b w:val="1"/>
                <w:bCs w:val="1"/>
                <w:color w:val="00C1DE"/>
              </w:rPr>
              <w:t>Control with</w:t>
            </w:r>
          </w:p>
        </w:tc>
      </w:tr>
      <w:tr>
        <w:trPr>
          <w:trHeight w:val="269"/>
        </w:trPr>
        <w:tc>
          <w:tcPr>
            <w:tcW w:w="3320" w:type="dxa"/>
            <w:vAlign w:val="bottom"/>
            <w:tcBorders>
              <w:bottom w:val="single" w:sz="8" w:color="00C1DE"/>
            </w:tcBorders>
          </w:tcPr>
          <w:p>
            <w:pPr>
              <w:ind w:left="80"/>
              <w:spacing w:after="0"/>
              <w:rPr>
                <w:sz w:val="20"/>
                <w:szCs w:val="20"/>
                <w:color w:val="auto"/>
              </w:rPr>
            </w:pPr>
            <w:r>
              <w:rPr>
                <w:rFonts w:ascii="Arial" w:cs="Arial" w:eastAsia="Arial" w:hAnsi="Arial"/>
                <w:sz w:val="14"/>
                <w:szCs w:val="14"/>
                <w:b w:val="1"/>
                <w:bCs w:val="1"/>
                <w:color w:val="00C1DE"/>
              </w:rPr>
              <w:t>Name</w:t>
            </w:r>
          </w:p>
        </w:tc>
        <w:tc>
          <w:tcPr>
            <w:tcW w:w="1300" w:type="dxa"/>
            <w:vAlign w:val="bottom"/>
            <w:tcBorders>
              <w:bottom w:val="single" w:sz="8" w:color="00C1DE"/>
            </w:tcBorders>
          </w:tcPr>
          <w:p>
            <w:pPr>
              <w:ind w:left="200"/>
              <w:spacing w:after="0" w:line="269" w:lineRule="exact"/>
              <w:rPr>
                <w:sz w:val="20"/>
                <w:szCs w:val="20"/>
                <w:color w:val="auto"/>
              </w:rPr>
            </w:pPr>
            <w:r>
              <w:rPr>
                <w:rFonts w:ascii="Arial" w:cs="Arial" w:eastAsia="Arial" w:hAnsi="Arial"/>
                <w:sz w:val="28"/>
                <w:szCs w:val="28"/>
                <w:b w:val="1"/>
                <w:bCs w:val="1"/>
                <w:color w:val="00C1DE"/>
                <w:w w:val="92"/>
                <w:vertAlign w:val="subscript"/>
              </w:rPr>
              <w:t>Element</w:t>
            </w:r>
            <w:r>
              <w:rPr>
                <w:rFonts w:ascii="Arial" w:cs="Arial" w:eastAsia="Arial" w:hAnsi="Arial"/>
                <w:sz w:val="12"/>
                <w:szCs w:val="12"/>
                <w:b w:val="1"/>
                <w:bCs w:val="1"/>
                <w:color w:val="00C1DE"/>
                <w:w w:val="92"/>
              </w:rPr>
              <w:t>(1)(2)(3)</w:t>
            </w:r>
          </w:p>
        </w:tc>
        <w:tc>
          <w:tcPr>
            <w:tcW w:w="1160" w:type="dxa"/>
            <w:vAlign w:val="bottom"/>
            <w:tcBorders>
              <w:bottom w:val="single" w:sz="8" w:color="00C1DE"/>
            </w:tcBorders>
          </w:tcPr>
          <w:p>
            <w:pPr>
              <w:jc w:val="right"/>
              <w:ind w:right="69"/>
              <w:spacing w:after="0"/>
              <w:rPr>
                <w:sz w:val="20"/>
                <w:szCs w:val="20"/>
                <w:color w:val="auto"/>
              </w:rPr>
            </w:pPr>
            <w:r>
              <w:rPr>
                <w:rFonts w:ascii="Arial" w:cs="Arial" w:eastAsia="Arial" w:hAnsi="Arial"/>
                <w:sz w:val="14"/>
                <w:szCs w:val="14"/>
                <w:b w:val="1"/>
                <w:bCs w:val="1"/>
                <w:color w:val="00C1DE"/>
              </w:rPr>
              <w:t>for Cause</w:t>
            </w:r>
          </w:p>
        </w:tc>
        <w:tc>
          <w:tcPr>
            <w:tcW w:w="1000" w:type="dxa"/>
            <w:vAlign w:val="bottom"/>
            <w:tcBorders>
              <w:bottom w:val="single" w:sz="8" w:color="00C1DE"/>
            </w:tcBorders>
          </w:tcPr>
          <w:p>
            <w:pPr>
              <w:jc w:val="right"/>
              <w:ind w:right="69"/>
              <w:spacing w:after="0"/>
              <w:rPr>
                <w:sz w:val="20"/>
                <w:szCs w:val="20"/>
                <w:color w:val="auto"/>
              </w:rPr>
            </w:pPr>
            <w:r>
              <w:rPr>
                <w:rFonts w:ascii="Arial" w:cs="Arial" w:eastAsia="Arial" w:hAnsi="Arial"/>
                <w:sz w:val="14"/>
                <w:szCs w:val="14"/>
                <w:b w:val="1"/>
                <w:bCs w:val="1"/>
                <w:color w:val="00C1DE"/>
              </w:rPr>
              <w:t>Program</w:t>
            </w:r>
          </w:p>
        </w:tc>
        <w:tc>
          <w:tcPr>
            <w:tcW w:w="1160" w:type="dxa"/>
            <w:vAlign w:val="bottom"/>
            <w:tcBorders>
              <w:bottom w:val="single" w:sz="8" w:color="00C1DE"/>
            </w:tcBorders>
          </w:tcPr>
          <w:p>
            <w:pPr>
              <w:jc w:val="right"/>
              <w:ind w:right="69"/>
              <w:spacing w:after="0" w:line="268" w:lineRule="exact"/>
              <w:rPr>
                <w:sz w:val="20"/>
                <w:szCs w:val="20"/>
                <w:color w:val="auto"/>
              </w:rPr>
            </w:pPr>
            <w:r>
              <w:rPr>
                <w:rFonts w:ascii="Arial" w:cs="Arial" w:eastAsia="Arial" w:hAnsi="Arial"/>
                <w:sz w:val="14"/>
                <w:szCs w:val="14"/>
                <w:b w:val="1"/>
                <w:bCs w:val="1"/>
                <w:color w:val="00C1DE"/>
              </w:rPr>
              <w:t>Retirement</w:t>
            </w:r>
            <w:r>
              <w:rPr>
                <w:rFonts w:ascii="Arial" w:cs="Arial" w:eastAsia="Arial" w:hAnsi="Arial"/>
                <w:sz w:val="24"/>
                <w:szCs w:val="24"/>
                <w:b w:val="1"/>
                <w:bCs w:val="1"/>
                <w:color w:val="00C1DE"/>
                <w:vertAlign w:val="superscript"/>
              </w:rPr>
              <w:t>(4)</w:t>
            </w:r>
          </w:p>
        </w:tc>
        <w:tc>
          <w:tcPr>
            <w:tcW w:w="1020" w:type="dxa"/>
            <w:vAlign w:val="bottom"/>
            <w:tcBorders>
              <w:bottom w:val="single" w:sz="8" w:color="00C1DE"/>
            </w:tcBorders>
          </w:tcPr>
          <w:p>
            <w:pPr>
              <w:jc w:val="right"/>
              <w:ind w:right="89"/>
              <w:spacing w:after="0"/>
              <w:rPr>
                <w:sz w:val="20"/>
                <w:szCs w:val="20"/>
                <w:color w:val="auto"/>
              </w:rPr>
            </w:pPr>
            <w:r>
              <w:rPr>
                <w:rFonts w:ascii="Arial" w:cs="Arial" w:eastAsia="Arial" w:hAnsi="Arial"/>
                <w:sz w:val="14"/>
                <w:szCs w:val="14"/>
                <w:b w:val="1"/>
                <w:bCs w:val="1"/>
                <w:color w:val="00C1DE"/>
              </w:rPr>
              <w:t>Disability</w:t>
            </w:r>
          </w:p>
        </w:tc>
        <w:tc>
          <w:tcPr>
            <w:tcW w:w="940" w:type="dxa"/>
            <w:vAlign w:val="bottom"/>
            <w:tcBorders>
              <w:bottom w:val="single" w:sz="8" w:color="00C1DE"/>
            </w:tcBorders>
          </w:tcPr>
          <w:p>
            <w:pPr>
              <w:jc w:val="right"/>
              <w:ind w:right="9"/>
              <w:spacing w:after="0"/>
              <w:rPr>
                <w:sz w:val="20"/>
                <w:szCs w:val="20"/>
                <w:color w:val="auto"/>
              </w:rPr>
            </w:pPr>
            <w:r>
              <w:rPr>
                <w:rFonts w:ascii="Arial" w:cs="Arial" w:eastAsia="Arial" w:hAnsi="Arial"/>
                <w:sz w:val="14"/>
                <w:szCs w:val="14"/>
                <w:b w:val="1"/>
                <w:bCs w:val="1"/>
                <w:color w:val="00C1DE"/>
              </w:rPr>
              <w:t>Death</w:t>
            </w:r>
          </w:p>
        </w:tc>
        <w:tc>
          <w:tcPr>
            <w:tcW w:w="1020" w:type="dxa"/>
            <w:vAlign w:val="bottom"/>
            <w:tcBorders>
              <w:bottom w:val="single" w:sz="8" w:color="00C1DE"/>
            </w:tcBorders>
          </w:tcPr>
          <w:p>
            <w:pPr>
              <w:jc w:val="right"/>
              <w:ind w:right="29"/>
              <w:spacing w:after="0"/>
              <w:rPr>
                <w:sz w:val="20"/>
                <w:szCs w:val="20"/>
                <w:color w:val="auto"/>
              </w:rPr>
            </w:pPr>
            <w:r>
              <w:rPr>
                <w:rFonts w:ascii="Arial" w:cs="Arial" w:eastAsia="Arial" w:hAnsi="Arial"/>
                <w:sz w:val="14"/>
                <w:szCs w:val="14"/>
                <w:b w:val="1"/>
                <w:bCs w:val="1"/>
                <w:color w:val="00C1DE"/>
              </w:rPr>
              <w:t>Termination</w:t>
            </w:r>
          </w:p>
        </w:tc>
      </w:tr>
      <w:tr>
        <w:trPr>
          <w:trHeight w:val="227"/>
        </w:trPr>
        <w:tc>
          <w:tcPr>
            <w:tcW w:w="3320" w:type="dxa"/>
            <w:vAlign w:val="bottom"/>
          </w:tcPr>
          <w:p>
            <w:pPr>
              <w:ind w:left="80"/>
              <w:spacing w:after="0"/>
              <w:rPr>
                <w:sz w:val="20"/>
                <w:szCs w:val="20"/>
                <w:color w:val="auto"/>
              </w:rPr>
            </w:pPr>
            <w:r>
              <w:rPr>
                <w:rFonts w:ascii="Arial" w:cs="Arial" w:eastAsia="Arial" w:hAnsi="Arial"/>
                <w:sz w:val="14"/>
                <w:szCs w:val="14"/>
                <w:color w:val="3E3935"/>
              </w:rPr>
              <w:t>Mary T. Barra</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4,269,622</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4,227,622</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4,200,000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7,350,000</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7,350,000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7,350,000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4,200,000</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38,804,076</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77,245,642</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77,245,642</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77,245,642</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77,245,642</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3"/>
        </w:trPr>
        <w:tc>
          <w:tcPr>
            <w:tcW w:w="332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47,273,698</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84,595,642</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3E3935"/>
              </w:rPr>
              <w:t>84,595,642</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84,595,642</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85,673,264</w:t>
            </w:r>
          </w:p>
        </w:tc>
      </w:tr>
      <w:tr>
        <w:trPr>
          <w:trHeight w:val="42"/>
        </w:trPr>
        <w:tc>
          <w:tcPr>
            <w:tcW w:w="332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94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7"/>
        </w:trPr>
        <w:tc>
          <w:tcPr>
            <w:tcW w:w="3320" w:type="dxa"/>
            <w:vAlign w:val="bottom"/>
          </w:tcPr>
          <w:p>
            <w:pPr>
              <w:ind w:left="80"/>
              <w:spacing w:after="0"/>
              <w:rPr>
                <w:sz w:val="20"/>
                <w:szCs w:val="20"/>
                <w:color w:val="auto"/>
              </w:rPr>
            </w:pPr>
            <w:r>
              <w:rPr>
                <w:rFonts w:ascii="Arial" w:cs="Arial" w:eastAsia="Arial" w:hAnsi="Arial"/>
                <w:sz w:val="14"/>
                <w:szCs w:val="14"/>
                <w:color w:val="3E3935"/>
              </w:rPr>
              <w:t>Paul A. Jacobson</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1,555,324</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1,513,324</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1,250,000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2,187,500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2,187,500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1,250,000</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139,927</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10,546,069</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10,546,069</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10,546,069</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3"/>
        </w:trPr>
        <w:tc>
          <w:tcPr>
            <w:tcW w:w="332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2,945,251</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3E3935"/>
              </w:rPr>
              <w:t>12,733,569</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12,733,569</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13,309,393</w:t>
            </w:r>
          </w:p>
        </w:tc>
      </w:tr>
      <w:tr>
        <w:trPr>
          <w:trHeight w:val="42"/>
        </w:trPr>
        <w:tc>
          <w:tcPr>
            <w:tcW w:w="332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94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7"/>
        </w:trPr>
        <w:tc>
          <w:tcPr>
            <w:tcW w:w="3320" w:type="dxa"/>
            <w:vAlign w:val="bottom"/>
          </w:tcPr>
          <w:p>
            <w:pPr>
              <w:ind w:left="80"/>
              <w:spacing w:after="0"/>
              <w:rPr>
                <w:sz w:val="20"/>
                <w:szCs w:val="20"/>
                <w:color w:val="auto"/>
              </w:rPr>
            </w:pPr>
            <w:r>
              <w:rPr>
                <w:rFonts w:ascii="Arial" w:cs="Arial" w:eastAsia="Arial" w:hAnsi="Arial"/>
                <w:sz w:val="14"/>
                <w:szCs w:val="14"/>
                <w:color w:val="3E3935"/>
              </w:rPr>
              <w:t>Mark L. Reuss</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2,012,717</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1,970,717</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1,625,000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2,843,800</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2,843,800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2,843,800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1,625,000</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13,567,707</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29,199,380</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29,199,380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29,199,380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29,199,380</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3"/>
        </w:trPr>
        <w:tc>
          <w:tcPr>
            <w:tcW w:w="332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17,205,424</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32,043,180</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3E3935"/>
              </w:rPr>
              <w:t>32,043,180</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32,043,180</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32,795,097</w:t>
            </w:r>
          </w:p>
        </w:tc>
      </w:tr>
      <w:tr>
        <w:trPr>
          <w:trHeight w:val="42"/>
        </w:trPr>
        <w:tc>
          <w:tcPr>
            <w:tcW w:w="332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94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7"/>
        </w:trPr>
        <w:tc>
          <w:tcPr>
            <w:tcW w:w="3320" w:type="dxa"/>
            <w:vAlign w:val="bottom"/>
          </w:tcPr>
          <w:p>
            <w:pPr>
              <w:ind w:left="80"/>
              <w:spacing w:after="0"/>
              <w:rPr>
                <w:sz w:val="20"/>
                <w:szCs w:val="20"/>
                <w:color w:val="auto"/>
              </w:rPr>
            </w:pPr>
            <w:r>
              <w:rPr>
                <w:rFonts w:ascii="Arial" w:cs="Arial" w:eastAsia="Arial" w:hAnsi="Arial"/>
                <w:sz w:val="14"/>
                <w:szCs w:val="14"/>
                <w:color w:val="3E3935"/>
              </w:rPr>
              <w:t>Douglas L. Parks</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1,337,717</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1,295,717</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1,062,500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1,859,400</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1,859,400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1,859,400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1,062,500</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3,203,938</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14,385,608</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14,385,608</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14,385,608</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14,385,608</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3"/>
        </w:trPr>
        <w:tc>
          <w:tcPr>
            <w:tcW w:w="332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5,604,155</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16,245,008</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3E3935"/>
              </w:rPr>
              <w:t>16,245,008</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16,245,008</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16,743,825</w:t>
            </w:r>
          </w:p>
        </w:tc>
      </w:tr>
      <w:tr>
        <w:trPr>
          <w:trHeight w:val="42"/>
        </w:trPr>
        <w:tc>
          <w:tcPr>
            <w:tcW w:w="332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94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7"/>
        </w:trPr>
        <w:tc>
          <w:tcPr>
            <w:tcW w:w="3320" w:type="dxa"/>
            <w:vAlign w:val="bottom"/>
          </w:tcPr>
          <w:p>
            <w:pPr>
              <w:ind w:left="80"/>
              <w:spacing w:after="0"/>
              <w:rPr>
                <w:sz w:val="20"/>
                <w:szCs w:val="20"/>
                <w:color w:val="auto"/>
              </w:rPr>
            </w:pPr>
            <w:r>
              <w:rPr>
                <w:rFonts w:ascii="Arial" w:cs="Arial" w:eastAsia="Arial" w:hAnsi="Arial"/>
                <w:sz w:val="14"/>
                <w:szCs w:val="14"/>
                <w:color w:val="3E3935"/>
              </w:rPr>
              <w:t>Stephen K. Carlisle</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1,334,654</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1,292,654</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1,062,500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1,859,400</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1,859,400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1,859,400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1,062,500</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7"/>
        </w:trPr>
        <w:tc>
          <w:tcPr>
            <w:tcW w:w="3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4,366,769</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15,029,487</w:t>
            </w:r>
          </w:p>
        </w:tc>
        <w:tc>
          <w:tcPr>
            <w:tcW w:w="1020" w:type="dxa"/>
            <w:vAlign w:val="bottom"/>
          </w:tcPr>
          <w:p>
            <w:pPr>
              <w:jc w:val="right"/>
              <w:ind w:right="89"/>
              <w:spacing w:after="0"/>
              <w:rPr>
                <w:sz w:val="20"/>
                <w:szCs w:val="20"/>
                <w:color w:val="auto"/>
              </w:rPr>
            </w:pPr>
            <w:r>
              <w:rPr>
                <w:rFonts w:ascii="Arial" w:cs="Arial" w:eastAsia="Arial" w:hAnsi="Arial"/>
                <w:sz w:val="14"/>
                <w:szCs w:val="14"/>
                <w:color w:val="3E3935"/>
              </w:rPr>
              <w:t>15,029,487</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15,029,487</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15,029,487</w:t>
            </w:r>
          </w:p>
        </w:tc>
      </w:tr>
      <w:tr>
        <w:trPr>
          <w:trHeight w:val="48"/>
        </w:trPr>
        <w:tc>
          <w:tcPr>
            <w:tcW w:w="332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3"/>
        </w:trPr>
        <w:tc>
          <w:tcPr>
            <w:tcW w:w="332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6,763,923</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16,888,887</w:t>
            </w: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3E3935"/>
              </w:rPr>
              <w:t>16,888,887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16,888,887</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17,384,641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26670</wp:posOffset>
            </wp:positionV>
            <wp:extent cx="69297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8" w:lineRule="exact"/>
        <w:rPr>
          <w:sz w:val="20"/>
          <w:szCs w:val="20"/>
          <w:color w:val="auto"/>
        </w:rPr>
      </w:pPr>
    </w:p>
    <w:p>
      <w:pPr>
        <w:jc w:val="both"/>
        <w:ind w:left="600" w:hanging="433"/>
        <w:spacing w:after="0"/>
        <w:tabs>
          <w:tab w:leader="none" w:pos="600" w:val="left"/>
        </w:tabs>
        <w:numPr>
          <w:ilvl w:val="0"/>
          <w:numId w:val="141"/>
        </w:numPr>
        <w:rPr>
          <w:rFonts w:ascii="Arial" w:cs="Arial" w:eastAsia="Arial" w:hAnsi="Arial"/>
          <w:sz w:val="18"/>
          <w:szCs w:val="18"/>
          <w:i w:val="1"/>
          <w:iCs w:val="1"/>
          <w:color w:val="3E3935"/>
        </w:rPr>
      </w:pPr>
      <w:r>
        <w:rPr>
          <w:rFonts w:ascii="Arial" w:cs="Arial" w:eastAsia="Arial" w:hAnsi="Arial"/>
          <w:sz w:val="18"/>
          <w:szCs w:val="18"/>
          <w:i w:val="1"/>
          <w:iCs w:val="1"/>
          <w:color w:val="3E3935"/>
        </w:rPr>
        <w:t>Cash amounts shown for Executive Severance Program and Change in Control with Termination are based on the Executive Severance Program. Payments are 2X base salary for the CEO and 1.5X base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w:t>
      </w:r>
    </w:p>
    <w:p>
      <w:pPr>
        <w:spacing w:after="0" w:line="48" w:lineRule="exact"/>
        <w:rPr>
          <w:rFonts w:ascii="Arial" w:cs="Arial" w:eastAsia="Arial" w:hAnsi="Arial"/>
          <w:sz w:val="18"/>
          <w:szCs w:val="18"/>
          <w:i w:val="1"/>
          <w:iCs w:val="1"/>
          <w:color w:val="3E3935"/>
        </w:rPr>
      </w:pPr>
    </w:p>
    <w:p>
      <w:pPr>
        <w:jc w:val="both"/>
        <w:ind w:left="600" w:hanging="433"/>
        <w:spacing w:after="0" w:line="247" w:lineRule="auto"/>
        <w:tabs>
          <w:tab w:leader="none" w:pos="600" w:val="left"/>
        </w:tabs>
        <w:numPr>
          <w:ilvl w:val="0"/>
          <w:numId w:val="141"/>
        </w:numPr>
        <w:rPr>
          <w:rFonts w:ascii="Arial" w:cs="Arial" w:eastAsia="Arial" w:hAnsi="Arial"/>
          <w:sz w:val="18"/>
          <w:szCs w:val="18"/>
          <w:i w:val="1"/>
          <w:iCs w:val="1"/>
          <w:color w:val="3E3935"/>
        </w:rPr>
      </w:pPr>
      <w:r>
        <w:rPr>
          <w:rFonts w:ascii="Arial" w:cs="Arial" w:eastAsia="Arial" w:hAnsi="Arial"/>
          <w:sz w:val="18"/>
          <w:szCs w:val="18"/>
          <w:i w:val="1"/>
          <w:iCs w:val="1"/>
          <w:color w:val="3E3935"/>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43"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141"/>
        </w:numPr>
        <w:rPr>
          <w:rFonts w:ascii="Arial" w:cs="Arial" w:eastAsia="Arial" w:hAnsi="Arial"/>
          <w:sz w:val="18"/>
          <w:szCs w:val="18"/>
          <w:i w:val="1"/>
          <w:iCs w:val="1"/>
          <w:color w:val="3E3935"/>
        </w:rPr>
      </w:pPr>
      <w:r>
        <w:rPr>
          <w:rFonts w:ascii="Arial" w:cs="Arial" w:eastAsia="Arial" w:hAnsi="Arial"/>
          <w:sz w:val="18"/>
          <w:szCs w:val="18"/>
          <w:i w:val="1"/>
          <w:iCs w:val="1"/>
          <w:color w:val="3E3935"/>
        </w:rPr>
        <w:t>LTIP amounts shown reflect the value of any unvested RSU awards, PSU awards, and Stock Options that may vest upon termination. The value of the awards is based on the closing price of GM common stock on December 31, 2021, of $58.63. Under the Executive Severance Program, structure equity awards are delivered in cash once vested; the value displayed reflects the value of awards that would be subject to payment based on awards outstanding as of December 31, 2021.</w:t>
      </w:r>
    </w:p>
    <w:p>
      <w:pPr>
        <w:spacing w:after="0" w:line="4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1"/>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and Messrs. Reuss, Parks, and Carlisle were eligible for full career status retirement as of December 31, 2021.</w:t>
      </w:r>
    </w:p>
    <w:p>
      <w:pPr>
        <w:spacing w:after="0" w:line="14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CEO Pay Ratio</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Our CEO, who leads our global workforce of 157,000 employees (98,000 located in the United States and 59,000 non-U.S.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employees) earned $29,136,780 in total compensation in 2021 as reported in the Summary Compensation Table.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To identify our new median employee for 2021, we:</w:t>
      </w:r>
    </w:p>
    <w:p>
      <w:pPr>
        <w:spacing w:after="0" w:line="64" w:lineRule="exact"/>
        <w:rPr>
          <w:sz w:val="20"/>
          <w:szCs w:val="20"/>
          <w:color w:val="auto"/>
        </w:rPr>
      </w:pPr>
    </w:p>
    <w:p>
      <w:pPr>
        <w:jc w:val="both"/>
        <w:ind w:left="1240" w:hanging="538"/>
        <w:spacing w:after="0" w:line="232" w:lineRule="auto"/>
        <w:tabs>
          <w:tab w:leader="none" w:pos="1240" w:val="left"/>
        </w:tabs>
        <w:numPr>
          <w:ilvl w:val="0"/>
          <w:numId w:val="142"/>
        </w:numPr>
        <w:rPr>
          <w:rFonts w:ascii="Arial" w:cs="Arial" w:eastAsia="Arial" w:hAnsi="Arial"/>
          <w:sz w:val="20"/>
          <w:szCs w:val="20"/>
          <w:color w:val="3E3935"/>
        </w:rPr>
      </w:pPr>
      <w:r>
        <w:rPr>
          <w:rFonts w:ascii="Arial" w:cs="Arial" w:eastAsia="Arial" w:hAnsi="Arial"/>
          <w:sz w:val="20"/>
          <w:szCs w:val="20"/>
          <w:color w:val="3E3935"/>
        </w:rPr>
        <w:t>Excluded all employees (7,005) in the following 27 countries under the SEC’s 5 percent de minimis exception: Argentina (1,501), Australia (195), Chile (215), China (735), Colombia (980), Ecuador (401), Egypt (748), Germany (87), India (309), Indonesia (10), Ireland (401), Israel (535), Italy (1), Japan (35), New Zealand (14), Peru (33), Philippines (461), Russia (65), Singapore (4), South Africa (8), Switzerland (14), Taiwan (9), Thailand (49), United Arab Emirates (171), United Kingdom (9), Uruguay (9), and Uzbekistan (6);</w:t>
      </w:r>
    </w:p>
    <w:p>
      <w:pPr>
        <w:spacing w:after="0" w:line="38" w:lineRule="exact"/>
        <w:rPr>
          <w:rFonts w:ascii="Arial" w:cs="Arial" w:eastAsia="Arial" w:hAnsi="Arial"/>
          <w:sz w:val="20"/>
          <w:szCs w:val="20"/>
          <w:color w:val="3E3935"/>
        </w:rPr>
      </w:pPr>
    </w:p>
    <w:p>
      <w:pPr>
        <w:ind w:left="1240" w:hanging="538"/>
        <w:spacing w:after="0"/>
        <w:tabs>
          <w:tab w:leader="none" w:pos="1240" w:val="left"/>
        </w:tabs>
        <w:numPr>
          <w:ilvl w:val="0"/>
          <w:numId w:val="142"/>
        </w:numPr>
        <w:rPr>
          <w:rFonts w:ascii="Arial" w:cs="Arial" w:eastAsia="Arial" w:hAnsi="Arial"/>
          <w:sz w:val="20"/>
          <w:szCs w:val="20"/>
          <w:color w:val="3E3935"/>
        </w:rPr>
      </w:pPr>
      <w:r>
        <w:rPr>
          <w:rFonts w:ascii="Arial" w:cs="Arial" w:eastAsia="Arial" w:hAnsi="Arial"/>
          <w:sz w:val="20"/>
          <w:szCs w:val="20"/>
          <w:color w:val="3E3935"/>
        </w:rPr>
        <w:t>Calculated year-to-date payroll as of November 1, 2021, for all employees excluding the CEO;</w:t>
      </w:r>
    </w:p>
    <w:p>
      <w:pPr>
        <w:spacing w:after="0" w:line="64" w:lineRule="exact"/>
        <w:rPr>
          <w:rFonts w:ascii="Arial" w:cs="Arial" w:eastAsia="Arial" w:hAnsi="Arial"/>
          <w:sz w:val="20"/>
          <w:szCs w:val="20"/>
          <w:color w:val="3E3935"/>
        </w:rPr>
      </w:pPr>
    </w:p>
    <w:p>
      <w:pPr>
        <w:ind w:left="1240" w:hanging="538"/>
        <w:spacing w:after="0" w:line="251" w:lineRule="auto"/>
        <w:tabs>
          <w:tab w:leader="none" w:pos="1240" w:val="left"/>
        </w:tabs>
        <w:numPr>
          <w:ilvl w:val="0"/>
          <w:numId w:val="142"/>
        </w:numPr>
        <w:rPr>
          <w:rFonts w:ascii="Arial" w:cs="Arial" w:eastAsia="Arial" w:hAnsi="Arial"/>
          <w:sz w:val="20"/>
          <w:szCs w:val="20"/>
          <w:color w:val="3E3935"/>
        </w:rPr>
      </w:pPr>
      <w:r>
        <w:rPr>
          <w:rFonts w:ascii="Arial" w:cs="Arial" w:eastAsia="Arial" w:hAnsi="Arial"/>
          <w:sz w:val="20"/>
          <w:szCs w:val="20"/>
          <w:color w:val="3E3935"/>
        </w:rPr>
        <w:t>Identified the middle 51 employees using year-to-date payroll converted to U.S. dollars as a consistently applied compensation measure;</w:t>
      </w:r>
    </w:p>
    <w:p>
      <w:pPr>
        <w:spacing w:after="0" w:line="27" w:lineRule="exact"/>
        <w:rPr>
          <w:rFonts w:ascii="Arial" w:cs="Arial" w:eastAsia="Arial" w:hAnsi="Arial"/>
          <w:sz w:val="20"/>
          <w:szCs w:val="20"/>
          <w:color w:val="3E3935"/>
        </w:rPr>
      </w:pPr>
    </w:p>
    <w:p>
      <w:pPr>
        <w:ind w:left="1240" w:hanging="538"/>
        <w:spacing w:after="0" w:line="251" w:lineRule="auto"/>
        <w:tabs>
          <w:tab w:leader="none" w:pos="1240" w:val="left"/>
        </w:tabs>
        <w:numPr>
          <w:ilvl w:val="0"/>
          <w:numId w:val="142"/>
        </w:numPr>
        <w:rPr>
          <w:rFonts w:ascii="Arial" w:cs="Arial" w:eastAsia="Arial" w:hAnsi="Arial"/>
          <w:sz w:val="20"/>
          <w:szCs w:val="20"/>
          <w:color w:val="3E3935"/>
        </w:rPr>
      </w:pPr>
      <w:r>
        <w:rPr>
          <w:rFonts w:ascii="Arial" w:cs="Arial" w:eastAsia="Arial" w:hAnsi="Arial"/>
          <w:sz w:val="20"/>
          <w:szCs w:val="20"/>
          <w:color w:val="3E3935"/>
        </w:rPr>
        <w:t>Calculated annual total compensation for the 51 middle employees based on the same SEC requirements that apply to determine total compensation in the Summary Compensation Table; and</w:t>
      </w:r>
    </w:p>
    <w:p>
      <w:pPr>
        <w:spacing w:after="0" w:line="27" w:lineRule="exact"/>
        <w:rPr>
          <w:rFonts w:ascii="Arial" w:cs="Arial" w:eastAsia="Arial" w:hAnsi="Arial"/>
          <w:sz w:val="20"/>
          <w:szCs w:val="20"/>
          <w:color w:val="3E3935"/>
        </w:rPr>
      </w:pPr>
    </w:p>
    <w:p>
      <w:pPr>
        <w:ind w:left="1240" w:hanging="538"/>
        <w:spacing w:after="0"/>
        <w:tabs>
          <w:tab w:leader="none" w:pos="1240" w:val="left"/>
        </w:tabs>
        <w:numPr>
          <w:ilvl w:val="0"/>
          <w:numId w:val="142"/>
        </w:numPr>
        <w:rPr>
          <w:rFonts w:ascii="Arial" w:cs="Arial" w:eastAsia="Arial" w:hAnsi="Arial"/>
          <w:sz w:val="20"/>
          <w:szCs w:val="20"/>
          <w:color w:val="3E3935"/>
        </w:rPr>
      </w:pPr>
      <w:r>
        <w:rPr>
          <w:rFonts w:ascii="Arial" w:cs="Arial" w:eastAsia="Arial" w:hAnsi="Arial"/>
          <w:sz w:val="20"/>
          <w:szCs w:val="20"/>
          <w:color w:val="3E3935"/>
        </w:rPr>
        <w:t>Re-ranked all middle 51 employees and selected the median employee.</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At GM, we believe that fair and equitable pay is an essential element of any successful organization, and we invest in our employees with market competitive pay and benefits. We compensate our employees to create alignment with the short-term and long-term goals tied to the success of the Company and with our vision of zero crashes, zero emissions, and zero congestion.</w:t>
      </w:r>
    </w:p>
    <w:p>
      <w:pPr>
        <w:spacing w:after="0" w:line="106"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Based on our calculation, we can reasonably estimate that our median employee earned $69,433 in 2021. The ratio of our CEO’s compensation to that of our median employee is estimated to be 420:1.</w:t>
      </w:r>
    </w:p>
    <w:p>
      <w:pPr>
        <w:spacing w:after="0" w:line="94"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rules outlined by the SEC for identifying the median employee and calculating the pay ratio based on that employee’s annual total compensation allow companies to adopt a variety of methodologies to calculate the median employee, excluding up to 5 percent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pacing w:after="0" w:line="12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Equity Compensation Plan Information</w:t>
      </w:r>
    </w:p>
    <w:p>
      <w:pPr>
        <w:spacing w:after="0" w:line="162"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following table provides information as of December 31, 2021, about the Company’s common stock that may be issued upon the exercise of options, warrants, and rights under all the Company’s existing equity compensation plans.</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2140" w:type="dxa"/>
            <w:vAlign w:val="bottom"/>
            <w:tcBorders>
              <w:top w:val="single" w:sz="8" w:color="00C1DE"/>
            </w:tcBorders>
          </w:tcPr>
          <w:p>
            <w:pPr>
              <w:spacing w:after="0"/>
              <w:rPr>
                <w:sz w:val="18"/>
                <w:szCs w:val="18"/>
                <w:color w:val="auto"/>
              </w:rPr>
            </w:pPr>
          </w:p>
        </w:tc>
        <w:tc>
          <w:tcPr>
            <w:tcW w:w="2840" w:type="dxa"/>
            <w:vAlign w:val="bottom"/>
            <w:tcBorders>
              <w:top w:val="single" w:sz="8" w:color="00C1DE"/>
            </w:tcBorders>
          </w:tcPr>
          <w:p>
            <w:pPr>
              <w:spacing w:after="0"/>
              <w:rPr>
                <w:sz w:val="18"/>
                <w:szCs w:val="18"/>
                <w:color w:val="auto"/>
              </w:rPr>
            </w:pPr>
          </w:p>
        </w:tc>
        <w:tc>
          <w:tcPr>
            <w:tcW w:w="3140" w:type="dxa"/>
            <w:vAlign w:val="bottom"/>
            <w:tcBorders>
              <w:top w:val="single" w:sz="8" w:color="00C1DE"/>
            </w:tcBorders>
          </w:tcPr>
          <w:p>
            <w:pPr>
              <w:spacing w:after="0"/>
              <w:rPr>
                <w:sz w:val="18"/>
                <w:szCs w:val="18"/>
                <w:color w:val="auto"/>
              </w:rPr>
            </w:pPr>
          </w:p>
        </w:tc>
        <w:tc>
          <w:tcPr>
            <w:tcW w:w="2800" w:type="dxa"/>
            <w:vAlign w:val="bottom"/>
            <w:tcBorders>
              <w:top w:val="single" w:sz="8" w:color="00C1DE"/>
            </w:tcBorders>
          </w:tcPr>
          <w:p>
            <w:pPr>
              <w:jc w:val="right"/>
              <w:ind w:right="188"/>
              <w:spacing w:after="0"/>
              <w:rPr>
                <w:sz w:val="20"/>
                <w:szCs w:val="20"/>
                <w:color w:val="auto"/>
              </w:rPr>
            </w:pPr>
            <w:r>
              <w:rPr>
                <w:rFonts w:ascii="Arial" w:cs="Arial" w:eastAsia="Arial" w:hAnsi="Arial"/>
                <w:sz w:val="18"/>
                <w:szCs w:val="18"/>
                <w:b w:val="1"/>
                <w:bCs w:val="1"/>
                <w:color w:val="00C1DE"/>
              </w:rPr>
              <w:t>Number of Securities</w:t>
            </w:r>
          </w:p>
        </w:tc>
      </w:tr>
      <w:tr>
        <w:trPr>
          <w:trHeight w:val="201"/>
        </w:trPr>
        <w:tc>
          <w:tcPr>
            <w:tcW w:w="2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0" w:type="dxa"/>
            <w:vAlign w:val="bottom"/>
          </w:tcPr>
          <w:p>
            <w:pPr>
              <w:jc w:val="right"/>
              <w:ind w:right="188"/>
              <w:spacing w:after="0" w:line="201" w:lineRule="exact"/>
              <w:rPr>
                <w:sz w:val="20"/>
                <w:szCs w:val="20"/>
                <w:color w:val="auto"/>
              </w:rPr>
            </w:pPr>
            <w:r>
              <w:rPr>
                <w:rFonts w:ascii="Arial" w:cs="Arial" w:eastAsia="Arial" w:hAnsi="Arial"/>
                <w:sz w:val="18"/>
                <w:szCs w:val="18"/>
                <w:b w:val="1"/>
                <w:bCs w:val="1"/>
                <w:color w:val="00C1DE"/>
              </w:rPr>
              <w:t>Remaining Available for</w:t>
            </w:r>
          </w:p>
        </w:tc>
      </w:tr>
      <w:tr>
        <w:trPr>
          <w:trHeight w:val="201"/>
        </w:trPr>
        <w:tc>
          <w:tcPr>
            <w:tcW w:w="2140" w:type="dxa"/>
            <w:vAlign w:val="bottom"/>
          </w:tcPr>
          <w:p>
            <w:pPr>
              <w:spacing w:after="0"/>
              <w:rPr>
                <w:sz w:val="17"/>
                <w:szCs w:val="17"/>
                <w:color w:val="auto"/>
              </w:rPr>
            </w:pPr>
          </w:p>
        </w:tc>
        <w:tc>
          <w:tcPr>
            <w:tcW w:w="2840" w:type="dxa"/>
            <w:vAlign w:val="bottom"/>
          </w:tcPr>
          <w:p>
            <w:pPr>
              <w:jc w:val="right"/>
              <w:ind w:right="288"/>
              <w:spacing w:after="0" w:line="201" w:lineRule="exact"/>
              <w:rPr>
                <w:sz w:val="20"/>
                <w:szCs w:val="20"/>
                <w:color w:val="auto"/>
              </w:rPr>
            </w:pPr>
            <w:r>
              <w:rPr>
                <w:rFonts w:ascii="Arial" w:cs="Arial" w:eastAsia="Arial" w:hAnsi="Arial"/>
                <w:sz w:val="18"/>
                <w:szCs w:val="18"/>
                <w:b w:val="1"/>
                <w:bCs w:val="1"/>
                <w:color w:val="00C1DE"/>
              </w:rPr>
              <w:t>Number of Securities to</w:t>
            </w:r>
          </w:p>
        </w:tc>
        <w:tc>
          <w:tcPr>
            <w:tcW w:w="3140" w:type="dxa"/>
            <w:vAlign w:val="bottom"/>
          </w:tcPr>
          <w:p>
            <w:pPr>
              <w:spacing w:after="0"/>
              <w:rPr>
                <w:sz w:val="17"/>
                <w:szCs w:val="17"/>
                <w:color w:val="auto"/>
              </w:rPr>
            </w:pPr>
          </w:p>
        </w:tc>
        <w:tc>
          <w:tcPr>
            <w:tcW w:w="2800" w:type="dxa"/>
            <w:vAlign w:val="bottom"/>
          </w:tcPr>
          <w:p>
            <w:pPr>
              <w:jc w:val="right"/>
              <w:ind w:right="188"/>
              <w:spacing w:after="0" w:line="201" w:lineRule="exact"/>
              <w:rPr>
                <w:sz w:val="20"/>
                <w:szCs w:val="20"/>
                <w:color w:val="auto"/>
              </w:rPr>
            </w:pPr>
            <w:r>
              <w:rPr>
                <w:rFonts w:ascii="Arial" w:cs="Arial" w:eastAsia="Arial" w:hAnsi="Arial"/>
                <w:sz w:val="18"/>
                <w:szCs w:val="18"/>
                <w:b w:val="1"/>
                <w:bCs w:val="1"/>
                <w:color w:val="00C1DE"/>
              </w:rPr>
              <w:t>Future Issuance Under</w:t>
            </w:r>
          </w:p>
        </w:tc>
      </w:tr>
      <w:tr>
        <w:trPr>
          <w:trHeight w:val="201"/>
        </w:trPr>
        <w:tc>
          <w:tcPr>
            <w:tcW w:w="2140" w:type="dxa"/>
            <w:vAlign w:val="bottom"/>
          </w:tcPr>
          <w:p>
            <w:pPr>
              <w:spacing w:after="0"/>
              <w:rPr>
                <w:sz w:val="17"/>
                <w:szCs w:val="17"/>
                <w:color w:val="auto"/>
              </w:rPr>
            </w:pPr>
          </w:p>
        </w:tc>
        <w:tc>
          <w:tcPr>
            <w:tcW w:w="2840" w:type="dxa"/>
            <w:vAlign w:val="bottom"/>
          </w:tcPr>
          <w:p>
            <w:pPr>
              <w:jc w:val="right"/>
              <w:ind w:right="288"/>
              <w:spacing w:after="0" w:line="201" w:lineRule="exact"/>
              <w:rPr>
                <w:sz w:val="20"/>
                <w:szCs w:val="20"/>
                <w:color w:val="auto"/>
              </w:rPr>
            </w:pPr>
            <w:r>
              <w:rPr>
                <w:rFonts w:ascii="Arial" w:cs="Arial" w:eastAsia="Arial" w:hAnsi="Arial"/>
                <w:sz w:val="18"/>
                <w:szCs w:val="18"/>
                <w:b w:val="1"/>
                <w:bCs w:val="1"/>
                <w:color w:val="00C1DE"/>
              </w:rPr>
              <w:t>be Issued Upon Exercise</w:t>
            </w:r>
          </w:p>
        </w:tc>
        <w:tc>
          <w:tcPr>
            <w:tcW w:w="3140" w:type="dxa"/>
            <w:vAlign w:val="bottom"/>
          </w:tcPr>
          <w:p>
            <w:pPr>
              <w:jc w:val="right"/>
              <w:ind w:right="147"/>
              <w:spacing w:after="0" w:line="201" w:lineRule="exact"/>
              <w:rPr>
                <w:sz w:val="20"/>
                <w:szCs w:val="20"/>
                <w:color w:val="auto"/>
              </w:rPr>
            </w:pPr>
            <w:r>
              <w:rPr>
                <w:rFonts w:ascii="Arial" w:cs="Arial" w:eastAsia="Arial" w:hAnsi="Arial"/>
                <w:sz w:val="18"/>
                <w:szCs w:val="18"/>
                <w:b w:val="1"/>
                <w:bCs w:val="1"/>
                <w:color w:val="00C1DE"/>
              </w:rPr>
              <w:t>Weighted-Average Exercise</w:t>
            </w:r>
          </w:p>
        </w:tc>
        <w:tc>
          <w:tcPr>
            <w:tcW w:w="2800" w:type="dxa"/>
            <w:vAlign w:val="bottom"/>
          </w:tcPr>
          <w:p>
            <w:pPr>
              <w:jc w:val="right"/>
              <w:ind w:right="188"/>
              <w:spacing w:after="0" w:line="201" w:lineRule="exact"/>
              <w:rPr>
                <w:sz w:val="20"/>
                <w:szCs w:val="20"/>
                <w:color w:val="auto"/>
              </w:rPr>
            </w:pPr>
            <w:r>
              <w:rPr>
                <w:rFonts w:ascii="Arial" w:cs="Arial" w:eastAsia="Arial" w:hAnsi="Arial"/>
                <w:sz w:val="18"/>
                <w:szCs w:val="18"/>
                <w:b w:val="1"/>
                <w:bCs w:val="1"/>
                <w:color w:val="00C1DE"/>
              </w:rPr>
              <w:t>Equity Compensation Plan</w:t>
            </w:r>
          </w:p>
        </w:tc>
      </w:tr>
      <w:tr>
        <w:trPr>
          <w:trHeight w:val="201"/>
        </w:trPr>
        <w:tc>
          <w:tcPr>
            <w:tcW w:w="2140" w:type="dxa"/>
            <w:vAlign w:val="bottom"/>
          </w:tcPr>
          <w:p>
            <w:pPr>
              <w:spacing w:after="0"/>
              <w:rPr>
                <w:sz w:val="17"/>
                <w:szCs w:val="17"/>
                <w:color w:val="auto"/>
              </w:rPr>
            </w:pPr>
          </w:p>
        </w:tc>
        <w:tc>
          <w:tcPr>
            <w:tcW w:w="2840" w:type="dxa"/>
            <w:vAlign w:val="bottom"/>
          </w:tcPr>
          <w:p>
            <w:pPr>
              <w:jc w:val="right"/>
              <w:ind w:right="288"/>
              <w:spacing w:after="0" w:line="201" w:lineRule="exact"/>
              <w:rPr>
                <w:sz w:val="20"/>
                <w:szCs w:val="20"/>
                <w:color w:val="auto"/>
              </w:rPr>
            </w:pPr>
            <w:r>
              <w:rPr>
                <w:rFonts w:ascii="Arial" w:cs="Arial" w:eastAsia="Arial" w:hAnsi="Arial"/>
                <w:sz w:val="18"/>
                <w:szCs w:val="18"/>
                <w:b w:val="1"/>
                <w:bCs w:val="1"/>
                <w:color w:val="00C1DE"/>
              </w:rPr>
              <w:t>of Outstanding Options,</w:t>
            </w:r>
          </w:p>
        </w:tc>
        <w:tc>
          <w:tcPr>
            <w:tcW w:w="3140" w:type="dxa"/>
            <w:vAlign w:val="bottom"/>
          </w:tcPr>
          <w:p>
            <w:pPr>
              <w:jc w:val="right"/>
              <w:ind w:right="147"/>
              <w:spacing w:after="0" w:line="201" w:lineRule="exact"/>
              <w:rPr>
                <w:sz w:val="20"/>
                <w:szCs w:val="20"/>
                <w:color w:val="auto"/>
              </w:rPr>
            </w:pPr>
            <w:r>
              <w:rPr>
                <w:rFonts w:ascii="Arial" w:cs="Arial" w:eastAsia="Arial" w:hAnsi="Arial"/>
                <w:sz w:val="18"/>
                <w:szCs w:val="18"/>
                <w:b w:val="1"/>
                <w:bCs w:val="1"/>
                <w:color w:val="00C1DE"/>
              </w:rPr>
              <w:t>Price of Outstanding Options,</w:t>
            </w:r>
          </w:p>
        </w:tc>
        <w:tc>
          <w:tcPr>
            <w:tcW w:w="2800" w:type="dxa"/>
            <w:vAlign w:val="bottom"/>
          </w:tcPr>
          <w:p>
            <w:pPr>
              <w:jc w:val="right"/>
              <w:ind w:right="188"/>
              <w:spacing w:after="0" w:line="201" w:lineRule="exact"/>
              <w:rPr>
                <w:sz w:val="20"/>
                <w:szCs w:val="20"/>
                <w:color w:val="auto"/>
              </w:rPr>
            </w:pPr>
            <w:r>
              <w:rPr>
                <w:rFonts w:ascii="Arial" w:cs="Arial" w:eastAsia="Arial" w:hAnsi="Arial"/>
                <w:sz w:val="18"/>
                <w:szCs w:val="18"/>
                <w:b w:val="1"/>
                <w:bCs w:val="1"/>
                <w:color w:val="00C1DE"/>
              </w:rPr>
              <w:t>(excluding securities</w:t>
            </w:r>
          </w:p>
        </w:tc>
      </w:tr>
      <w:tr>
        <w:trPr>
          <w:trHeight w:val="201"/>
        </w:trPr>
        <w:tc>
          <w:tcPr>
            <w:tcW w:w="2140" w:type="dxa"/>
            <w:vAlign w:val="bottom"/>
          </w:tcPr>
          <w:p>
            <w:pPr>
              <w:spacing w:after="0"/>
              <w:rPr>
                <w:sz w:val="17"/>
                <w:szCs w:val="17"/>
                <w:color w:val="auto"/>
              </w:rPr>
            </w:pPr>
          </w:p>
        </w:tc>
        <w:tc>
          <w:tcPr>
            <w:tcW w:w="2840" w:type="dxa"/>
            <w:vAlign w:val="bottom"/>
          </w:tcPr>
          <w:p>
            <w:pPr>
              <w:jc w:val="right"/>
              <w:ind w:right="288"/>
              <w:spacing w:after="0" w:line="201" w:lineRule="exact"/>
              <w:rPr>
                <w:sz w:val="20"/>
                <w:szCs w:val="20"/>
                <w:color w:val="auto"/>
              </w:rPr>
            </w:pPr>
            <w:r>
              <w:rPr>
                <w:rFonts w:ascii="Arial" w:cs="Arial" w:eastAsia="Arial" w:hAnsi="Arial"/>
                <w:sz w:val="18"/>
                <w:szCs w:val="18"/>
                <w:b w:val="1"/>
                <w:bCs w:val="1"/>
                <w:color w:val="00C1DE"/>
              </w:rPr>
              <w:t>Warrants, and Rights</w:t>
            </w:r>
          </w:p>
        </w:tc>
        <w:tc>
          <w:tcPr>
            <w:tcW w:w="3140" w:type="dxa"/>
            <w:vAlign w:val="bottom"/>
          </w:tcPr>
          <w:p>
            <w:pPr>
              <w:jc w:val="right"/>
              <w:ind w:right="147"/>
              <w:spacing w:after="0" w:line="201" w:lineRule="exact"/>
              <w:rPr>
                <w:sz w:val="20"/>
                <w:szCs w:val="20"/>
                <w:color w:val="auto"/>
              </w:rPr>
            </w:pPr>
            <w:r>
              <w:rPr>
                <w:rFonts w:ascii="Arial" w:cs="Arial" w:eastAsia="Arial" w:hAnsi="Arial"/>
                <w:sz w:val="18"/>
                <w:szCs w:val="18"/>
                <w:b w:val="1"/>
                <w:bCs w:val="1"/>
                <w:color w:val="00C1DE"/>
              </w:rPr>
              <w:t>Warrants, and Rights</w:t>
            </w:r>
          </w:p>
        </w:tc>
        <w:tc>
          <w:tcPr>
            <w:tcW w:w="2800" w:type="dxa"/>
            <w:vAlign w:val="bottom"/>
          </w:tcPr>
          <w:p>
            <w:pPr>
              <w:jc w:val="right"/>
              <w:ind w:right="188"/>
              <w:spacing w:after="0" w:line="201" w:lineRule="exact"/>
              <w:rPr>
                <w:sz w:val="20"/>
                <w:szCs w:val="20"/>
                <w:color w:val="auto"/>
              </w:rPr>
            </w:pPr>
            <w:r>
              <w:rPr>
                <w:rFonts w:ascii="Arial" w:cs="Arial" w:eastAsia="Arial" w:hAnsi="Arial"/>
                <w:sz w:val="18"/>
                <w:szCs w:val="18"/>
                <w:b w:val="1"/>
                <w:bCs w:val="1"/>
                <w:color w:val="00C1DE"/>
              </w:rPr>
              <w:t>reflected in column (A))</w:t>
            </w:r>
          </w:p>
        </w:tc>
      </w:tr>
      <w:tr>
        <w:trPr>
          <w:trHeight w:val="259"/>
        </w:trPr>
        <w:tc>
          <w:tcPr>
            <w:tcW w:w="2140" w:type="dxa"/>
            <w:vAlign w:val="bottom"/>
            <w:tcBorders>
              <w:bottom w:val="single" w:sz="8" w:color="00C1DE"/>
            </w:tcBorders>
          </w:tcPr>
          <w:p>
            <w:pPr>
              <w:ind w:left="100"/>
              <w:spacing w:after="0"/>
              <w:rPr>
                <w:sz w:val="20"/>
                <w:szCs w:val="20"/>
                <w:color w:val="auto"/>
              </w:rPr>
            </w:pPr>
            <w:r>
              <w:rPr>
                <w:rFonts w:ascii="Arial" w:cs="Arial" w:eastAsia="Arial" w:hAnsi="Arial"/>
                <w:sz w:val="18"/>
                <w:szCs w:val="18"/>
                <w:b w:val="1"/>
                <w:bCs w:val="1"/>
                <w:color w:val="00C1DE"/>
              </w:rPr>
              <w:t>Plan Category</w:t>
            </w:r>
          </w:p>
        </w:tc>
        <w:tc>
          <w:tcPr>
            <w:tcW w:w="2840" w:type="dxa"/>
            <w:vAlign w:val="bottom"/>
            <w:tcBorders>
              <w:bottom w:val="single" w:sz="8" w:color="00C1DE"/>
            </w:tcBorders>
          </w:tcPr>
          <w:p>
            <w:pPr>
              <w:jc w:val="right"/>
              <w:ind w:right="288"/>
              <w:spacing w:after="0"/>
              <w:rPr>
                <w:sz w:val="20"/>
                <w:szCs w:val="20"/>
                <w:color w:val="auto"/>
              </w:rPr>
            </w:pPr>
            <w:r>
              <w:rPr>
                <w:rFonts w:ascii="Arial" w:cs="Arial" w:eastAsia="Arial" w:hAnsi="Arial"/>
                <w:sz w:val="18"/>
                <w:szCs w:val="18"/>
                <w:b w:val="1"/>
                <w:bCs w:val="1"/>
                <w:color w:val="00C1DE"/>
              </w:rPr>
              <w:t>(A)</w:t>
            </w:r>
          </w:p>
        </w:tc>
        <w:tc>
          <w:tcPr>
            <w:tcW w:w="3140" w:type="dxa"/>
            <w:vAlign w:val="bottom"/>
            <w:tcBorders>
              <w:bottom w:val="single" w:sz="8" w:color="00C1DE"/>
            </w:tcBorders>
          </w:tcPr>
          <w:p>
            <w:pPr>
              <w:jc w:val="right"/>
              <w:ind w:right="147"/>
              <w:spacing w:after="0"/>
              <w:rPr>
                <w:sz w:val="20"/>
                <w:szCs w:val="20"/>
                <w:color w:val="auto"/>
              </w:rPr>
            </w:pPr>
            <w:r>
              <w:rPr>
                <w:rFonts w:ascii="Arial" w:cs="Arial" w:eastAsia="Arial" w:hAnsi="Arial"/>
                <w:sz w:val="18"/>
                <w:szCs w:val="18"/>
                <w:b w:val="1"/>
                <w:bCs w:val="1"/>
                <w:color w:val="00C1DE"/>
              </w:rPr>
              <w:t>(B)</w:t>
            </w:r>
          </w:p>
        </w:tc>
        <w:tc>
          <w:tcPr>
            <w:tcW w:w="2800" w:type="dxa"/>
            <w:vAlign w:val="bottom"/>
            <w:tcBorders>
              <w:bottom w:val="single" w:sz="8" w:color="00C1DE"/>
            </w:tcBorders>
          </w:tcPr>
          <w:p>
            <w:pPr>
              <w:jc w:val="right"/>
              <w:ind w:right="188"/>
              <w:spacing w:after="0"/>
              <w:rPr>
                <w:sz w:val="20"/>
                <w:szCs w:val="20"/>
                <w:color w:val="auto"/>
              </w:rPr>
            </w:pPr>
            <w:r>
              <w:rPr>
                <w:rFonts w:ascii="Arial" w:cs="Arial" w:eastAsia="Arial" w:hAnsi="Arial"/>
                <w:sz w:val="18"/>
                <w:szCs w:val="18"/>
                <w:b w:val="1"/>
                <w:bCs w:val="1"/>
                <w:color w:val="00C1DE"/>
              </w:rPr>
              <w:t>(C)</w:t>
            </w:r>
          </w:p>
        </w:tc>
      </w:tr>
      <w:tr>
        <w:trPr>
          <w:trHeight w:val="253"/>
        </w:trPr>
        <w:tc>
          <w:tcPr>
            <w:tcW w:w="2140" w:type="dxa"/>
            <w:vAlign w:val="bottom"/>
          </w:tcPr>
          <w:p>
            <w:pPr>
              <w:ind w:left="100"/>
              <w:spacing w:after="0"/>
              <w:rPr>
                <w:sz w:val="20"/>
                <w:szCs w:val="20"/>
                <w:color w:val="auto"/>
              </w:rPr>
            </w:pPr>
            <w:r>
              <w:rPr>
                <w:rFonts w:ascii="Arial" w:cs="Arial" w:eastAsia="Arial" w:hAnsi="Arial"/>
                <w:sz w:val="20"/>
                <w:szCs w:val="20"/>
                <w:color w:val="3E3935"/>
              </w:rPr>
              <w:t>Equity</w:t>
            </w:r>
          </w:p>
        </w:tc>
        <w:tc>
          <w:tcPr>
            <w:tcW w:w="28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214"/>
        </w:trPr>
        <w:tc>
          <w:tcPr>
            <w:tcW w:w="2140" w:type="dxa"/>
            <w:vAlign w:val="bottom"/>
          </w:tcPr>
          <w:p>
            <w:pPr>
              <w:ind w:left="100"/>
              <w:spacing w:after="0" w:line="214" w:lineRule="exact"/>
              <w:rPr>
                <w:sz w:val="20"/>
                <w:szCs w:val="20"/>
                <w:color w:val="auto"/>
              </w:rPr>
            </w:pPr>
            <w:r>
              <w:rPr>
                <w:rFonts w:ascii="Arial" w:cs="Arial" w:eastAsia="Arial" w:hAnsi="Arial"/>
                <w:sz w:val="20"/>
                <w:szCs w:val="20"/>
                <w:color w:val="3E3935"/>
              </w:rPr>
              <w:t>compensation</w:t>
            </w: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4"/>
        </w:trPr>
        <w:tc>
          <w:tcPr>
            <w:tcW w:w="2140" w:type="dxa"/>
            <w:vAlign w:val="bottom"/>
          </w:tcPr>
          <w:p>
            <w:pPr>
              <w:ind w:left="100"/>
              <w:spacing w:after="0" w:line="214" w:lineRule="exact"/>
              <w:rPr>
                <w:sz w:val="20"/>
                <w:szCs w:val="20"/>
                <w:color w:val="auto"/>
              </w:rPr>
            </w:pPr>
            <w:r>
              <w:rPr>
                <w:rFonts w:ascii="Arial" w:cs="Arial" w:eastAsia="Arial" w:hAnsi="Arial"/>
                <w:sz w:val="20"/>
                <w:szCs w:val="20"/>
                <w:color w:val="3E3935"/>
              </w:rPr>
              <w:t>plans approved by</w:t>
            </w: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57"/>
        </w:trPr>
        <w:tc>
          <w:tcPr>
            <w:tcW w:w="2140" w:type="dxa"/>
            <w:vAlign w:val="bottom"/>
          </w:tcPr>
          <w:p>
            <w:pPr>
              <w:ind w:left="100"/>
              <w:spacing w:after="0"/>
              <w:rPr>
                <w:sz w:val="20"/>
                <w:szCs w:val="20"/>
                <w:color w:val="auto"/>
              </w:rPr>
            </w:pPr>
            <w:r>
              <w:rPr>
                <w:rFonts w:ascii="Arial" w:cs="Arial" w:eastAsia="Arial" w:hAnsi="Arial"/>
                <w:sz w:val="20"/>
                <w:szCs w:val="20"/>
                <w:color w:val="3E3935"/>
              </w:rPr>
              <w:t>security holders</w:t>
            </w:r>
          </w:p>
        </w:tc>
        <w:tc>
          <w:tcPr>
            <w:tcW w:w="2840" w:type="dxa"/>
            <w:vAlign w:val="bottom"/>
          </w:tcPr>
          <w:p>
            <w:pPr>
              <w:jc w:val="right"/>
              <w:ind w:right="288"/>
              <w:spacing w:after="0"/>
              <w:rPr>
                <w:sz w:val="20"/>
                <w:szCs w:val="20"/>
                <w:color w:val="auto"/>
              </w:rPr>
            </w:pPr>
            <w:r>
              <w:rPr>
                <w:rFonts w:ascii="Arial" w:cs="Arial" w:eastAsia="Arial" w:hAnsi="Arial"/>
                <w:sz w:val="20"/>
                <w:szCs w:val="20"/>
                <w:color w:val="3E3935"/>
              </w:rPr>
              <w:t>29,897,777</w:t>
            </w:r>
            <w:r>
              <w:rPr>
                <w:rFonts w:ascii="Arial" w:cs="Arial" w:eastAsia="Arial" w:hAnsi="Arial"/>
                <w:sz w:val="16"/>
                <w:szCs w:val="16"/>
                <w:color w:val="3E3935"/>
              </w:rPr>
              <w:t>(1)</w:t>
            </w:r>
          </w:p>
        </w:tc>
        <w:tc>
          <w:tcPr>
            <w:tcW w:w="3140" w:type="dxa"/>
            <w:vAlign w:val="bottom"/>
          </w:tcPr>
          <w:p>
            <w:pPr>
              <w:jc w:val="right"/>
              <w:ind w:right="147"/>
              <w:spacing w:after="0"/>
              <w:rPr>
                <w:sz w:val="20"/>
                <w:szCs w:val="20"/>
                <w:color w:val="auto"/>
              </w:rPr>
            </w:pPr>
            <w:r>
              <w:rPr>
                <w:rFonts w:ascii="Arial" w:cs="Arial" w:eastAsia="Arial" w:hAnsi="Arial"/>
                <w:sz w:val="20"/>
                <w:szCs w:val="20"/>
                <w:color w:val="3E3935"/>
              </w:rPr>
              <w:t>$37.54</w:t>
            </w:r>
          </w:p>
        </w:tc>
        <w:tc>
          <w:tcPr>
            <w:tcW w:w="2800" w:type="dxa"/>
            <w:vAlign w:val="bottom"/>
          </w:tcPr>
          <w:p>
            <w:pPr>
              <w:jc w:val="right"/>
              <w:ind w:right="188"/>
              <w:spacing w:after="0"/>
              <w:rPr>
                <w:sz w:val="20"/>
                <w:szCs w:val="20"/>
                <w:color w:val="auto"/>
              </w:rPr>
            </w:pPr>
            <w:r>
              <w:rPr>
                <w:rFonts w:ascii="Arial" w:cs="Arial" w:eastAsia="Arial" w:hAnsi="Arial"/>
                <w:sz w:val="20"/>
                <w:szCs w:val="20"/>
                <w:color w:val="3E3935"/>
              </w:rPr>
              <w:t>52,828,421</w:t>
            </w:r>
          </w:p>
        </w:tc>
      </w:tr>
      <w:tr>
        <w:trPr>
          <w:trHeight w:val="58"/>
        </w:trPr>
        <w:tc>
          <w:tcPr>
            <w:tcW w:w="2140" w:type="dxa"/>
            <w:vAlign w:val="bottom"/>
            <w:tcBorders>
              <w:bottom w:val="single" w:sz="8" w:color="3E3935"/>
            </w:tcBorders>
          </w:tcPr>
          <w:p>
            <w:pPr>
              <w:spacing w:after="0"/>
              <w:rPr>
                <w:sz w:val="5"/>
                <w:szCs w:val="5"/>
                <w:color w:val="auto"/>
              </w:rPr>
            </w:pPr>
          </w:p>
        </w:tc>
        <w:tc>
          <w:tcPr>
            <w:tcW w:w="2840" w:type="dxa"/>
            <w:vAlign w:val="bottom"/>
            <w:tcBorders>
              <w:bottom w:val="single" w:sz="8" w:color="3E3935"/>
            </w:tcBorders>
          </w:tcPr>
          <w:p>
            <w:pPr>
              <w:spacing w:after="0"/>
              <w:rPr>
                <w:sz w:val="5"/>
                <w:szCs w:val="5"/>
                <w:color w:val="auto"/>
              </w:rPr>
            </w:pPr>
          </w:p>
        </w:tc>
        <w:tc>
          <w:tcPr>
            <w:tcW w:w="314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r>
      <w:tr>
        <w:trPr>
          <w:trHeight w:val="253"/>
        </w:trPr>
        <w:tc>
          <w:tcPr>
            <w:tcW w:w="2140" w:type="dxa"/>
            <w:vAlign w:val="bottom"/>
          </w:tcPr>
          <w:p>
            <w:pPr>
              <w:ind w:left="100"/>
              <w:spacing w:after="0"/>
              <w:rPr>
                <w:sz w:val="20"/>
                <w:szCs w:val="20"/>
                <w:color w:val="auto"/>
              </w:rPr>
            </w:pPr>
            <w:r>
              <w:rPr>
                <w:rFonts w:ascii="Arial" w:cs="Arial" w:eastAsia="Arial" w:hAnsi="Arial"/>
                <w:sz w:val="20"/>
                <w:szCs w:val="20"/>
                <w:color w:val="3E3935"/>
              </w:rPr>
              <w:t>Equity</w:t>
            </w:r>
          </w:p>
        </w:tc>
        <w:tc>
          <w:tcPr>
            <w:tcW w:w="28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14"/>
        </w:trPr>
        <w:tc>
          <w:tcPr>
            <w:tcW w:w="2140" w:type="dxa"/>
            <w:vAlign w:val="bottom"/>
          </w:tcPr>
          <w:p>
            <w:pPr>
              <w:ind w:left="100"/>
              <w:spacing w:after="0" w:line="214" w:lineRule="exact"/>
              <w:rPr>
                <w:sz w:val="20"/>
                <w:szCs w:val="20"/>
                <w:color w:val="auto"/>
              </w:rPr>
            </w:pPr>
            <w:r>
              <w:rPr>
                <w:rFonts w:ascii="Arial" w:cs="Arial" w:eastAsia="Arial" w:hAnsi="Arial"/>
                <w:sz w:val="20"/>
                <w:szCs w:val="20"/>
                <w:color w:val="3E3935"/>
              </w:rPr>
              <w:t>compensation</w:t>
            </w: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4"/>
        </w:trPr>
        <w:tc>
          <w:tcPr>
            <w:tcW w:w="2140" w:type="dxa"/>
            <w:vAlign w:val="bottom"/>
          </w:tcPr>
          <w:p>
            <w:pPr>
              <w:ind w:left="100"/>
              <w:spacing w:after="0" w:line="214" w:lineRule="exact"/>
              <w:rPr>
                <w:sz w:val="20"/>
                <w:szCs w:val="20"/>
                <w:color w:val="auto"/>
              </w:rPr>
            </w:pPr>
            <w:r>
              <w:rPr>
                <w:rFonts w:ascii="Arial" w:cs="Arial" w:eastAsia="Arial" w:hAnsi="Arial"/>
                <w:sz w:val="20"/>
                <w:szCs w:val="20"/>
                <w:color w:val="3E3935"/>
              </w:rPr>
              <w:t>plans not approved</w:t>
            </w: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4"/>
        </w:trPr>
        <w:tc>
          <w:tcPr>
            <w:tcW w:w="2140" w:type="dxa"/>
            <w:vAlign w:val="bottom"/>
          </w:tcPr>
          <w:p>
            <w:pPr>
              <w:ind w:left="100"/>
              <w:spacing w:after="0" w:line="214" w:lineRule="exact"/>
              <w:rPr>
                <w:sz w:val="20"/>
                <w:szCs w:val="20"/>
                <w:color w:val="auto"/>
              </w:rPr>
            </w:pPr>
            <w:r>
              <w:rPr>
                <w:rFonts w:ascii="Arial" w:cs="Arial" w:eastAsia="Arial" w:hAnsi="Arial"/>
                <w:sz w:val="20"/>
                <w:szCs w:val="20"/>
                <w:color w:val="3E3935"/>
              </w:rPr>
              <w:t>by security</w:t>
            </w: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57"/>
        </w:trPr>
        <w:tc>
          <w:tcPr>
            <w:tcW w:w="2140" w:type="dxa"/>
            <w:vAlign w:val="bottom"/>
          </w:tcPr>
          <w:p>
            <w:pPr>
              <w:ind w:left="100"/>
              <w:spacing w:after="0"/>
              <w:rPr>
                <w:sz w:val="20"/>
                <w:szCs w:val="20"/>
                <w:color w:val="auto"/>
              </w:rPr>
            </w:pPr>
            <w:r>
              <w:rPr>
                <w:rFonts w:ascii="Arial" w:cs="Arial" w:eastAsia="Arial" w:hAnsi="Arial"/>
                <w:sz w:val="20"/>
                <w:szCs w:val="20"/>
                <w:color w:val="3E3935"/>
              </w:rPr>
              <w:t>holders</w:t>
            </w:r>
            <w:r>
              <w:rPr>
                <w:rFonts w:ascii="Arial" w:cs="Arial" w:eastAsia="Arial" w:hAnsi="Arial"/>
                <w:sz w:val="16"/>
                <w:szCs w:val="16"/>
                <w:color w:val="3E3935"/>
              </w:rPr>
              <w:t>(2)</w:t>
            </w:r>
          </w:p>
        </w:tc>
        <w:tc>
          <w:tcPr>
            <w:tcW w:w="2840" w:type="dxa"/>
            <w:vAlign w:val="bottom"/>
          </w:tcPr>
          <w:p>
            <w:pPr>
              <w:jc w:val="right"/>
              <w:ind w:right="288"/>
              <w:spacing w:after="0"/>
              <w:rPr>
                <w:sz w:val="20"/>
                <w:szCs w:val="20"/>
                <w:color w:val="auto"/>
              </w:rPr>
            </w:pPr>
            <w:r>
              <w:rPr>
                <w:rFonts w:ascii="Arial" w:cs="Arial" w:eastAsia="Arial" w:hAnsi="Arial"/>
                <w:sz w:val="20"/>
                <w:szCs w:val="20"/>
                <w:color w:val="3E3935"/>
              </w:rPr>
              <w:t>103,841</w:t>
            </w:r>
            <w:r>
              <w:rPr>
                <w:rFonts w:ascii="Arial" w:cs="Arial" w:eastAsia="Arial" w:hAnsi="Arial"/>
                <w:sz w:val="16"/>
                <w:szCs w:val="16"/>
                <w:color w:val="3E3935"/>
              </w:rPr>
              <w:t>(3)</w:t>
            </w:r>
          </w:p>
        </w:tc>
        <w:tc>
          <w:tcPr>
            <w:tcW w:w="3140" w:type="dxa"/>
            <w:vAlign w:val="bottom"/>
          </w:tcPr>
          <w:p>
            <w:pPr>
              <w:jc w:val="right"/>
              <w:ind w:right="147"/>
              <w:spacing w:after="0"/>
              <w:rPr>
                <w:sz w:val="20"/>
                <w:szCs w:val="20"/>
                <w:color w:val="auto"/>
              </w:rPr>
            </w:pPr>
            <w:r>
              <w:rPr>
                <w:rFonts w:ascii="Arial" w:cs="Arial" w:eastAsia="Arial" w:hAnsi="Arial"/>
                <w:sz w:val="20"/>
                <w:szCs w:val="20"/>
                <w:color w:val="3E3935"/>
              </w:rPr>
              <w:t>—</w:t>
            </w:r>
          </w:p>
        </w:tc>
        <w:tc>
          <w:tcPr>
            <w:tcW w:w="2800" w:type="dxa"/>
            <w:vAlign w:val="bottom"/>
          </w:tcPr>
          <w:p>
            <w:pPr>
              <w:jc w:val="right"/>
              <w:ind w:right="188"/>
              <w:spacing w:after="0"/>
              <w:rPr>
                <w:sz w:val="20"/>
                <w:szCs w:val="20"/>
                <w:color w:val="auto"/>
              </w:rPr>
            </w:pPr>
            <w:r>
              <w:rPr>
                <w:rFonts w:ascii="Arial" w:cs="Arial" w:eastAsia="Arial" w:hAnsi="Arial"/>
                <w:sz w:val="20"/>
                <w:szCs w:val="20"/>
                <w:color w:val="3E3935"/>
              </w:rPr>
              <w:t>15,187</w:t>
            </w:r>
          </w:p>
        </w:tc>
      </w:tr>
      <w:tr>
        <w:trPr>
          <w:trHeight w:val="58"/>
        </w:trPr>
        <w:tc>
          <w:tcPr>
            <w:tcW w:w="2140" w:type="dxa"/>
            <w:vAlign w:val="bottom"/>
            <w:tcBorders>
              <w:bottom w:val="single" w:sz="8" w:color="3E3935"/>
            </w:tcBorders>
          </w:tcPr>
          <w:p>
            <w:pPr>
              <w:spacing w:after="0"/>
              <w:rPr>
                <w:sz w:val="5"/>
                <w:szCs w:val="5"/>
                <w:color w:val="auto"/>
              </w:rPr>
            </w:pPr>
          </w:p>
        </w:tc>
        <w:tc>
          <w:tcPr>
            <w:tcW w:w="2840" w:type="dxa"/>
            <w:vAlign w:val="bottom"/>
            <w:tcBorders>
              <w:bottom w:val="single" w:sz="8" w:color="3E3935"/>
            </w:tcBorders>
          </w:tcPr>
          <w:p>
            <w:pPr>
              <w:spacing w:after="0"/>
              <w:rPr>
                <w:sz w:val="5"/>
                <w:szCs w:val="5"/>
                <w:color w:val="auto"/>
              </w:rPr>
            </w:pPr>
          </w:p>
        </w:tc>
        <w:tc>
          <w:tcPr>
            <w:tcW w:w="314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r>
      <w:tr>
        <w:trPr>
          <w:trHeight w:val="296"/>
        </w:trPr>
        <w:tc>
          <w:tcPr>
            <w:tcW w:w="2140" w:type="dxa"/>
            <w:vAlign w:val="bottom"/>
          </w:tcPr>
          <w:p>
            <w:pPr>
              <w:ind w:left="100"/>
              <w:spacing w:after="0"/>
              <w:rPr>
                <w:sz w:val="20"/>
                <w:szCs w:val="20"/>
                <w:color w:val="auto"/>
              </w:rPr>
            </w:pPr>
            <w:r>
              <w:rPr>
                <w:rFonts w:ascii="Arial" w:cs="Arial" w:eastAsia="Arial" w:hAnsi="Arial"/>
                <w:sz w:val="20"/>
                <w:szCs w:val="20"/>
                <w:color w:val="3E3935"/>
              </w:rPr>
              <w:t>Total</w:t>
            </w:r>
          </w:p>
        </w:tc>
        <w:tc>
          <w:tcPr>
            <w:tcW w:w="2840" w:type="dxa"/>
            <w:vAlign w:val="bottom"/>
          </w:tcPr>
          <w:p>
            <w:pPr>
              <w:jc w:val="right"/>
              <w:ind w:right="288"/>
              <w:spacing w:after="0"/>
              <w:rPr>
                <w:sz w:val="20"/>
                <w:szCs w:val="20"/>
                <w:color w:val="auto"/>
              </w:rPr>
            </w:pPr>
            <w:r>
              <w:rPr>
                <w:rFonts w:ascii="Arial" w:cs="Arial" w:eastAsia="Arial" w:hAnsi="Arial"/>
                <w:sz w:val="20"/>
                <w:szCs w:val="20"/>
                <w:color w:val="3E3935"/>
              </w:rPr>
              <w:t>30,001,618</w:t>
            </w:r>
            <w:r>
              <w:rPr>
                <w:rFonts w:ascii="Arial" w:cs="Arial" w:eastAsia="Arial" w:hAnsi="Arial"/>
                <w:sz w:val="16"/>
                <w:szCs w:val="16"/>
                <w:color w:val="3E3935"/>
              </w:rPr>
              <w:t>(4)</w:t>
            </w:r>
          </w:p>
        </w:tc>
        <w:tc>
          <w:tcPr>
            <w:tcW w:w="3140" w:type="dxa"/>
            <w:vAlign w:val="bottom"/>
          </w:tcPr>
          <w:p>
            <w:pPr>
              <w:jc w:val="right"/>
              <w:ind w:right="147"/>
              <w:spacing w:after="0"/>
              <w:rPr>
                <w:sz w:val="20"/>
                <w:szCs w:val="20"/>
                <w:color w:val="auto"/>
              </w:rPr>
            </w:pPr>
            <w:r>
              <w:rPr>
                <w:rFonts w:ascii="Arial" w:cs="Arial" w:eastAsia="Arial" w:hAnsi="Arial"/>
                <w:sz w:val="20"/>
                <w:szCs w:val="20"/>
                <w:color w:val="3E3935"/>
              </w:rPr>
              <w:t>$37.54</w:t>
            </w:r>
          </w:p>
        </w:tc>
        <w:tc>
          <w:tcPr>
            <w:tcW w:w="2800" w:type="dxa"/>
            <w:vAlign w:val="bottom"/>
          </w:tcPr>
          <w:p>
            <w:pPr>
              <w:jc w:val="right"/>
              <w:ind w:right="188"/>
              <w:spacing w:after="0"/>
              <w:rPr>
                <w:sz w:val="20"/>
                <w:szCs w:val="20"/>
                <w:color w:val="auto"/>
              </w:rPr>
            </w:pPr>
            <w:r>
              <w:rPr>
                <w:rFonts w:ascii="Arial" w:cs="Arial" w:eastAsia="Arial" w:hAnsi="Arial"/>
                <w:sz w:val="20"/>
                <w:szCs w:val="20"/>
                <w:color w:val="3E3935"/>
              </w:rPr>
              <w:t>52,843,608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5" w:lineRule="exact"/>
        <w:rPr>
          <w:sz w:val="20"/>
          <w:szCs w:val="20"/>
          <w:color w:val="auto"/>
        </w:rPr>
      </w:pPr>
    </w:p>
    <w:p>
      <w:pPr>
        <w:ind w:left="600" w:hanging="433"/>
        <w:spacing w:after="0"/>
        <w:tabs>
          <w:tab w:leader="none" w:pos="600" w:val="left"/>
        </w:tabs>
        <w:numPr>
          <w:ilvl w:val="0"/>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The number includes the following:</w:t>
      </w:r>
    </w:p>
    <w:p>
      <w:pPr>
        <w:spacing w:after="0" w:line="113" w:lineRule="exact"/>
        <w:rPr>
          <w:rFonts w:ascii="Arial" w:cs="Arial" w:eastAsia="Arial" w:hAnsi="Arial"/>
          <w:sz w:val="18"/>
          <w:szCs w:val="18"/>
          <w:i w:val="1"/>
          <w:iCs w:val="1"/>
          <w:color w:val="3E3935"/>
        </w:rPr>
      </w:pPr>
    </w:p>
    <w:p>
      <w:pPr>
        <w:ind w:left="1140" w:hanging="545"/>
        <w:spacing w:after="0"/>
        <w:tabs>
          <w:tab w:leader="none" w:pos="1140" w:val="left"/>
        </w:tabs>
        <w:numPr>
          <w:ilvl w:val="1"/>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16,052,729 shares represent options.</w:t>
      </w:r>
    </w:p>
    <w:p>
      <w:pPr>
        <w:spacing w:after="0" w:line="9" w:lineRule="exact"/>
        <w:rPr>
          <w:rFonts w:ascii="Arial" w:cs="Arial" w:eastAsia="Arial" w:hAnsi="Arial"/>
          <w:sz w:val="18"/>
          <w:szCs w:val="18"/>
          <w:i w:val="1"/>
          <w:iCs w:val="1"/>
          <w:color w:val="3E3935"/>
        </w:rPr>
      </w:pPr>
    </w:p>
    <w:p>
      <w:pPr>
        <w:ind w:left="1140" w:hanging="545"/>
        <w:spacing w:after="0" w:line="232" w:lineRule="auto"/>
        <w:tabs>
          <w:tab w:leader="none" w:pos="1140" w:val="left"/>
        </w:tabs>
        <w:numPr>
          <w:ilvl w:val="1"/>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11,592,672 shares represent PSU awards assuming performance is achieved at target. For performance above target, awards may be settled in common stock, cash, or a combination of both.</w:t>
      </w:r>
    </w:p>
    <w:p>
      <w:pPr>
        <w:spacing w:after="0" w:line="1" w:lineRule="exact"/>
        <w:rPr>
          <w:rFonts w:ascii="Arial" w:cs="Arial" w:eastAsia="Arial" w:hAnsi="Arial"/>
          <w:sz w:val="18"/>
          <w:szCs w:val="18"/>
          <w:i w:val="1"/>
          <w:iCs w:val="1"/>
          <w:color w:val="3E3935"/>
        </w:rPr>
      </w:pPr>
    </w:p>
    <w:p>
      <w:pPr>
        <w:ind w:left="1140" w:hanging="545"/>
        <w:spacing w:after="0"/>
        <w:tabs>
          <w:tab w:leader="none" w:pos="1140" w:val="left"/>
        </w:tabs>
        <w:numPr>
          <w:ilvl w:val="1"/>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2,252,376 shares represent RSUs.</w:t>
      </w:r>
    </w:p>
    <w:p>
      <w:pPr>
        <w:spacing w:after="0" w:line="5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2016 Equity Incentive Plan — refer to Note 21 in our 2016 Form 10-K.</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Represents PSUs which may be issued upon achievement of performance conditions.</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3"/>
        </w:numPr>
        <w:rPr>
          <w:rFonts w:ascii="Arial" w:cs="Arial" w:eastAsia="Arial" w:hAnsi="Arial"/>
          <w:sz w:val="18"/>
          <w:szCs w:val="18"/>
          <w:i w:val="1"/>
          <w:iCs w:val="1"/>
          <w:color w:val="3E3935"/>
        </w:rPr>
      </w:pPr>
      <w:r>
        <w:rPr>
          <w:rFonts w:ascii="Arial" w:cs="Arial" w:eastAsia="Arial" w:hAnsi="Arial"/>
          <w:sz w:val="18"/>
          <w:szCs w:val="18"/>
          <w:i w:val="1"/>
          <w:iCs w:val="1"/>
          <w:color w:val="3E3935"/>
        </w:rPr>
        <w:t>Excludes 150,177 stock-based units that are required to be settled in cash pursuant to award agreements.</w:t>
      </w:r>
    </w:p>
    <w:p>
      <w:pPr>
        <w:spacing w:after="0" w:line="136"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following table provides information on share usage for awards granted and performance awards vested/earned during fiscal year 2021 under the Company’s equity compensation plans.</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5220" w:type="dxa"/>
            <w:vAlign w:val="bottom"/>
            <w:tcBorders>
              <w:top w:val="single" w:sz="8" w:color="00C1DE"/>
            </w:tcBorders>
          </w:tcPr>
          <w:p>
            <w:pPr>
              <w:spacing w:after="0"/>
              <w:rPr>
                <w:sz w:val="18"/>
                <w:szCs w:val="18"/>
                <w:color w:val="auto"/>
              </w:rPr>
            </w:pPr>
          </w:p>
        </w:tc>
        <w:tc>
          <w:tcPr>
            <w:tcW w:w="3220" w:type="dxa"/>
            <w:vAlign w:val="bottom"/>
            <w:tcBorders>
              <w:top w:val="single" w:sz="8" w:color="00C1DE"/>
            </w:tcBorders>
          </w:tcPr>
          <w:p>
            <w:pPr>
              <w:spacing w:after="0"/>
              <w:rPr>
                <w:sz w:val="18"/>
                <w:szCs w:val="18"/>
                <w:color w:val="auto"/>
              </w:rPr>
            </w:pPr>
          </w:p>
        </w:tc>
        <w:tc>
          <w:tcPr>
            <w:tcW w:w="2480" w:type="dxa"/>
            <w:vAlign w:val="bottom"/>
            <w:tcBorders>
              <w:top w:val="single" w:sz="8" w:color="00C1DE"/>
            </w:tcBorders>
          </w:tcPr>
          <w:p>
            <w:pPr>
              <w:jc w:val="right"/>
              <w:ind w:right="202"/>
              <w:spacing w:after="0" w:line="217" w:lineRule="exact"/>
              <w:rPr>
                <w:sz w:val="20"/>
                <w:szCs w:val="20"/>
                <w:color w:val="auto"/>
              </w:rPr>
            </w:pPr>
            <w:r>
              <w:rPr>
                <w:rFonts w:ascii="Arial" w:cs="Arial" w:eastAsia="Arial" w:hAnsi="Arial"/>
                <w:sz w:val="20"/>
                <w:szCs w:val="20"/>
                <w:b w:val="1"/>
                <w:bCs w:val="1"/>
                <w:color w:val="00C1DE"/>
              </w:rPr>
              <w:t>Performance Awards</w:t>
            </w:r>
          </w:p>
        </w:tc>
      </w:tr>
      <w:tr>
        <w:trPr>
          <w:trHeight w:val="283"/>
        </w:trPr>
        <w:tc>
          <w:tcPr>
            <w:tcW w:w="5220" w:type="dxa"/>
            <w:vAlign w:val="bottom"/>
          </w:tcPr>
          <w:p>
            <w:pPr>
              <w:spacing w:after="0"/>
              <w:rPr>
                <w:sz w:val="24"/>
                <w:szCs w:val="24"/>
                <w:color w:val="auto"/>
              </w:rPr>
            </w:pPr>
          </w:p>
        </w:tc>
        <w:tc>
          <w:tcPr>
            <w:tcW w:w="3220" w:type="dxa"/>
            <w:vAlign w:val="bottom"/>
          </w:tcPr>
          <w:p>
            <w:pPr>
              <w:jc w:val="right"/>
              <w:ind w:right="142"/>
              <w:spacing w:after="0"/>
              <w:rPr>
                <w:sz w:val="20"/>
                <w:szCs w:val="20"/>
                <w:color w:val="auto"/>
              </w:rPr>
            </w:pPr>
            <w:r>
              <w:rPr>
                <w:rFonts w:ascii="Arial" w:cs="Arial" w:eastAsia="Arial" w:hAnsi="Arial"/>
                <w:sz w:val="20"/>
                <w:szCs w:val="20"/>
                <w:b w:val="1"/>
                <w:bCs w:val="1"/>
                <w:color w:val="00C1DE"/>
              </w:rPr>
              <w:t>Granted</w:t>
            </w:r>
          </w:p>
        </w:tc>
        <w:tc>
          <w:tcPr>
            <w:tcW w:w="2480" w:type="dxa"/>
            <w:vAlign w:val="bottom"/>
          </w:tcPr>
          <w:p>
            <w:pPr>
              <w:jc w:val="right"/>
              <w:ind w:right="202"/>
              <w:spacing w:after="0"/>
              <w:rPr>
                <w:sz w:val="20"/>
                <w:szCs w:val="20"/>
                <w:color w:val="auto"/>
              </w:rPr>
            </w:pPr>
            <w:r>
              <w:rPr>
                <w:rFonts w:ascii="Arial" w:cs="Arial" w:eastAsia="Arial" w:hAnsi="Arial"/>
                <w:sz w:val="20"/>
                <w:szCs w:val="20"/>
                <w:b w:val="1"/>
                <w:bCs w:val="1"/>
                <w:color w:val="00C1DE"/>
              </w:rPr>
              <w:t>Vested/Earned</w:t>
            </w:r>
          </w:p>
        </w:tc>
      </w:tr>
      <w:tr>
        <w:trPr>
          <w:trHeight w:val="48"/>
        </w:trPr>
        <w:tc>
          <w:tcPr>
            <w:tcW w:w="5220" w:type="dxa"/>
            <w:vAlign w:val="bottom"/>
            <w:tcBorders>
              <w:bottom w:val="single" w:sz="8" w:color="00C1DE"/>
            </w:tcBorders>
          </w:tcPr>
          <w:p>
            <w:pPr>
              <w:spacing w:after="0"/>
              <w:rPr>
                <w:sz w:val="4"/>
                <w:szCs w:val="4"/>
                <w:color w:val="auto"/>
              </w:rPr>
            </w:pPr>
          </w:p>
        </w:tc>
        <w:tc>
          <w:tcPr>
            <w:tcW w:w="3220" w:type="dxa"/>
            <w:vAlign w:val="bottom"/>
            <w:tcBorders>
              <w:bottom w:val="single" w:sz="8" w:color="00C1DE"/>
            </w:tcBorders>
          </w:tcPr>
          <w:p>
            <w:pPr>
              <w:spacing w:after="0"/>
              <w:rPr>
                <w:sz w:val="4"/>
                <w:szCs w:val="4"/>
                <w:color w:val="auto"/>
              </w:rPr>
            </w:pPr>
          </w:p>
        </w:tc>
        <w:tc>
          <w:tcPr>
            <w:tcW w:w="2480" w:type="dxa"/>
            <w:vAlign w:val="bottom"/>
            <w:tcBorders>
              <w:bottom w:val="single" w:sz="8" w:color="00C1DE"/>
            </w:tcBorders>
          </w:tcPr>
          <w:p>
            <w:pPr>
              <w:spacing w:after="0"/>
              <w:rPr>
                <w:sz w:val="4"/>
                <w:szCs w:val="4"/>
                <w:color w:val="auto"/>
              </w:rPr>
            </w:pPr>
          </w:p>
        </w:tc>
      </w:tr>
      <w:tr>
        <w:trPr>
          <w:trHeight w:val="296"/>
        </w:trPr>
        <w:tc>
          <w:tcPr>
            <w:tcW w:w="5220" w:type="dxa"/>
            <w:vAlign w:val="bottom"/>
          </w:tcPr>
          <w:p>
            <w:pPr>
              <w:ind w:left="100"/>
              <w:spacing w:after="0"/>
              <w:rPr>
                <w:sz w:val="20"/>
                <w:szCs w:val="20"/>
                <w:color w:val="auto"/>
              </w:rPr>
            </w:pPr>
            <w:r>
              <w:rPr>
                <w:rFonts w:ascii="Arial" w:cs="Arial" w:eastAsia="Arial" w:hAnsi="Arial"/>
                <w:sz w:val="20"/>
                <w:szCs w:val="20"/>
                <w:color w:val="3E3935"/>
              </w:rPr>
              <w:t>RSUs</w:t>
            </w:r>
          </w:p>
        </w:tc>
        <w:tc>
          <w:tcPr>
            <w:tcW w:w="3220" w:type="dxa"/>
            <w:vAlign w:val="bottom"/>
          </w:tcPr>
          <w:p>
            <w:pPr>
              <w:jc w:val="right"/>
              <w:ind w:right="142"/>
              <w:spacing w:after="0"/>
              <w:rPr>
                <w:sz w:val="20"/>
                <w:szCs w:val="20"/>
                <w:color w:val="auto"/>
              </w:rPr>
            </w:pPr>
            <w:r>
              <w:rPr>
                <w:rFonts w:ascii="Arial" w:cs="Arial" w:eastAsia="Arial" w:hAnsi="Arial"/>
                <w:sz w:val="20"/>
                <w:szCs w:val="20"/>
                <w:color w:val="3E3935"/>
              </w:rPr>
              <w:t>800,000</w:t>
            </w:r>
          </w:p>
        </w:tc>
        <w:tc>
          <w:tcPr>
            <w:tcW w:w="2480" w:type="dxa"/>
            <w:vAlign w:val="bottom"/>
          </w:tcPr>
          <w:p>
            <w:pPr>
              <w:jc w:val="right"/>
              <w:ind w:right="202"/>
              <w:spacing w:after="0"/>
              <w:rPr>
                <w:sz w:val="20"/>
                <w:szCs w:val="20"/>
                <w:color w:val="auto"/>
              </w:rPr>
            </w:pPr>
            <w:r>
              <w:rPr>
                <w:rFonts w:ascii="Arial" w:cs="Arial" w:eastAsia="Arial" w:hAnsi="Arial"/>
                <w:sz w:val="20"/>
                <w:szCs w:val="20"/>
                <w:color w:val="3E3935"/>
              </w:rPr>
              <w:t>—</w:t>
            </w:r>
          </w:p>
        </w:tc>
      </w:tr>
      <w:tr>
        <w:trPr>
          <w:trHeight w:val="58"/>
        </w:trPr>
        <w:tc>
          <w:tcPr>
            <w:tcW w:w="5220" w:type="dxa"/>
            <w:vAlign w:val="bottom"/>
            <w:tcBorders>
              <w:bottom w:val="single" w:sz="8" w:color="3E3935"/>
            </w:tcBorders>
          </w:tcPr>
          <w:p>
            <w:pPr>
              <w:spacing w:after="0"/>
              <w:rPr>
                <w:sz w:val="5"/>
                <w:szCs w:val="5"/>
                <w:color w:val="auto"/>
              </w:rPr>
            </w:pPr>
          </w:p>
        </w:tc>
        <w:tc>
          <w:tcPr>
            <w:tcW w:w="322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r>
      <w:tr>
        <w:trPr>
          <w:trHeight w:val="296"/>
        </w:trPr>
        <w:tc>
          <w:tcPr>
            <w:tcW w:w="5220" w:type="dxa"/>
            <w:vAlign w:val="bottom"/>
          </w:tcPr>
          <w:p>
            <w:pPr>
              <w:ind w:left="100"/>
              <w:spacing w:after="0"/>
              <w:rPr>
                <w:sz w:val="20"/>
                <w:szCs w:val="20"/>
                <w:color w:val="auto"/>
              </w:rPr>
            </w:pPr>
            <w:r>
              <w:rPr>
                <w:rFonts w:ascii="Arial" w:cs="Arial" w:eastAsia="Arial" w:hAnsi="Arial"/>
                <w:sz w:val="20"/>
                <w:szCs w:val="20"/>
                <w:color w:val="3E3935"/>
              </w:rPr>
              <w:t>PSUs</w:t>
            </w:r>
          </w:p>
        </w:tc>
        <w:tc>
          <w:tcPr>
            <w:tcW w:w="3220" w:type="dxa"/>
            <w:vAlign w:val="bottom"/>
          </w:tcPr>
          <w:p>
            <w:pPr>
              <w:jc w:val="right"/>
              <w:ind w:right="142"/>
              <w:spacing w:after="0"/>
              <w:rPr>
                <w:sz w:val="20"/>
                <w:szCs w:val="20"/>
                <w:color w:val="auto"/>
              </w:rPr>
            </w:pPr>
            <w:r>
              <w:rPr>
                <w:rFonts w:ascii="Arial" w:cs="Arial" w:eastAsia="Arial" w:hAnsi="Arial"/>
                <w:sz w:val="20"/>
                <w:szCs w:val="20"/>
                <w:color w:val="3E3935"/>
              </w:rPr>
              <w:t>3,600,000</w:t>
            </w:r>
          </w:p>
        </w:tc>
        <w:tc>
          <w:tcPr>
            <w:tcW w:w="2480" w:type="dxa"/>
            <w:vAlign w:val="bottom"/>
          </w:tcPr>
          <w:p>
            <w:pPr>
              <w:jc w:val="right"/>
              <w:ind w:right="202"/>
              <w:spacing w:after="0"/>
              <w:rPr>
                <w:sz w:val="20"/>
                <w:szCs w:val="20"/>
                <w:color w:val="auto"/>
              </w:rPr>
            </w:pPr>
            <w:r>
              <w:rPr>
                <w:rFonts w:ascii="Arial" w:cs="Arial" w:eastAsia="Arial" w:hAnsi="Arial"/>
                <w:sz w:val="20"/>
                <w:szCs w:val="20"/>
                <w:color w:val="3E3935"/>
              </w:rPr>
              <w:t>6,700,000</w:t>
            </w:r>
          </w:p>
        </w:tc>
      </w:tr>
      <w:tr>
        <w:trPr>
          <w:trHeight w:val="58"/>
        </w:trPr>
        <w:tc>
          <w:tcPr>
            <w:tcW w:w="5220" w:type="dxa"/>
            <w:vAlign w:val="bottom"/>
            <w:tcBorders>
              <w:bottom w:val="single" w:sz="8" w:color="3E3935"/>
            </w:tcBorders>
          </w:tcPr>
          <w:p>
            <w:pPr>
              <w:spacing w:after="0"/>
              <w:rPr>
                <w:sz w:val="5"/>
                <w:szCs w:val="5"/>
                <w:color w:val="auto"/>
              </w:rPr>
            </w:pPr>
          </w:p>
        </w:tc>
        <w:tc>
          <w:tcPr>
            <w:tcW w:w="322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r>
      <w:tr>
        <w:trPr>
          <w:trHeight w:val="296"/>
        </w:trPr>
        <w:tc>
          <w:tcPr>
            <w:tcW w:w="5220" w:type="dxa"/>
            <w:vAlign w:val="bottom"/>
          </w:tcPr>
          <w:p>
            <w:pPr>
              <w:ind w:left="100"/>
              <w:spacing w:after="0"/>
              <w:rPr>
                <w:sz w:val="20"/>
                <w:szCs w:val="20"/>
                <w:color w:val="auto"/>
              </w:rPr>
            </w:pPr>
            <w:r>
              <w:rPr>
                <w:rFonts w:ascii="Arial" w:cs="Arial" w:eastAsia="Arial" w:hAnsi="Arial"/>
                <w:sz w:val="20"/>
                <w:szCs w:val="20"/>
                <w:color w:val="3E3935"/>
              </w:rPr>
              <w:t>Time-Based Stock Options</w:t>
            </w:r>
          </w:p>
        </w:tc>
        <w:tc>
          <w:tcPr>
            <w:tcW w:w="3220" w:type="dxa"/>
            <w:vAlign w:val="bottom"/>
          </w:tcPr>
          <w:p>
            <w:pPr>
              <w:jc w:val="right"/>
              <w:ind w:right="142"/>
              <w:spacing w:after="0"/>
              <w:rPr>
                <w:sz w:val="20"/>
                <w:szCs w:val="20"/>
                <w:color w:val="auto"/>
              </w:rPr>
            </w:pPr>
            <w:r>
              <w:rPr>
                <w:rFonts w:ascii="Arial" w:cs="Arial" w:eastAsia="Arial" w:hAnsi="Arial"/>
                <w:sz w:val="20"/>
                <w:szCs w:val="20"/>
                <w:color w:val="3E3935"/>
              </w:rPr>
              <w:t>1,700,000</w:t>
            </w:r>
          </w:p>
        </w:tc>
        <w:tc>
          <w:tcPr>
            <w:tcW w:w="2480" w:type="dxa"/>
            <w:vAlign w:val="bottom"/>
          </w:tcPr>
          <w:p>
            <w:pPr>
              <w:jc w:val="right"/>
              <w:ind w:right="202"/>
              <w:spacing w:after="0"/>
              <w:rPr>
                <w:sz w:val="20"/>
                <w:szCs w:val="20"/>
                <w:color w:val="auto"/>
              </w:rPr>
            </w:pPr>
            <w:r>
              <w:rPr>
                <w:rFonts w:ascii="Arial" w:cs="Arial" w:eastAsia="Arial" w:hAnsi="Arial"/>
                <w:sz w:val="20"/>
                <w:szCs w:val="20"/>
                <w:color w:val="3E3935"/>
              </w:rPr>
              <w:t>—</w:t>
            </w:r>
          </w:p>
        </w:tc>
      </w:tr>
      <w:tr>
        <w:trPr>
          <w:trHeight w:val="58"/>
        </w:trPr>
        <w:tc>
          <w:tcPr>
            <w:tcW w:w="5220" w:type="dxa"/>
            <w:vAlign w:val="bottom"/>
            <w:tcBorders>
              <w:bottom w:val="single" w:sz="8" w:color="3E3935"/>
            </w:tcBorders>
          </w:tcPr>
          <w:p>
            <w:pPr>
              <w:spacing w:after="0"/>
              <w:rPr>
                <w:sz w:val="5"/>
                <w:szCs w:val="5"/>
                <w:color w:val="auto"/>
              </w:rPr>
            </w:pPr>
          </w:p>
        </w:tc>
        <w:tc>
          <w:tcPr>
            <w:tcW w:w="322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r>
      <w:tr>
        <w:trPr>
          <w:trHeight w:val="296"/>
        </w:trPr>
        <w:tc>
          <w:tcPr>
            <w:tcW w:w="5220" w:type="dxa"/>
            <w:vAlign w:val="bottom"/>
          </w:tcPr>
          <w:p>
            <w:pPr>
              <w:ind w:left="100"/>
              <w:spacing w:after="0"/>
              <w:rPr>
                <w:sz w:val="20"/>
                <w:szCs w:val="20"/>
                <w:color w:val="auto"/>
              </w:rPr>
            </w:pPr>
            <w:r>
              <w:rPr>
                <w:rFonts w:ascii="Arial" w:cs="Arial" w:eastAsia="Arial" w:hAnsi="Arial"/>
                <w:sz w:val="20"/>
                <w:szCs w:val="20"/>
                <w:color w:val="3E3935"/>
              </w:rPr>
              <w:t>Performance-Based Stock Options</w:t>
            </w:r>
          </w:p>
        </w:tc>
        <w:tc>
          <w:tcPr>
            <w:tcW w:w="3220" w:type="dxa"/>
            <w:vAlign w:val="bottom"/>
          </w:tcPr>
          <w:p>
            <w:pPr>
              <w:jc w:val="right"/>
              <w:ind w:right="142"/>
              <w:spacing w:after="0"/>
              <w:rPr>
                <w:sz w:val="20"/>
                <w:szCs w:val="20"/>
                <w:color w:val="auto"/>
              </w:rPr>
            </w:pPr>
            <w:r>
              <w:rPr>
                <w:rFonts w:ascii="Arial" w:cs="Arial" w:eastAsia="Arial" w:hAnsi="Arial"/>
                <w:sz w:val="20"/>
                <w:szCs w:val="20"/>
                <w:color w:val="3E3935"/>
              </w:rPr>
              <w:t>—</w:t>
            </w:r>
          </w:p>
        </w:tc>
        <w:tc>
          <w:tcPr>
            <w:tcW w:w="2480" w:type="dxa"/>
            <w:vAlign w:val="bottom"/>
          </w:tcPr>
          <w:p>
            <w:pPr>
              <w:jc w:val="right"/>
              <w:ind w:right="202"/>
              <w:spacing w:after="0"/>
              <w:rPr>
                <w:sz w:val="20"/>
                <w:szCs w:val="20"/>
                <w:color w:val="auto"/>
              </w:rPr>
            </w:pPr>
            <w:r>
              <w:rPr>
                <w:rFonts w:ascii="Arial" w:cs="Arial" w:eastAsia="Arial" w:hAnsi="Arial"/>
                <w:sz w:val="20"/>
                <w:szCs w:val="20"/>
                <w:color w:val="3E3935"/>
              </w:rPr>
              <w:t>—</w:t>
            </w:r>
          </w:p>
        </w:tc>
      </w:tr>
      <w:tr>
        <w:trPr>
          <w:trHeight w:val="58"/>
        </w:trPr>
        <w:tc>
          <w:tcPr>
            <w:tcW w:w="5220" w:type="dxa"/>
            <w:vAlign w:val="bottom"/>
            <w:tcBorders>
              <w:bottom w:val="single" w:sz="8" w:color="0071CE"/>
            </w:tcBorders>
          </w:tcPr>
          <w:p>
            <w:pPr>
              <w:spacing w:after="0"/>
              <w:rPr>
                <w:sz w:val="5"/>
                <w:szCs w:val="5"/>
                <w:color w:val="auto"/>
              </w:rPr>
            </w:pPr>
          </w:p>
        </w:tc>
        <w:tc>
          <w:tcPr>
            <w:tcW w:w="3220" w:type="dxa"/>
            <w:vAlign w:val="bottom"/>
            <w:tcBorders>
              <w:bottom w:val="single" w:sz="8" w:color="0071CE"/>
            </w:tcBorders>
          </w:tcPr>
          <w:p>
            <w:pPr>
              <w:spacing w:after="0"/>
              <w:rPr>
                <w:sz w:val="5"/>
                <w:szCs w:val="5"/>
                <w:color w:val="auto"/>
              </w:rPr>
            </w:pPr>
          </w:p>
        </w:tc>
        <w:tc>
          <w:tcPr>
            <w:tcW w:w="2480" w:type="dxa"/>
            <w:vAlign w:val="bottom"/>
            <w:tcBorders>
              <w:bottom w:val="single" w:sz="8" w:color="0071CE"/>
            </w:tcBorders>
          </w:tcPr>
          <w:p>
            <w:pPr>
              <w:spacing w:after="0"/>
              <w:rPr>
                <w:sz w:val="5"/>
                <w:szCs w:val="5"/>
                <w:color w:val="auto"/>
              </w:rPr>
            </w:pPr>
          </w:p>
        </w:tc>
      </w:tr>
    </w:tbl>
    <w:p>
      <w:pPr>
        <w:spacing w:after="0" w:line="13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6" w:lineRule="exact"/>
        <w:rPr>
          <w:sz w:val="20"/>
          <w:szCs w:val="20"/>
          <w:color w:val="auto"/>
        </w:rPr>
      </w:pPr>
    </w:p>
    <w:p>
      <w:pPr>
        <w:ind w:left="2420" w:right="1720" w:hanging="2246"/>
        <w:spacing w:after="0" w:line="268" w:lineRule="auto"/>
        <w:tabs>
          <w:tab w:leader="none" w:pos="2400" w:val="left"/>
        </w:tabs>
        <w:rPr>
          <w:sz w:val="20"/>
          <w:szCs w:val="20"/>
          <w:color w:val="auto"/>
        </w:rPr>
      </w:pPr>
      <w:r>
        <w:rPr>
          <w:rFonts w:ascii="Arial" w:cs="Arial" w:eastAsia="Arial" w:hAnsi="Arial"/>
          <w:sz w:val="32"/>
          <w:szCs w:val="32"/>
          <w:b w:val="1"/>
          <w:bCs w:val="1"/>
          <w:color w:val="3E3935"/>
        </w:rPr>
        <w:t>ITEM NO. 2:</w:t>
      </w:r>
      <w:r>
        <w:rPr>
          <w:rFonts w:ascii="Arial" w:cs="Arial" w:eastAsia="Arial" w:hAnsi="Arial"/>
          <w:sz w:val="32"/>
          <w:szCs w:val="32"/>
          <w:b w:val="1"/>
          <w:bCs w:val="1"/>
          <w:color w:val="00C1DE"/>
        </w:rPr>
        <w:tab/>
        <w:t>PROPOSAL TO APPROVE, ON AN ADVISORY BASIS, NAMED EXECUTIVE OFFICER COMPENSATION</w:t>
      </w:r>
    </w:p>
    <w:p>
      <w:pPr>
        <w:spacing w:after="0" w:line="19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w:t>
      </w:r>
    </w:p>
    <w:p>
      <w:pPr>
        <w:spacing w:after="0" w:line="17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Compensation Committee has approved the compensation arrangements for our NEOs described in the Executive Compensation section beginning on page 46 and the accompanying compensation tables beginning on page 70 of this Proxy Statement. We urge you to read the Compensation Discussion and Analysis for a more complete understanding of our executive compensation plans, including our compensation principles, our objectives, and the 2021 compensation of our NEOs.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We are asking shareholders to vote in favor of the following resolution:</w:t>
      </w:r>
    </w:p>
    <w:p>
      <w:pPr>
        <w:spacing w:after="0" w:line="196"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3E3935"/>
        </w:rPr>
        <w:t xml:space="preserve">RESOLVED, </w:t>
      </w:r>
      <w:r>
        <w:rPr>
          <w:rFonts w:ascii="Arial" w:cs="Arial" w:eastAsia="Arial" w:hAnsi="Arial"/>
          <w:sz w:val="20"/>
          <w:szCs w:val="20"/>
          <w:color w:val="3E3935"/>
        </w:rPr>
        <w:t>that the compensation paid to the Company’s named executive officers, as disclosed pursuant to Item 402 of</w:t>
      </w:r>
      <w:r>
        <w:rPr>
          <w:rFonts w:ascii="Arial" w:cs="Arial" w:eastAsia="Arial" w:hAnsi="Arial"/>
          <w:sz w:val="20"/>
          <w:szCs w:val="20"/>
          <w:b w:val="1"/>
          <w:bCs w:val="1"/>
          <w:color w:val="3E3935"/>
        </w:rPr>
        <w:t xml:space="preserve"> </w:t>
      </w:r>
      <w:r>
        <w:rPr>
          <w:rFonts w:ascii="Arial" w:cs="Arial" w:eastAsia="Arial" w:hAnsi="Arial"/>
          <w:sz w:val="20"/>
          <w:szCs w:val="20"/>
          <w:color w:val="3E3935"/>
        </w:rPr>
        <w:t>Regulation S-K, including the Compensation Discussion and Analysis, compensation tables, and the related narrative discussion, is hereby APPROVED.</w:t>
      </w:r>
    </w:p>
    <w:p>
      <w:pPr>
        <w:spacing w:after="0" w:line="171" w:lineRule="exact"/>
        <w:rPr>
          <w:sz w:val="20"/>
          <w:szCs w:val="20"/>
          <w:color w:val="auto"/>
        </w:rPr>
      </w:pPr>
    </w:p>
    <w:p>
      <w:pPr>
        <w:jc w:val="both"/>
        <w:ind w:left="160" w:right="20"/>
        <w:spacing w:after="0" w:line="251" w:lineRule="auto"/>
        <w:rPr>
          <w:sz w:val="20"/>
          <w:szCs w:val="20"/>
          <w:color w:val="auto"/>
        </w:rPr>
      </w:pPr>
      <w:r>
        <w:rPr>
          <w:rFonts w:ascii="Arial" w:cs="Arial" w:eastAsia="Arial" w:hAnsi="Arial"/>
          <w:sz w:val="20"/>
          <w:szCs w:val="20"/>
          <w:color w:val="3E3935"/>
        </w:rPr>
        <w:t>Although the vote on this item is non-binding, the Board of Directors and the Compensation Committee value the opinions of our shareholders and will consider the outcome of the vote when making future compensation decisions for NEOs.</w:t>
      </w:r>
    </w:p>
    <w:p>
      <w:pPr>
        <w:spacing w:after="0" w:line="161"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next Say-on-Pay vote will occur at our 2023 Annual Meeting and the next Say-on-Frequency vote will occur at our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132715</wp:posOffset>
            </wp:positionV>
            <wp:extent cx="6861810" cy="6711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61810" cy="671195"/>
                    </a:xfrm>
                    <a:prstGeom prst="rect">
                      <a:avLst/>
                    </a:prstGeom>
                    <a:noFill/>
                  </pic:spPr>
                </pic:pic>
              </a:graphicData>
            </a:graphic>
          </wp:anchor>
        </w:drawing>
      </w: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294"/>
        </w:trPr>
        <w:tc>
          <w:tcPr>
            <w:tcW w:w="880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the advisory proposal to approve</w:t>
            </w:r>
          </w:p>
        </w:tc>
        <w:tc>
          <w:tcPr>
            <w:tcW w:w="1140" w:type="dxa"/>
            <w:vAlign w:val="bottom"/>
          </w:tcPr>
          <w:p>
            <w:pPr>
              <w:spacing w:after="0"/>
              <w:rPr>
                <w:sz w:val="24"/>
                <w:szCs w:val="24"/>
                <w:color w:val="auto"/>
              </w:rPr>
            </w:pPr>
          </w:p>
        </w:tc>
      </w:tr>
      <w:tr>
        <w:trPr>
          <w:trHeight w:val="398"/>
        </w:trPr>
        <w:tc>
          <w:tcPr>
            <w:tcW w:w="8800" w:type="dxa"/>
            <w:vAlign w:val="bottom"/>
          </w:tcPr>
          <w:p>
            <w:pPr>
              <w:spacing w:after="0"/>
              <w:rPr>
                <w:sz w:val="20"/>
                <w:szCs w:val="20"/>
                <w:color w:val="auto"/>
              </w:rPr>
            </w:pPr>
            <w:r>
              <w:rPr>
                <w:rFonts w:ascii="Arial" w:cs="Arial" w:eastAsia="Arial" w:hAnsi="Arial"/>
                <w:sz w:val="25"/>
                <w:szCs w:val="25"/>
                <w:b w:val="1"/>
                <w:bCs w:val="1"/>
                <w:color w:val="0071CE"/>
              </w:rPr>
              <w:t>named executive officer compensation.</w:t>
            </w:r>
          </w:p>
        </w:tc>
        <w:tc>
          <w:tcPr>
            <w:tcW w:w="1140" w:type="dxa"/>
            <w:vAlign w:val="bottom"/>
          </w:tcPr>
          <w:p>
            <w:pPr>
              <w:ind w:left="540"/>
              <w:spacing w:after="0"/>
              <w:rPr>
                <w:sz w:val="20"/>
                <w:szCs w:val="20"/>
                <w:color w:val="auto"/>
              </w:rPr>
            </w:pPr>
            <w:r>
              <w:rPr>
                <w:rFonts w:ascii="Arial" w:cs="Arial" w:eastAsia="Arial" w:hAnsi="Arial"/>
                <w:sz w:val="29"/>
                <w:szCs w:val="29"/>
                <w:b w:val="1"/>
                <w:bCs w:val="1"/>
                <w:color w:val="0071CE"/>
                <w:w w:val="94"/>
              </w:rPr>
              <w:t>FOR</w:t>
            </w:r>
          </w:p>
        </w:tc>
      </w:tr>
    </w:tbl>
    <w:p>
      <w:pPr>
        <w:spacing w:after="0" w:line="200" w:lineRule="exact"/>
        <w:rPr>
          <w:sz w:val="20"/>
          <w:szCs w:val="20"/>
          <w:color w:val="auto"/>
        </w:rPr>
      </w:pPr>
    </w:p>
    <w:p>
      <w:pPr>
        <w:spacing w:after="0" w:line="380"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54"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6" w:lineRule="exact"/>
        <w:rPr>
          <w:sz w:val="20"/>
          <w:szCs w:val="20"/>
          <w:color w:val="auto"/>
        </w:rPr>
      </w:pPr>
    </w:p>
    <w:p>
      <w:pPr>
        <w:ind w:left="2420" w:right="1920" w:hanging="2246"/>
        <w:spacing w:after="0" w:line="260" w:lineRule="auto"/>
        <w:tabs>
          <w:tab w:leader="none" w:pos="2400" w:val="left"/>
        </w:tabs>
        <w:rPr>
          <w:sz w:val="20"/>
          <w:szCs w:val="20"/>
          <w:color w:val="auto"/>
        </w:rPr>
      </w:pPr>
      <w:r>
        <w:rPr>
          <w:rFonts w:ascii="Arial" w:cs="Arial" w:eastAsia="Arial" w:hAnsi="Arial"/>
          <w:sz w:val="32"/>
          <w:szCs w:val="32"/>
          <w:b w:val="1"/>
          <w:bCs w:val="1"/>
          <w:color w:val="3E3935"/>
        </w:rPr>
        <w:t>ITEM NO. 3:</w:t>
      </w:r>
      <w:r>
        <w:rPr>
          <w:rFonts w:ascii="Arial" w:cs="Arial" w:eastAsia="Arial" w:hAnsi="Arial"/>
          <w:sz w:val="32"/>
          <w:szCs w:val="32"/>
          <w:b w:val="1"/>
          <w:bCs w:val="1"/>
          <w:color w:val="00C1DE"/>
        </w:rPr>
        <w:tab/>
        <w:t>PROPOSAL TO RATIFY THE SELECTION OF ERNST &amp; YOUNG LLP AS THE COMPANY’S INDEPENDENT REGISTERED PUBLIC ACCOUNTING FIRM FOR 2022</w:t>
      </w:r>
    </w:p>
    <w:p>
      <w:pPr>
        <w:spacing w:after="0" w:line="204"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Audit Committee is directly responsible for the appointment, compensation, retention, and oversight of the Company’s independent registered public accounting firm retained to audit the Company’s financial statements.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as the Company’s independent auditors for the fiscal year ending December 31, 2022.</w:t>
      </w:r>
    </w:p>
    <w:p>
      <w:pPr>
        <w:spacing w:after="0" w:line="10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71CE"/>
        </w:rPr>
        <w:t xml:space="preserve">Criteria for Re-Engaging EY. </w:t>
      </w:r>
      <w:r>
        <w:rPr>
          <w:rFonts w:ascii="Arial" w:cs="Arial" w:eastAsia="Arial" w:hAnsi="Arial"/>
          <w:sz w:val="20"/>
          <w:szCs w:val="20"/>
          <w:color w:val="3E3935"/>
        </w:rPr>
        <w:t>EY has served as the Company’s independent registered public accounting firm since 2017</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when the Audit Committee selected the firm as part of a competitive and comprehensive request for proposal (“RFP”) process. Through this RFP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 retention of EY as our independent auditors is in the best interests of our shareholders.</w:t>
      </w:r>
    </w:p>
    <w:p>
      <w:pPr>
        <w:spacing w:after="0" w:line="11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i w:val="1"/>
          <w:iCs w:val="1"/>
          <w:color w:val="0071CE"/>
        </w:rPr>
        <w:t xml:space="preserve">Shareholder Ratification of Our Selection of EY. </w:t>
      </w:r>
      <w:r>
        <w:rPr>
          <w:rFonts w:ascii="Arial" w:cs="Arial" w:eastAsia="Arial" w:hAnsi="Arial"/>
          <w:sz w:val="20"/>
          <w:szCs w:val="20"/>
          <w:color w:val="3E3935"/>
        </w:rPr>
        <w:t>As a matter of good corporate governance, the Board submits the</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9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b w:val="1"/>
          <w:bCs w:val="1"/>
          <w:i w:val="1"/>
          <w:iCs w:val="1"/>
          <w:color w:val="0071CE"/>
        </w:rPr>
        <w:t xml:space="preserve">We Expect EY to Attend Our Annual Meeting. </w:t>
      </w:r>
      <w:r>
        <w:rPr>
          <w:rFonts w:ascii="Arial" w:cs="Arial" w:eastAsia="Arial" w:hAnsi="Arial"/>
          <w:sz w:val="20"/>
          <w:szCs w:val="20"/>
          <w:color w:val="3E3935"/>
        </w:rPr>
        <w:t>We expect that representatives of EY will be present at the Annual Meeting.</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They will have an opportunity to make a statement if they so desire and are expected to be available to respond to appropriate questions from shareholders.</w:t>
      </w:r>
    </w:p>
    <w:p>
      <w:pPr>
        <w:spacing w:after="0" w:line="10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For additional information concerning the Audit Committee and its activities with EY, see the “Audit Committee Report” beginning on page 43 of this Proxy Statement.</w:t>
      </w:r>
    </w:p>
    <w:p>
      <w:pPr>
        <w:spacing w:after="0" w:line="189" w:lineRule="exact"/>
        <w:rPr>
          <w:sz w:val="20"/>
          <w:szCs w:val="20"/>
          <w:color w:val="auto"/>
        </w:rPr>
      </w:pPr>
    </w:p>
    <w:tbl>
      <w:tblPr>
        <w:tblLayout w:type="fixed"/>
        <w:tblInd w:w="170" w:type="dxa"/>
        <w:tblCellMar>
          <w:top w:w="0" w:type="dxa"/>
          <w:left w:w="0" w:type="dxa"/>
          <w:bottom w:w="0" w:type="dxa"/>
          <w:right w:w="0" w:type="dxa"/>
        </w:tblCellMar>
      </w:tblPr>
      <w:tr>
        <w:trPr>
          <w:trHeight w:val="374"/>
        </w:trPr>
        <w:tc>
          <w:tcPr>
            <w:tcW w:w="9100" w:type="dxa"/>
            <w:vAlign w:val="bottom"/>
            <w:tcBorders>
              <w:top w:val="single" w:sz="8" w:color="3E3935"/>
              <w:left w:val="single" w:sz="8" w:color="3E3935"/>
              <w:right w:val="single" w:sz="8" w:color="3E3935"/>
            </w:tcBorders>
            <w:gridSpan w:val="3"/>
            <w:shd w:val="clear" w:color="auto" w:fill="F1F1F0"/>
          </w:tcPr>
          <w:p>
            <w:pPr>
              <w:ind w:left="340"/>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color w:val="00C1DE"/>
              </w:rPr>
              <w:t>FOR</w:t>
            </w:r>
            <w:r>
              <w:rPr>
                <w:rFonts w:ascii="Arial" w:cs="Arial" w:eastAsia="Arial" w:hAnsi="Arial"/>
                <w:sz w:val="25"/>
                <w:szCs w:val="25"/>
                <w:b w:val="1"/>
                <w:bCs w:val="1"/>
                <w:color w:val="0071CE"/>
              </w:rPr>
              <w:t xml:space="preserve"> the proposal to ratify the selection of</w:t>
            </w:r>
          </w:p>
        </w:tc>
        <w:tc>
          <w:tcPr>
            <w:tcW w:w="1720" w:type="dxa"/>
            <w:vAlign w:val="bottom"/>
            <w:tcBorders>
              <w:top w:val="single" w:sz="8" w:color="3E3935"/>
              <w:right w:val="single" w:sz="8" w:color="3E3935"/>
            </w:tcBorders>
            <w:shd w:val="clear" w:color="auto" w:fill="F1F1F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Borders>
              <w:left w:val="single" w:sz="8" w:color="3E3935"/>
            </w:tcBorders>
            <w:shd w:val="clear" w:color="auto" w:fill="F1F1F0"/>
          </w:tcPr>
          <w:p>
            <w:pPr>
              <w:spacing w:after="0" w:line="20" w:lineRule="exact"/>
              <w:rPr>
                <w:sz w:val="1"/>
                <w:szCs w:val="1"/>
                <w:color w:val="auto"/>
              </w:rPr>
            </w:pPr>
          </w:p>
        </w:tc>
        <w:tc>
          <w:tcPr>
            <w:tcW w:w="520" w:type="dxa"/>
            <w:vAlign w:val="bottom"/>
            <w:shd w:val="clear" w:color="auto" w:fill="00C1DE"/>
          </w:tcPr>
          <w:p>
            <w:pPr>
              <w:spacing w:after="0" w:line="20" w:lineRule="exact"/>
              <w:rPr>
                <w:sz w:val="1"/>
                <w:szCs w:val="1"/>
                <w:color w:val="auto"/>
              </w:rPr>
            </w:pPr>
          </w:p>
        </w:tc>
        <w:tc>
          <w:tcPr>
            <w:tcW w:w="4520" w:type="dxa"/>
            <w:vAlign w:val="bottom"/>
            <w:tcBorders>
              <w:right w:val="single" w:sz="8" w:color="3E3935"/>
            </w:tcBorders>
            <w:shd w:val="clear" w:color="auto" w:fill="F1F1F0"/>
          </w:tcPr>
          <w:p>
            <w:pPr>
              <w:spacing w:after="0" w:line="20" w:lineRule="exact"/>
              <w:rPr>
                <w:sz w:val="1"/>
                <w:szCs w:val="1"/>
                <w:color w:val="auto"/>
              </w:rPr>
            </w:pPr>
          </w:p>
        </w:tc>
        <w:tc>
          <w:tcPr>
            <w:tcW w:w="1720" w:type="dxa"/>
            <w:vAlign w:val="bottom"/>
            <w:tcBorders>
              <w:right w:val="single" w:sz="8" w:color="3E3935"/>
            </w:tcBorders>
            <w:shd w:val="clear" w:color="auto" w:fill="F1F1F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9100" w:type="dxa"/>
            <w:vAlign w:val="bottom"/>
            <w:tcBorders>
              <w:left w:val="single" w:sz="8" w:color="3E3935"/>
              <w:right w:val="single" w:sz="8" w:color="3E3935"/>
            </w:tcBorders>
            <w:gridSpan w:val="3"/>
            <w:shd w:val="clear" w:color="auto" w:fill="F1F1F0"/>
          </w:tcPr>
          <w:p>
            <w:pPr>
              <w:ind w:left="340"/>
              <w:spacing w:after="0"/>
              <w:rPr>
                <w:sz w:val="20"/>
                <w:szCs w:val="20"/>
                <w:color w:val="auto"/>
              </w:rPr>
            </w:pPr>
            <w:r>
              <w:rPr>
                <w:rFonts w:ascii="Arial" w:cs="Arial" w:eastAsia="Arial" w:hAnsi="Arial"/>
                <w:sz w:val="25"/>
                <w:szCs w:val="25"/>
                <w:b w:val="1"/>
                <w:bCs w:val="1"/>
                <w:color w:val="0071CE"/>
              </w:rPr>
              <w:t>Ernst &amp; Young LLP as the independent registered public accounting firm</w:t>
            </w:r>
          </w:p>
        </w:tc>
        <w:tc>
          <w:tcPr>
            <w:tcW w:w="1720" w:type="dxa"/>
            <w:vAlign w:val="bottom"/>
            <w:tcBorders>
              <w:right w:val="single" w:sz="8" w:color="3E3935"/>
            </w:tcBorders>
            <w:vMerge w:val="restart"/>
            <w:shd w:val="clear" w:color="auto" w:fill="F1F1F0"/>
          </w:tcPr>
          <w:p>
            <w:pPr>
              <w:ind w:left="580"/>
              <w:spacing w:after="0"/>
              <w:rPr>
                <w:sz w:val="20"/>
                <w:szCs w:val="20"/>
                <w:color w:val="auto"/>
              </w:rPr>
            </w:pPr>
            <w:r>
              <w:rPr>
                <w:rFonts w:ascii="Arial" w:cs="Arial" w:eastAsia="Arial" w:hAnsi="Arial"/>
                <w:sz w:val="29"/>
                <w:szCs w:val="29"/>
                <w:b w:val="1"/>
                <w:bCs w:val="1"/>
                <w:color w:val="0071CE"/>
              </w:rPr>
              <w:t>FOR</w:t>
            </w:r>
          </w:p>
        </w:tc>
        <w:tc>
          <w:tcPr>
            <w:tcW w:w="0" w:type="dxa"/>
            <w:vAlign w:val="bottom"/>
          </w:tcPr>
          <w:p>
            <w:pPr>
              <w:spacing w:after="0"/>
              <w:rPr>
                <w:sz w:val="1"/>
                <w:szCs w:val="1"/>
                <w:color w:val="auto"/>
              </w:rPr>
            </w:pPr>
          </w:p>
        </w:tc>
      </w:tr>
      <w:tr>
        <w:trPr>
          <w:trHeight w:val="237"/>
        </w:trPr>
        <w:tc>
          <w:tcPr>
            <w:tcW w:w="9100" w:type="dxa"/>
            <w:vAlign w:val="bottom"/>
            <w:tcBorders>
              <w:left w:val="single" w:sz="8" w:color="3E3935"/>
              <w:right w:val="single" w:sz="8" w:color="3E3935"/>
            </w:tcBorders>
            <w:gridSpan w:val="3"/>
            <w:vMerge w:val="restart"/>
            <w:shd w:val="clear" w:color="auto" w:fill="F1F1F0"/>
          </w:tcPr>
          <w:p>
            <w:pPr>
              <w:ind w:left="340"/>
              <w:spacing w:after="0"/>
              <w:rPr>
                <w:sz w:val="20"/>
                <w:szCs w:val="20"/>
                <w:color w:val="auto"/>
              </w:rPr>
            </w:pPr>
            <w:r>
              <w:rPr>
                <w:rFonts w:ascii="Arial" w:cs="Arial" w:eastAsia="Arial" w:hAnsi="Arial"/>
                <w:sz w:val="25"/>
                <w:szCs w:val="25"/>
                <w:b w:val="1"/>
                <w:bCs w:val="1"/>
                <w:color w:val="0071CE"/>
              </w:rPr>
              <w:t>for 2022.</w:t>
            </w:r>
          </w:p>
        </w:tc>
        <w:tc>
          <w:tcPr>
            <w:tcW w:w="1720" w:type="dxa"/>
            <w:vAlign w:val="bottom"/>
            <w:tcBorders>
              <w:right w:val="single" w:sz="8" w:color="3E3935"/>
            </w:tcBorders>
            <w:vMerge w:val="continue"/>
            <w:shd w:val="clear" w:color="auto" w:fill="F1F1F0"/>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9100" w:type="dxa"/>
            <w:vAlign w:val="bottom"/>
            <w:tcBorders>
              <w:left w:val="single" w:sz="8" w:color="3E3935"/>
              <w:right w:val="single" w:sz="8" w:color="3E3935"/>
            </w:tcBorders>
            <w:gridSpan w:val="3"/>
            <w:vMerge w:val="continue"/>
            <w:shd w:val="clear" w:color="auto" w:fill="F1F1F0"/>
          </w:tcPr>
          <w:p>
            <w:pPr>
              <w:spacing w:after="0"/>
              <w:rPr>
                <w:sz w:val="9"/>
                <w:szCs w:val="9"/>
                <w:color w:val="auto"/>
              </w:rPr>
            </w:pPr>
          </w:p>
        </w:tc>
        <w:tc>
          <w:tcPr>
            <w:tcW w:w="1720" w:type="dxa"/>
            <w:vAlign w:val="bottom"/>
            <w:tcBorders>
              <w:right w:val="single" w:sz="8" w:color="3E3935"/>
            </w:tcBorders>
            <w:shd w:val="clear" w:color="auto" w:fill="F1F1F0"/>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060" w:type="dxa"/>
            <w:vAlign w:val="bottom"/>
            <w:tcBorders>
              <w:left w:val="single" w:sz="8" w:color="3E3935"/>
              <w:bottom w:val="single" w:sz="8" w:color="3E3935"/>
            </w:tcBorders>
            <w:shd w:val="clear" w:color="auto" w:fill="F1F1F0"/>
          </w:tcPr>
          <w:p>
            <w:pPr>
              <w:spacing w:after="0"/>
              <w:rPr>
                <w:sz w:val="16"/>
                <w:szCs w:val="16"/>
                <w:color w:val="auto"/>
              </w:rPr>
            </w:pPr>
          </w:p>
        </w:tc>
        <w:tc>
          <w:tcPr>
            <w:tcW w:w="520" w:type="dxa"/>
            <w:vAlign w:val="bottom"/>
            <w:tcBorders>
              <w:bottom w:val="single" w:sz="8" w:color="3E3935"/>
            </w:tcBorders>
            <w:shd w:val="clear" w:color="auto" w:fill="F1F1F0"/>
          </w:tcPr>
          <w:p>
            <w:pPr>
              <w:spacing w:after="0"/>
              <w:rPr>
                <w:sz w:val="16"/>
                <w:szCs w:val="16"/>
                <w:color w:val="auto"/>
              </w:rPr>
            </w:pPr>
          </w:p>
        </w:tc>
        <w:tc>
          <w:tcPr>
            <w:tcW w:w="4520" w:type="dxa"/>
            <w:vAlign w:val="bottom"/>
            <w:tcBorders>
              <w:bottom w:val="single" w:sz="8" w:color="3E3935"/>
              <w:right w:val="single" w:sz="8" w:color="3E3935"/>
            </w:tcBorders>
            <w:shd w:val="clear" w:color="auto" w:fill="F1F1F0"/>
          </w:tcPr>
          <w:p>
            <w:pPr>
              <w:spacing w:after="0"/>
              <w:rPr>
                <w:sz w:val="16"/>
                <w:szCs w:val="16"/>
                <w:color w:val="auto"/>
              </w:rPr>
            </w:pPr>
          </w:p>
        </w:tc>
        <w:tc>
          <w:tcPr>
            <w:tcW w:w="1720" w:type="dxa"/>
            <w:vAlign w:val="bottom"/>
            <w:tcBorders>
              <w:bottom w:val="single" w:sz="8" w:color="3E3935"/>
              <w:right w:val="single" w:sz="8" w:color="3E3935"/>
            </w:tcBorders>
            <w:shd w:val="clear" w:color="auto" w:fill="F1F1F0"/>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-653415</wp:posOffset>
            </wp:positionV>
            <wp:extent cx="237490" cy="2292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37490" cy="229235"/>
                    </a:xfrm>
                    <a:prstGeom prst="rect">
                      <a:avLst/>
                    </a:prstGeom>
                    <a:noFill/>
                  </pic:spPr>
                </pic:pic>
              </a:graphicData>
            </a:graphic>
          </wp:anchor>
        </w:drawing>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6" w:lineRule="exact"/>
        <w:rPr>
          <w:sz w:val="20"/>
          <w:szCs w:val="20"/>
          <w:color w:val="auto"/>
        </w:rPr>
      </w:pPr>
    </w:p>
    <w:p>
      <w:pPr>
        <w:ind w:left="2420" w:right="1320" w:hanging="2246"/>
        <w:spacing w:after="0" w:line="268" w:lineRule="auto"/>
        <w:tabs>
          <w:tab w:leader="none" w:pos="2400" w:val="left"/>
        </w:tabs>
        <w:rPr>
          <w:sz w:val="20"/>
          <w:szCs w:val="20"/>
          <w:color w:val="auto"/>
        </w:rPr>
      </w:pPr>
      <w:r>
        <w:rPr>
          <w:rFonts w:ascii="Arial" w:cs="Arial" w:eastAsia="Arial" w:hAnsi="Arial"/>
          <w:sz w:val="32"/>
          <w:szCs w:val="32"/>
          <w:b w:val="1"/>
          <w:bCs w:val="1"/>
          <w:color w:val="3E3935"/>
        </w:rPr>
        <w:t>ITEM NO. 4:</w:t>
      </w:r>
      <w:r>
        <w:rPr>
          <w:rFonts w:ascii="Arial" w:cs="Arial" w:eastAsia="Arial" w:hAnsi="Arial"/>
          <w:sz w:val="32"/>
          <w:szCs w:val="32"/>
          <w:b w:val="1"/>
          <w:bCs w:val="1"/>
          <w:color w:val="00C1DE"/>
        </w:rPr>
        <w:tab/>
        <w:t>SHAREHOLDER PROPOSAL TO LOWER THE OWNERSHIP THRESHOLD TO CALL A SPECIAL MEETING</w:t>
      </w:r>
    </w:p>
    <w:p>
      <w:pPr>
        <w:spacing w:after="0" w:line="192"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i w:val="1"/>
          <w:iCs w:val="1"/>
          <w:color w:val="3E3935"/>
        </w:rPr>
        <w:t>John Chevedden, 2215 Nelson Avenue, No. 205, Redondo Beach, California 90278, owner of 100 shares of GM common stock, has given notice that he intends to present for action at the Annual Meeting the following shareholder proposal. The shareholder proponent is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Proposal 4 –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2700655" cy="4584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0065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Shareholders ask our board to take the steps necessary to amend the appropriate company governing documents to give the owners of a combined 10% of our outstanding common stock the power to call a special shareholder meeting.</w:t>
      </w:r>
    </w:p>
    <w:p>
      <w:pPr>
        <w:spacing w:after="0" w:line="54"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Currently there is a face value of 25% of shares that can call a special shareholder meeting and it then goes downhill. 25% of shares equal 32% of shares that vote at the annual meeting. It would be hopeless to think that the shares that do not have the time to vote at the annual meeting would have the time to take the special procedural steps to call for a special shareholder meeting.</w:t>
      </w:r>
    </w:p>
    <w:p>
      <w:pPr>
        <w:spacing w:after="0" w:line="66"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A realistic 32% stock ownership threshold to call a special shareholder meeting is not much for management to brag about especially when we have no right to act by written consent.</w:t>
      </w:r>
    </w:p>
    <w:p>
      <w:pPr>
        <w:spacing w:after="0" w:line="54" w:lineRule="exact"/>
        <w:rPr>
          <w:sz w:val="20"/>
          <w:szCs w:val="20"/>
          <w:color w:val="auto"/>
        </w:rPr>
      </w:pPr>
    </w:p>
    <w:p>
      <w:pPr>
        <w:jc w:val="both"/>
        <w:ind w:left="160" w:right="20"/>
        <w:spacing w:after="0" w:line="251" w:lineRule="auto"/>
        <w:rPr>
          <w:sz w:val="20"/>
          <w:szCs w:val="20"/>
          <w:color w:val="auto"/>
        </w:rPr>
      </w:pPr>
      <w:r>
        <w:rPr>
          <w:rFonts w:ascii="Arial" w:cs="Arial" w:eastAsia="Arial" w:hAnsi="Arial"/>
          <w:sz w:val="20"/>
          <w:szCs w:val="20"/>
          <w:color w:val="3E3935"/>
        </w:rPr>
        <w:t>GM shareholders gave 49.5% support for a shareholder right to act by written consent. This 49.5% vote most likely represented close to a 60% vote from the shares that have access to independent proxy voting advice.</w:t>
      </w:r>
    </w:p>
    <w:p>
      <w:pPr>
        <w:spacing w:after="0" w:line="54"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We need a more useful right to call a special shareholder meeting due to the recent onslaught of online annual meetings which give management more control. The vast majority of 2021 online shareholder meetings dictated that no shareholders could speak.</w:t>
      </w:r>
    </w:p>
    <w:p>
      <w:pPr>
        <w:spacing w:after="0" w:line="65"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A reasonable shareholder right to call for a special shareholder meeting can elect a new director. Ms. Patricia Russo, GM Lead Director, was the director who received the most negative votes at the 2021 GM annual meeting.</w:t>
      </w:r>
    </w:p>
    <w:p>
      <w:pPr>
        <w:spacing w:after="0" w:line="54"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A reasonable shareholder right to call for a special shareholder meeting can help make shareholder engagement meaningful. If management tends to lack good faith in its shareholder engagement, a right for shareholders to call for a special meeting in our bylaws can make management think twice. We have no protection in our bylaws that any sort of shareholder engagement will take place.</w:t>
      </w:r>
    </w:p>
    <w:p>
      <w:pPr>
        <w:spacing w:after="0" w:line="66"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To help make up for our lack of a right to act by written consent we need the right of 10% of shares to call for a special shareholder meeting.</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 xml:space="preserve">Please vote yes: </w:t>
      </w:r>
      <w:r>
        <w:rPr>
          <w:rFonts w:ascii="Arial" w:cs="Arial" w:eastAsia="Arial" w:hAnsi="Arial"/>
          <w:sz w:val="20"/>
          <w:szCs w:val="20"/>
          <w:b w:val="1"/>
          <w:bCs w:val="1"/>
          <w:color w:val="3E3935"/>
        </w:rPr>
        <w:t>Special Shareholder Meeting Improvement — Proposal 4</w:t>
      </w:r>
    </w:p>
    <w:p>
      <w:pPr>
        <w:spacing w:after="0" w:line="145"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right="960"/>
        <w:spacing w:after="0" w:line="292"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080"/>
          </w:cols>
          <w:pgMar w:left="320" w:top="454" w:right="499" w:bottom="1440" w:gutter="0" w:footer="0" w:header="0"/>
        </w:sectPr>
      </w:pPr>
    </w:p>
    <w:p>
      <w:pPr>
        <w:spacing w:after="0" w:line="88" w:lineRule="exact"/>
        <w:rPr>
          <w:sz w:val="20"/>
          <w:szCs w:val="20"/>
          <w:color w:val="auto"/>
        </w:rPr>
      </w:pPr>
    </w:p>
    <w:p>
      <w:pPr>
        <w:jc w:val="both"/>
        <w:ind w:left="160"/>
        <w:spacing w:after="0" w:line="291" w:lineRule="auto"/>
        <w:rPr>
          <w:sz w:val="20"/>
          <w:szCs w:val="20"/>
          <w:color w:val="auto"/>
        </w:rPr>
      </w:pPr>
      <w:r>
        <w:rPr>
          <w:rFonts w:ascii="Arial" w:cs="Arial" w:eastAsia="Arial" w:hAnsi="Arial"/>
          <w:sz w:val="21"/>
          <w:szCs w:val="21"/>
          <w:b w:val="1"/>
          <w:bCs w:val="1"/>
          <w:i w:val="1"/>
          <w:iCs w:val="1"/>
          <w:color w:val="3E3935"/>
        </w:rPr>
        <w:t>Our shareholders already have a meaningful right to call a special meeting.</w:t>
      </w:r>
    </w:p>
    <w:p>
      <w:pPr>
        <w:spacing w:after="0" w:line="48" w:lineRule="exact"/>
        <w:rPr>
          <w:sz w:val="20"/>
          <w:szCs w:val="20"/>
          <w:color w:val="auto"/>
        </w:rPr>
      </w:pPr>
    </w:p>
    <w:p>
      <w:pPr>
        <w:jc w:val="both"/>
        <w:ind w:left="160"/>
        <w:spacing w:after="0" w:line="243" w:lineRule="auto"/>
        <w:rPr>
          <w:sz w:val="20"/>
          <w:szCs w:val="20"/>
          <w:color w:val="auto"/>
        </w:rPr>
      </w:pPr>
      <w:r>
        <w:rPr>
          <w:rFonts w:ascii="Arial" w:cs="Arial" w:eastAsia="Arial" w:hAnsi="Arial"/>
          <w:sz w:val="19"/>
          <w:szCs w:val="19"/>
          <w:color w:val="3E3935"/>
        </w:rPr>
        <w:t>Our Board recognizes the importance of giving shareholders a meaningful right to call special meetings in appropriate circumstances. GM’s Bylaws currently provide that any group of shareholders who own an aggregate of at least 25 percent of GM’s outstanding common stock (not the 32 percent the proponent asserts) may call a special meeting.</w:t>
      </w:r>
    </w:p>
    <w:p>
      <w:pPr>
        <w:spacing w:after="0" w:line="64"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Conducting a special shareholder meeting is a significant undertaking that requires substantial Company expense and Board and management time and resources. The Company must pay to prepare, print, and distribute disclosure documents to shareholders, solicit proxies, hold the meeting, and tabulate votes. Such time and expense are only in the best interest of shareholders if a reasonable percentage of our shareholders support holding a special meeting. This is why the Board believes our current 25 percent threshold, which is common among public companies, strikes the appropriate balance between avoiding an imprudent use of Company resources and shareholder attention to address the special interests of a select group of shareholders, while at the same time ensuring that shareholders holding a meaningful percentage of our outstanding shares have a mechanism to call a special meeting. The Board believes the threshold advocated by the proponent could allow shareholders with narrow, short-term, or special interests to pursue matters that are not widely viewed as requiring immediate attention or that are being pursued for reasons that may not be in the best interest of the Company or all of our shareholders.</w:t>
      </w:r>
    </w:p>
    <w:p>
      <w:pPr>
        <w:spacing w:after="0" w:line="107" w:lineRule="exact"/>
        <w:rPr>
          <w:sz w:val="20"/>
          <w:szCs w:val="20"/>
          <w:color w:val="auto"/>
        </w:rPr>
      </w:pPr>
    </w:p>
    <w:p>
      <w:pPr>
        <w:jc w:val="both"/>
        <w:ind w:left="160"/>
        <w:spacing w:after="0" w:line="265" w:lineRule="auto"/>
        <w:rPr>
          <w:sz w:val="20"/>
          <w:szCs w:val="20"/>
          <w:color w:val="auto"/>
        </w:rPr>
      </w:pPr>
      <w:r>
        <w:rPr>
          <w:rFonts w:ascii="Arial" w:cs="Arial" w:eastAsia="Arial" w:hAnsi="Arial"/>
          <w:sz w:val="21"/>
          <w:szCs w:val="21"/>
          <w:b w:val="1"/>
          <w:bCs w:val="1"/>
          <w:i w:val="1"/>
          <w:iCs w:val="1"/>
          <w:color w:val="3E3935"/>
        </w:rPr>
        <w:t>Our governance policies and practices promote transparency and accountability to our shareholders.</w:t>
      </w:r>
    </w:p>
    <w:p>
      <w:pPr>
        <w:spacing w:after="0" w:line="61"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Board believes a lower threshold is not necessary because the Company already provides shareholders with the ability to voice their opinions and ensure Board accountability and responsiveness to shareholders. The Company has numerous corporate governance policies and practices that reinforce such accountability and responsiveness, including a proxy access bylaw that allows the Company’s shareholders to include their own director nominees in the Company’s proxy materials along with the candidates nominated by the Board. In addition, the Company maintains the following governance best practices to enhance Board and management accountability to shareholders: annual director elections;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ind w:left="7"/>
        <w:spacing w:after="0" w:line="227" w:lineRule="auto"/>
        <w:rPr>
          <w:sz w:val="20"/>
          <w:szCs w:val="20"/>
          <w:color w:val="auto"/>
        </w:rPr>
      </w:pPr>
      <w:r>
        <w:rPr>
          <w:rFonts w:ascii="Arial" w:cs="Arial" w:eastAsia="Arial" w:hAnsi="Arial"/>
          <w:sz w:val="20"/>
          <w:szCs w:val="20"/>
          <w:color w:val="3E3935"/>
        </w:rPr>
        <w:t>majority voting in uncontested director elections; no supermajority voting provisions; annual say-on-pay vote; no shareholder rights plan (“poison pill”); significant board refreshment; a strong Independent Lead Director with delineated leadership duties; and in addition to proxy access, a policy of considering director candidates recommended by shareholders. Additionally, GM’s shareholders have always been allowed to voice their concerns and ask questions live, over the phone or via an online portal, during our Annual Meetings. A more complete review of our governance policies and practices can be found beginning on page 27 of this Proxy Statement.</w:t>
      </w:r>
    </w:p>
    <w:p>
      <w:pPr>
        <w:spacing w:after="0" w:line="100" w:lineRule="exact"/>
        <w:rPr>
          <w:sz w:val="20"/>
          <w:szCs w:val="20"/>
          <w:color w:val="auto"/>
        </w:rPr>
      </w:pPr>
    </w:p>
    <w:p>
      <w:pPr>
        <w:jc w:val="both"/>
        <w:ind w:left="7"/>
        <w:spacing w:after="0" w:line="265" w:lineRule="auto"/>
        <w:rPr>
          <w:sz w:val="20"/>
          <w:szCs w:val="20"/>
          <w:color w:val="auto"/>
        </w:rPr>
      </w:pPr>
      <w:r>
        <w:rPr>
          <w:rFonts w:ascii="Arial" w:cs="Arial" w:eastAsia="Arial" w:hAnsi="Arial"/>
          <w:sz w:val="21"/>
          <w:szCs w:val="21"/>
          <w:b w:val="1"/>
          <w:bCs w:val="1"/>
          <w:i w:val="1"/>
          <w:iCs w:val="1"/>
          <w:color w:val="3E3935"/>
        </w:rPr>
        <w:t>We have a robust shareholder engagement program and an established track record of responding to shareholder concerns.</w:t>
      </w:r>
    </w:p>
    <w:p>
      <w:pPr>
        <w:spacing w:after="0" w:line="74" w:lineRule="exact"/>
        <w:rPr>
          <w:sz w:val="20"/>
          <w:szCs w:val="20"/>
          <w:color w:val="auto"/>
        </w:rPr>
      </w:pPr>
    </w:p>
    <w:p>
      <w:pPr>
        <w:jc w:val="both"/>
        <w:ind w:left="7"/>
        <w:spacing w:after="0" w:line="227" w:lineRule="auto"/>
        <w:rPr>
          <w:sz w:val="20"/>
          <w:szCs w:val="20"/>
          <w:color w:val="auto"/>
        </w:rPr>
      </w:pPr>
      <w:r>
        <w:rPr>
          <w:rFonts w:ascii="Arial" w:cs="Arial" w:eastAsia="Arial" w:hAnsi="Arial"/>
          <w:sz w:val="20"/>
          <w:szCs w:val="20"/>
          <w:color w:val="3E3935"/>
        </w:rPr>
        <w:t>Active shareholder engagement and responsiveness to shareholder feedback are important to both our Board and management. Members of management, including the CEO, and members of the Board, including our Independent Lead Director, regularly engage with shareholders and other stakeholders throughout the year to gain feedback on a variety of topics. The Company’s engagement efforts are critical to ensuring accountability to our shareholders. To date, no shareholder has expressed a concern about our 25 percent special meeting threshold during these engagements. A few of the actions the Board took in 2021 in response to feedback include:</w:t>
      </w:r>
    </w:p>
    <w:p>
      <w:pPr>
        <w:spacing w:after="0" w:line="78" w:lineRule="exact"/>
        <w:rPr>
          <w:sz w:val="20"/>
          <w:szCs w:val="20"/>
          <w:color w:val="auto"/>
        </w:rPr>
      </w:pPr>
    </w:p>
    <w:p>
      <w:pPr>
        <w:jc w:val="both"/>
        <w:ind w:left="247" w:right="20" w:hanging="247"/>
        <w:spacing w:after="0" w:line="230" w:lineRule="auto"/>
        <w:tabs>
          <w:tab w:leader="none" w:pos="247" w:val="left"/>
        </w:tabs>
        <w:numPr>
          <w:ilvl w:val="0"/>
          <w:numId w:val="144"/>
        </w:numPr>
        <w:rPr>
          <w:rFonts w:ascii="Arial" w:cs="Arial" w:eastAsia="Arial" w:hAnsi="Arial"/>
          <w:sz w:val="20"/>
          <w:szCs w:val="20"/>
          <w:color w:val="0071CE"/>
        </w:rPr>
      </w:pPr>
      <w:r>
        <w:rPr>
          <w:rFonts w:ascii="Arial" w:cs="Arial" w:eastAsia="Arial" w:hAnsi="Arial"/>
          <w:sz w:val="20"/>
          <w:szCs w:val="20"/>
          <w:color w:val="3E3935"/>
        </w:rPr>
        <w:t xml:space="preserve">Providing enhanced disclosures regarding GM’s public policy priorities and political lobbying expenditures, including a report describing how they are aligned with the Paris Agreement’s goals regarding climate change (see our Public Policy Supplement to April 2021 Sustainability Report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81" w:lineRule="exact"/>
        <w:rPr>
          <w:rFonts w:ascii="Arial" w:cs="Arial" w:eastAsia="Arial" w:hAnsi="Arial"/>
          <w:sz w:val="20"/>
          <w:szCs w:val="20"/>
          <w:color w:val="0071CE"/>
        </w:rPr>
      </w:pPr>
    </w:p>
    <w:p>
      <w:pPr>
        <w:ind w:left="247" w:hanging="247"/>
        <w:spacing w:after="0"/>
        <w:tabs>
          <w:tab w:leader="none" w:pos="247" w:val="left"/>
        </w:tabs>
        <w:numPr>
          <w:ilvl w:val="0"/>
          <w:numId w:val="144"/>
        </w:numPr>
        <w:rPr>
          <w:rFonts w:ascii="Arial" w:cs="Arial" w:eastAsia="Arial" w:hAnsi="Arial"/>
          <w:sz w:val="20"/>
          <w:szCs w:val="20"/>
          <w:color w:val="0071CE"/>
        </w:rPr>
      </w:pPr>
      <w:r>
        <w:rPr>
          <w:rFonts w:ascii="Arial" w:cs="Arial" w:eastAsia="Arial" w:hAnsi="Arial"/>
          <w:sz w:val="20"/>
          <w:szCs w:val="20"/>
          <w:color w:val="3E3935"/>
        </w:rPr>
        <w:t>Posting our annual Consolidated EEO-1 Report (see the</w:t>
      </w:r>
    </w:p>
    <w:p>
      <w:pPr>
        <w:spacing w:after="0" w:line="2" w:lineRule="exact"/>
        <w:rPr>
          <w:rFonts w:ascii="Arial" w:cs="Arial" w:eastAsia="Arial" w:hAnsi="Arial"/>
          <w:sz w:val="20"/>
          <w:szCs w:val="20"/>
          <w:color w:val="0071CE"/>
        </w:rPr>
      </w:pPr>
    </w:p>
    <w:p>
      <w:pPr>
        <w:ind w:left="247" w:right="20"/>
        <w:spacing w:after="0" w:line="236" w:lineRule="auto"/>
        <w:rPr>
          <w:rFonts w:ascii="Arial" w:cs="Arial" w:eastAsia="Arial" w:hAnsi="Arial"/>
          <w:sz w:val="20"/>
          <w:szCs w:val="20"/>
          <w:color w:val="0071CE"/>
        </w:rPr>
      </w:pPr>
      <w:r>
        <w:rPr>
          <w:rFonts w:ascii="Arial" w:cs="Arial" w:eastAsia="Arial" w:hAnsi="Arial"/>
          <w:sz w:val="20"/>
          <w:szCs w:val="20"/>
          <w:color w:val="3E3935"/>
        </w:rPr>
        <w:t xml:space="preserve">report at </w:t>
      </w:r>
      <w:r>
        <w:rPr>
          <w:rFonts w:ascii="Arial" w:cs="Arial" w:eastAsia="Arial" w:hAnsi="Arial"/>
          <w:sz w:val="20"/>
          <w:szCs w:val="20"/>
          <w:i w:val="1"/>
          <w:iCs w:val="1"/>
          <w:color w:val="00C1DE"/>
        </w:rPr>
        <w:t>gmsustainability.com/downloads-and-archives.html</w:t>
      </w:r>
      <w:r>
        <w:rPr>
          <w:rFonts w:ascii="Arial" w:cs="Arial" w:eastAsia="Arial" w:hAnsi="Arial"/>
          <w:sz w:val="20"/>
          <w:szCs w:val="20"/>
          <w:color w:val="3E3935"/>
        </w:rPr>
        <w:t>); and</w:t>
      </w:r>
    </w:p>
    <w:p>
      <w:pPr>
        <w:spacing w:after="0" w:line="78" w:lineRule="exact"/>
        <w:rPr>
          <w:rFonts w:ascii="Arial" w:cs="Arial" w:eastAsia="Arial" w:hAnsi="Arial"/>
          <w:sz w:val="20"/>
          <w:szCs w:val="20"/>
          <w:color w:val="0071CE"/>
        </w:rPr>
      </w:pPr>
    </w:p>
    <w:p>
      <w:pPr>
        <w:jc w:val="both"/>
        <w:ind w:left="247" w:right="20" w:hanging="247"/>
        <w:spacing w:after="0" w:line="238" w:lineRule="auto"/>
        <w:tabs>
          <w:tab w:leader="none" w:pos="247" w:val="left"/>
        </w:tabs>
        <w:numPr>
          <w:ilvl w:val="0"/>
          <w:numId w:val="144"/>
        </w:numPr>
        <w:rPr>
          <w:rFonts w:ascii="Arial" w:cs="Arial" w:eastAsia="Arial" w:hAnsi="Arial"/>
          <w:sz w:val="20"/>
          <w:szCs w:val="20"/>
          <w:color w:val="0071CE"/>
        </w:rPr>
      </w:pPr>
      <w:r>
        <w:rPr>
          <w:rFonts w:ascii="Arial" w:cs="Arial" w:eastAsia="Arial" w:hAnsi="Arial"/>
          <w:sz w:val="20"/>
          <w:szCs w:val="20"/>
          <w:color w:val="3E3935"/>
        </w:rPr>
        <w:t xml:space="preserve">Enhancing our Human Rights Policy to align more strongly with international human rights frameworks (see the enhanced policy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65" w:lineRule="exact"/>
        <w:rPr>
          <w:sz w:val="20"/>
          <w:szCs w:val="20"/>
          <w:color w:val="auto"/>
        </w:rPr>
      </w:pPr>
    </w:p>
    <w:p>
      <w:pPr>
        <w:jc w:val="both"/>
        <w:ind w:left="7"/>
        <w:spacing w:after="0" w:line="238" w:lineRule="auto"/>
        <w:rPr>
          <w:sz w:val="20"/>
          <w:szCs w:val="20"/>
          <w:color w:val="auto"/>
        </w:rPr>
      </w:pPr>
      <w:r>
        <w:rPr>
          <w:rFonts w:ascii="Arial" w:cs="Arial" w:eastAsia="Arial" w:hAnsi="Arial"/>
          <w:sz w:val="20"/>
          <w:szCs w:val="20"/>
          <w:color w:val="3E3935"/>
        </w:rPr>
        <w:t>For a more detailed review of our engagement efforts and how you can contact the Board, see pages 30 to 32 of this Proxy Statement.</w:t>
      </w:r>
    </w:p>
    <w:p>
      <w:pPr>
        <w:spacing w:after="0" w:line="169" w:lineRule="exact"/>
        <w:rPr>
          <w:sz w:val="20"/>
          <w:szCs w:val="20"/>
          <w:color w:val="auto"/>
        </w:rPr>
      </w:pPr>
    </w:p>
    <w:p>
      <w:pPr>
        <w:jc w:val="both"/>
        <w:ind w:left="7"/>
        <w:spacing w:after="0" w:line="269" w:lineRule="auto"/>
        <w:rPr>
          <w:sz w:val="20"/>
          <w:szCs w:val="20"/>
          <w:color w:val="auto"/>
        </w:rPr>
      </w:pPr>
      <w:r>
        <w:rPr>
          <w:rFonts w:ascii="Arial" w:cs="Arial" w:eastAsia="Arial" w:hAnsi="Arial"/>
          <w:sz w:val="25"/>
          <w:szCs w:val="25"/>
          <w:b w:val="1"/>
          <w:bCs w:val="1"/>
          <w:color w:val="0071CE"/>
        </w:rPr>
        <w:t xml:space="preserve">Therefore, 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shareholder proposal.</w:t>
      </w:r>
    </w:p>
    <w:p>
      <w:pPr>
        <w:spacing w:after="0" w:line="200" w:lineRule="exact"/>
        <w:rPr>
          <w:sz w:val="20"/>
          <w:szCs w:val="20"/>
          <w:color w:val="auto"/>
        </w:rPr>
      </w:pPr>
    </w:p>
    <w:p>
      <w:pPr>
        <w:sectPr>
          <w:pgSz w:w="11900" w:h="16838" w:orient="portrait"/>
          <w:cols w:equalWidth="0" w:num="2">
            <w:col w:w="5400" w:space="333"/>
            <w:col w:w="5347"/>
          </w:cols>
          <w:pgMar w:left="320" w:top="454" w:right="499" w:bottom="1440" w:gutter="0" w:footer="0" w:header="0"/>
          <w:type w:val="continuous"/>
        </w:sectPr>
      </w:pPr>
    </w:p>
    <w:p>
      <w:pPr>
        <w:spacing w:after="0" w:line="1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6" w:lineRule="exact"/>
        <w:rPr>
          <w:sz w:val="20"/>
          <w:szCs w:val="20"/>
          <w:color w:val="auto"/>
        </w:rPr>
      </w:pPr>
    </w:p>
    <w:p>
      <w:pPr>
        <w:jc w:val="right"/>
        <w:ind w:left="160" w:right="2200"/>
        <w:spacing w:after="0" w:line="292" w:lineRule="auto"/>
        <w:rPr>
          <w:sz w:val="20"/>
          <w:szCs w:val="20"/>
          <w:color w:val="auto"/>
        </w:rPr>
      </w:pPr>
      <w:r>
        <w:rPr>
          <w:rFonts w:ascii="Arial" w:cs="Arial" w:eastAsia="Arial" w:hAnsi="Arial"/>
          <w:sz w:val="32"/>
          <w:szCs w:val="32"/>
          <w:b w:val="1"/>
          <w:bCs w:val="1"/>
          <w:color w:val="3E3935"/>
        </w:rPr>
        <w:t xml:space="preserve">ITEM NO. 5:   </w:t>
      </w:r>
      <w:r>
        <w:rPr>
          <w:rFonts w:ascii="Arial" w:cs="Arial" w:eastAsia="Arial" w:hAnsi="Arial"/>
          <w:sz w:val="32"/>
          <w:szCs w:val="32"/>
          <w:b w:val="1"/>
          <w:bCs w:val="1"/>
          <w:color w:val="00C1DE"/>
        </w:rPr>
        <w:t>SHAREHOLDER PROPOSAL REGARDING</w:t>
      </w:r>
      <w:r>
        <w:rPr>
          <w:rFonts w:ascii="Arial" w:cs="Arial" w:eastAsia="Arial" w:hAnsi="Arial"/>
          <w:sz w:val="32"/>
          <w:szCs w:val="32"/>
          <w:b w:val="1"/>
          <w:bCs w:val="1"/>
          <w:color w:val="3E3935"/>
        </w:rPr>
        <w:t xml:space="preserve"> </w:t>
      </w:r>
      <w:r>
        <w:rPr>
          <w:rFonts w:ascii="Arial" w:cs="Arial" w:eastAsia="Arial" w:hAnsi="Arial"/>
          <w:sz w:val="32"/>
          <w:szCs w:val="32"/>
          <w:b w:val="1"/>
          <w:bCs w:val="1"/>
          <w:color w:val="00C1DE"/>
        </w:rPr>
        <w:t>SEPARATION OF CHAIR AND CEO ROLES</w:t>
      </w:r>
    </w:p>
    <w:p>
      <w:pPr>
        <w:spacing w:after="0" w:line="88"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i w:val="1"/>
          <w:iCs w:val="1"/>
          <w:color w:val="3E3935"/>
        </w:rPr>
        <w:t>John Lauve, 200 N. Saginaw Drive, Holly, Michigan 48442, owner of 63 shares of GM common stock, has given notice that he intends to present for action at the Annual Meeting the following shareholder proposal. The shareholder proponent is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Proposal 5 – Separate CEO and Board Chairman</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Reform: Mandate the separation of Board Chairman and Chief Executive Officer (CEO)</w:t>
      </w:r>
    </w:p>
    <w:p>
      <w:pPr>
        <w:spacing w:after="0" w:line="131" w:lineRule="exact"/>
        <w:rPr>
          <w:sz w:val="20"/>
          <w:szCs w:val="20"/>
          <w:color w:val="auto"/>
        </w:rPr>
      </w:pPr>
    </w:p>
    <w:p>
      <w:pPr>
        <w:jc w:val="both"/>
        <w:ind w:left="160" w:right="20"/>
        <w:spacing w:after="0" w:line="251" w:lineRule="auto"/>
        <w:rPr>
          <w:sz w:val="20"/>
          <w:szCs w:val="20"/>
          <w:color w:val="auto"/>
        </w:rPr>
      </w:pPr>
      <w:r>
        <w:rPr>
          <w:rFonts w:ascii="Arial" w:cs="Arial" w:eastAsia="Arial" w:hAnsi="Arial"/>
          <w:sz w:val="20"/>
          <w:szCs w:val="20"/>
          <w:color w:val="3E3935"/>
        </w:rPr>
        <w:t>The Chairman shall not be a former CEO of GM. If the Directors are too busy to select from their ranks then find another new person.</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RECORD</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Ford, in 2020, had more revenue than GM</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GM, in 2019, canceled the Cruze, the Chevy entry car</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John Lauve, (200 N Saginaw, Holly MI 48442) interviewed dealers all stated the loss hurt their business.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GM, in 2019, canceled the Volt electric car and stopped production</w:t>
      </w:r>
    </w:p>
    <w:p>
      <w:pPr>
        <w:ind w:left="160"/>
        <w:spacing w:after="0" w:line="225" w:lineRule="auto"/>
        <w:rPr>
          <w:sz w:val="20"/>
          <w:szCs w:val="20"/>
          <w:color w:val="auto"/>
        </w:rPr>
      </w:pPr>
      <w:r>
        <w:rPr>
          <w:rFonts w:ascii="Arial" w:cs="Arial" w:eastAsia="Arial" w:hAnsi="Arial"/>
          <w:sz w:val="20"/>
          <w:szCs w:val="20"/>
          <w:color w:val="3E3935"/>
        </w:rPr>
        <w:t>GM, in 2021, recalled every electric Bolt 140,000</w:t>
      </w:r>
    </w:p>
    <w:p>
      <w:pPr>
        <w:ind w:left="160"/>
        <w:spacing w:after="0" w:line="223" w:lineRule="auto"/>
        <w:rPr>
          <w:sz w:val="20"/>
          <w:szCs w:val="20"/>
          <w:color w:val="auto"/>
        </w:rPr>
      </w:pPr>
      <w:r>
        <w:rPr>
          <w:rFonts w:ascii="Arial" w:cs="Arial" w:eastAsia="Arial" w:hAnsi="Arial"/>
          <w:sz w:val="20"/>
          <w:szCs w:val="20"/>
          <w:color w:val="3E3935"/>
        </w:rPr>
        <w:t>In 2021 Cadillac names its electric car Lyriq and forced dealers to close down.</w:t>
      </w:r>
    </w:p>
    <w:p>
      <w:pPr>
        <w:ind w:left="160"/>
        <w:spacing w:after="0" w:line="224" w:lineRule="auto"/>
        <w:rPr>
          <w:sz w:val="20"/>
          <w:szCs w:val="20"/>
          <w:color w:val="auto"/>
        </w:rPr>
      </w:pPr>
      <w:r>
        <w:rPr>
          <w:rFonts w:ascii="Arial" w:cs="Arial" w:eastAsia="Arial" w:hAnsi="Arial"/>
          <w:sz w:val="20"/>
          <w:szCs w:val="20"/>
          <w:color w:val="3E3935"/>
        </w:rPr>
        <w:t>In 2021 Buick Envision is imported from China</w:t>
      </w:r>
    </w:p>
    <w:p>
      <w:pPr>
        <w:ind w:left="160"/>
        <w:spacing w:after="0" w:line="223" w:lineRule="auto"/>
        <w:rPr>
          <w:sz w:val="20"/>
          <w:szCs w:val="20"/>
          <w:color w:val="auto"/>
        </w:rPr>
      </w:pPr>
      <w:r>
        <w:rPr>
          <w:rFonts w:ascii="Arial" w:cs="Arial" w:eastAsia="Arial" w:hAnsi="Arial"/>
          <w:sz w:val="20"/>
          <w:szCs w:val="20"/>
          <w:color w:val="3E3935"/>
        </w:rPr>
        <w:t>Tesla sold more cars than GM sold at Buick &amp; Cadillac the 3rd quarter of 2021</w:t>
      </w:r>
    </w:p>
    <w:p>
      <w:pPr>
        <w:ind w:left="160"/>
        <w:spacing w:after="0"/>
        <w:rPr>
          <w:sz w:val="20"/>
          <w:szCs w:val="20"/>
          <w:color w:val="auto"/>
        </w:rPr>
      </w:pPr>
      <w:r>
        <w:rPr>
          <w:rFonts w:ascii="Arial" w:cs="Arial" w:eastAsia="Arial" w:hAnsi="Arial"/>
          <w:sz w:val="20"/>
          <w:szCs w:val="20"/>
          <w:color w:val="3E3935"/>
        </w:rPr>
        <w:t>Foreign car companies are taking over the US car market 45% hail from overseas</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20"/>
          <w:szCs w:val="20"/>
          <w:color w:val="3E3935"/>
        </w:rPr>
        <w:t>GM is 17%</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20"/>
          <w:szCs w:val="20"/>
          <w:color w:val="3E3935"/>
        </w:rPr>
        <w:t>Toyota is 14%</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PROBLEM</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management, Mary Berra [sic], is clearly overloaded</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It is wrong to have one person working 3 jobs.</w:t>
      </w:r>
    </w:p>
    <w:p>
      <w:pPr>
        <w:spacing w:after="0" w:line="131" w:lineRule="exact"/>
        <w:rPr>
          <w:sz w:val="20"/>
          <w:szCs w:val="20"/>
          <w:color w:val="auto"/>
        </w:rPr>
      </w:pPr>
    </w:p>
    <w:p>
      <w:pPr>
        <w:ind w:left="1240" w:hanging="538"/>
        <w:spacing w:after="0"/>
        <w:tabs>
          <w:tab w:leader="none" w:pos="1240" w:val="left"/>
        </w:tabs>
        <w:numPr>
          <w:ilvl w:val="0"/>
          <w:numId w:val="145"/>
        </w:numPr>
        <w:rPr>
          <w:rFonts w:ascii="Arial" w:cs="Arial" w:eastAsia="Arial" w:hAnsi="Arial"/>
          <w:sz w:val="20"/>
          <w:szCs w:val="20"/>
          <w:color w:val="3E3935"/>
        </w:rPr>
      </w:pPr>
      <w:r>
        <w:rPr>
          <w:rFonts w:ascii="Arial" w:cs="Arial" w:eastAsia="Arial" w:hAnsi="Arial"/>
          <w:sz w:val="20"/>
          <w:szCs w:val="20"/>
          <w:color w:val="3E3935"/>
        </w:rPr>
        <w:t>Board Chairman</w:t>
      </w:r>
    </w:p>
    <w:p>
      <w:pPr>
        <w:spacing w:after="0" w:line="2" w:lineRule="exact"/>
        <w:rPr>
          <w:rFonts w:ascii="Arial" w:cs="Arial" w:eastAsia="Arial" w:hAnsi="Arial"/>
          <w:sz w:val="20"/>
          <w:szCs w:val="20"/>
          <w:color w:val="3E3935"/>
        </w:rPr>
      </w:pPr>
    </w:p>
    <w:p>
      <w:pPr>
        <w:ind w:left="1240" w:hanging="538"/>
        <w:spacing w:after="0" w:line="223" w:lineRule="auto"/>
        <w:tabs>
          <w:tab w:leader="none" w:pos="1240" w:val="left"/>
        </w:tabs>
        <w:numPr>
          <w:ilvl w:val="0"/>
          <w:numId w:val="145"/>
        </w:numPr>
        <w:rPr>
          <w:rFonts w:ascii="Arial" w:cs="Arial" w:eastAsia="Arial" w:hAnsi="Arial"/>
          <w:sz w:val="20"/>
          <w:szCs w:val="20"/>
          <w:color w:val="3E3935"/>
        </w:rPr>
      </w:pPr>
      <w:r>
        <w:rPr>
          <w:rFonts w:ascii="Arial" w:cs="Arial" w:eastAsia="Arial" w:hAnsi="Arial"/>
          <w:sz w:val="20"/>
          <w:szCs w:val="20"/>
          <w:color w:val="3E3935"/>
        </w:rPr>
        <w:t>Executive Manager (CEO)</w:t>
      </w:r>
    </w:p>
    <w:p>
      <w:pPr>
        <w:ind w:left="1240" w:hanging="538"/>
        <w:spacing w:after="0"/>
        <w:tabs>
          <w:tab w:leader="none" w:pos="1240" w:val="left"/>
        </w:tabs>
        <w:numPr>
          <w:ilvl w:val="0"/>
          <w:numId w:val="145"/>
        </w:numPr>
        <w:rPr>
          <w:rFonts w:ascii="Arial" w:cs="Arial" w:eastAsia="Arial" w:hAnsi="Arial"/>
          <w:sz w:val="20"/>
          <w:szCs w:val="20"/>
          <w:color w:val="3E3935"/>
        </w:rPr>
      </w:pPr>
      <w:r>
        <w:rPr>
          <w:rFonts w:ascii="Arial" w:cs="Arial" w:eastAsia="Arial" w:hAnsi="Arial"/>
          <w:sz w:val="20"/>
          <w:szCs w:val="20"/>
          <w:color w:val="3E3935"/>
        </w:rPr>
        <w:t>Director at Disneyland [sic]</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Boeing stockholders voted to separate the positions after they had 2 737 Max crashes.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Approval of this proposal is a better alternative to no or abstain votes on the Director elections.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one man show has flaws.</w:t>
      </w:r>
    </w:p>
    <w:p>
      <w:pPr>
        <w:spacing w:after="0" w:line="131" w:lineRule="exact"/>
        <w:rPr>
          <w:sz w:val="20"/>
          <w:szCs w:val="20"/>
          <w:color w:val="auto"/>
        </w:rPr>
      </w:pPr>
    </w:p>
    <w:p>
      <w:pPr>
        <w:ind w:left="160"/>
        <w:spacing w:after="0"/>
        <w:tabs>
          <w:tab w:leader="none" w:pos="1780" w:val="left"/>
        </w:tabs>
        <w:rPr>
          <w:sz w:val="20"/>
          <w:szCs w:val="20"/>
          <w:color w:val="auto"/>
        </w:rPr>
      </w:pPr>
      <w:r>
        <w:rPr>
          <w:rFonts w:ascii="Arial" w:cs="Arial" w:eastAsia="Arial" w:hAnsi="Arial"/>
          <w:sz w:val="20"/>
          <w:szCs w:val="20"/>
          <w:color w:val="3E3935"/>
        </w:rPr>
        <w:t>VOTE YES</w:t>
      </w:r>
      <w:r>
        <w:rPr>
          <w:sz w:val="20"/>
          <w:szCs w:val="20"/>
          <w:color w:val="auto"/>
        </w:rPr>
        <w:tab/>
      </w:r>
      <w:r>
        <w:rPr>
          <w:rFonts w:ascii="Arial" w:cs="Arial" w:eastAsia="Arial" w:hAnsi="Arial"/>
          <w:sz w:val="19"/>
          <w:szCs w:val="19"/>
          <w:color w:val="3E3935"/>
        </w:rPr>
        <w:t>Make GM Better.</w:t>
      </w:r>
    </w:p>
    <w:p>
      <w:pPr>
        <w:spacing w:after="0" w:line="291"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right="960"/>
        <w:spacing w:after="0" w:line="292"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080"/>
          </w:cols>
          <w:pgMar w:left="320" w:top="454" w:right="499" w:bottom="1440" w:gutter="0" w:footer="0" w:header="0"/>
        </w:sectPr>
      </w:pPr>
    </w:p>
    <w:p>
      <w:pPr>
        <w:spacing w:after="0" w:line="88" w:lineRule="exact"/>
        <w:rPr>
          <w:sz w:val="20"/>
          <w:szCs w:val="20"/>
          <w:color w:val="auto"/>
        </w:rPr>
      </w:pPr>
    </w:p>
    <w:p>
      <w:pPr>
        <w:jc w:val="both"/>
        <w:ind w:left="160"/>
        <w:spacing w:after="0" w:line="265" w:lineRule="auto"/>
        <w:rPr>
          <w:sz w:val="20"/>
          <w:szCs w:val="20"/>
          <w:color w:val="auto"/>
        </w:rPr>
      </w:pPr>
      <w:r>
        <w:rPr>
          <w:rFonts w:ascii="Arial" w:cs="Arial" w:eastAsia="Arial" w:hAnsi="Arial"/>
          <w:sz w:val="21"/>
          <w:szCs w:val="21"/>
          <w:b w:val="1"/>
          <w:bCs w:val="1"/>
          <w:i w:val="1"/>
          <w:iCs w:val="1"/>
          <w:color w:val="3E3935"/>
        </w:rPr>
        <w:t>The Board is in the best position to determine who should serve as Chair and should have the flexibility to make that determination.</w:t>
      </w:r>
    </w:p>
    <w:p>
      <w:pPr>
        <w:spacing w:after="0" w:line="74" w:lineRule="exact"/>
        <w:rPr>
          <w:sz w:val="20"/>
          <w:szCs w:val="20"/>
          <w:color w:val="auto"/>
        </w:rPr>
      </w:pPr>
    </w:p>
    <w:p>
      <w:pPr>
        <w:jc w:val="both"/>
        <w:ind w:left="160"/>
        <w:spacing w:after="0" w:line="238" w:lineRule="auto"/>
        <w:rPr>
          <w:sz w:val="20"/>
          <w:szCs w:val="20"/>
          <w:color w:val="auto"/>
        </w:rPr>
      </w:pPr>
      <w:r>
        <w:rPr>
          <w:rFonts w:ascii="Arial" w:cs="Arial" w:eastAsia="Arial" w:hAnsi="Arial"/>
          <w:sz w:val="19"/>
          <w:szCs w:val="19"/>
          <w:color w:val="3E3935"/>
        </w:rPr>
        <w:t>The Board carefully considers the appropriate leadership structure for GM and its shareholders on an annual basis and determines whether to combine or separate the roles of Chair and CEO. This allows the Board to choose the optimal leadership structure for the Company at any point in time. The proposal would remove the Board’s current flexibility, which is critical in our very competitive and fast-changing industry. The current directors have diverse backgrounds, experiences, and perspectives. It is this expertise that uniquely positions our Board to assess GM’s key challenges and needs, including the most appropriate board leadership structure. Although the Board has determined in the past, and may again determine in the future, that separating the roles of Chair and CEO would best serve shareholders, the Board believes that a combined role is in the best interests of shareholders at this time.</w:t>
      </w:r>
    </w:p>
    <w:p>
      <w:pPr>
        <w:spacing w:after="0" w:line="99" w:lineRule="exact"/>
        <w:rPr>
          <w:sz w:val="20"/>
          <w:szCs w:val="20"/>
          <w:color w:val="auto"/>
        </w:rPr>
      </w:pPr>
    </w:p>
    <w:p>
      <w:pPr>
        <w:jc w:val="both"/>
        <w:ind w:left="160"/>
        <w:spacing w:after="0" w:line="265" w:lineRule="auto"/>
        <w:rPr>
          <w:sz w:val="20"/>
          <w:szCs w:val="20"/>
          <w:color w:val="auto"/>
        </w:rPr>
      </w:pPr>
      <w:r>
        <w:rPr>
          <w:rFonts w:ascii="Arial" w:cs="Arial" w:eastAsia="Arial" w:hAnsi="Arial"/>
          <w:sz w:val="21"/>
          <w:szCs w:val="21"/>
          <w:b w:val="1"/>
          <w:bCs w:val="1"/>
          <w:i w:val="1"/>
          <w:iCs w:val="1"/>
          <w:color w:val="3E3935"/>
        </w:rPr>
        <w:t>The Board believes that Mary Barra’s service as Chair and CEO provides a clear and unified strategic vision for GM.</w:t>
      </w:r>
    </w:p>
    <w:p>
      <w:pPr>
        <w:spacing w:after="0" w:line="61"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3E3935"/>
        </w:rPr>
        <w:t>During Ms. Barra’s tenure, GM has taken bold, strategic actions to transform the Company by strengthening its core business and investing in technologies that will help realize our vision of zero crashes, zero emissions, and zero congestion. Ms. Barra is driving GM leadership in EVs and AVs and accelerating GM’s growth platforms that we believe will fundamentally change the margin profile of the business and double annual revenues by 2030. Key to that strategy is GM’s significant, long-term investments in EVs and AVs — over $35 billion dollars committed from 2020 to 2025. Consistently strong financial results, including record earnings in 2021, have been a key enabler to this transformation. In the last year alone, GM has made significant progress towards executing against its ambitious growth strategy. Significant milestones include additional investments to expand EV manufacturing capacity, launching the Ultium-powered GMC HUMMER EV and the Cadillac LYRIQ, and BrightDrop (our new business that is building an ecosystem of all-electric and connected first-to-last mile products and services) beginning deliveries of its EV600 to FedEx Express and Merchants Fleet.</w:t>
      </w:r>
    </w:p>
    <w:p>
      <w:pPr>
        <w:spacing w:after="0" w:line="110"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The Board believes that Ms. Barra’s in-depth knowledge of GM’s business and vision for the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3E3935"/>
        </w:rPr>
        <w:t>future bring focused leadership to the Board during this inflection point in our collective transition from automaker to platform innovator.</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21"/>
          <w:szCs w:val="21"/>
          <w:b w:val="1"/>
          <w:bCs w:val="1"/>
          <w:i w:val="1"/>
          <w:iCs w:val="1"/>
          <w:color w:val="3E3935"/>
        </w:rPr>
        <w:t>The Board is committed to independent oversight of management.</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The Board recognizes the importance of strong, independent oversight. All members of the Board, other than Ms. Barra, are independent. In addition, other than the Executive Committee, all standing committees of the Board consist entirely of independent directors. These standing committees include the Audit, Compensation, Governance, Finance, and Risk and Cybersecurity Committees, each of which is key to oversight of management.</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3E3935"/>
        </w:rPr>
        <w:t>We have a strong Independent Lead Director.</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GM’s Bylaws require that if the Chair is not independent, the independent members of the Board shall designate an Independent Lead Director. Our Independent Lead Director provides an additional layer of leadership and oversight on behalf of shareholders, including a focus on strategic risk management, compliance, governance, and CEO succession planning. The specific duties of the Independent Lead Director, discussed further on page 20 of this Proxy Statement, include providing leadership whenever the Chair may have a conflict of interest, holding executive sessions of non-management directors, and leading non-management directors in the annual evaluation of the CEO’s performance and compensation, among others.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i w:val="1"/>
          <w:iCs w:val="1"/>
          <w:color w:val="3E3935"/>
        </w:rPr>
        <w:t>GM’s other strong corporate governance practices reinforce Board independence and management accountability.</w:t>
      </w:r>
    </w:p>
    <w:p>
      <w:pPr>
        <w:spacing w:after="0" w:line="6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The Board maintains numerous governance best practices that reinforce management accountability and provide meaningful independent oversight, including the annual election of directors; annual self-assessment to determine whether the Board has the proper mix of experience, leadership, and skills; executive sessions without management at most Board and Committee meetings; and unrestricted access by directors to management and independent, outside advisors. A more complete review of our governance policies and practices can be found beginning on page 27 of this Proxy Statement.</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C1DE"/>
        </w:rPr>
        <w:t xml:space="preserve"> </w:t>
      </w:r>
      <w:r>
        <w:rPr>
          <w:rFonts w:ascii="Arial" w:cs="Arial" w:eastAsia="Arial" w:hAnsi="Arial"/>
          <w:sz w:val="20"/>
          <w:szCs w:val="20"/>
          <w:b w:val="1"/>
          <w:bCs w:val="1"/>
          <w:color w:val="0071CE"/>
        </w:rPr>
        <w:t>this shareholder proposal.</w:t>
      </w:r>
    </w:p>
    <w:p>
      <w:pPr>
        <w:spacing w:after="0" w:line="200"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3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6" w:lineRule="exact"/>
        <w:rPr>
          <w:sz w:val="20"/>
          <w:szCs w:val="20"/>
          <w:color w:val="auto"/>
        </w:rPr>
      </w:pPr>
    </w:p>
    <w:p>
      <w:pPr>
        <w:jc w:val="both"/>
        <w:ind w:left="2380" w:right="320" w:hanging="2219"/>
        <w:spacing w:after="0" w:line="268" w:lineRule="auto"/>
        <w:tabs>
          <w:tab w:leader="none" w:pos="2360" w:val="left"/>
        </w:tabs>
        <w:rPr>
          <w:sz w:val="20"/>
          <w:szCs w:val="20"/>
          <w:color w:val="auto"/>
        </w:rPr>
      </w:pPr>
      <w:r>
        <w:rPr>
          <w:rFonts w:ascii="Arial" w:cs="Arial" w:eastAsia="Arial" w:hAnsi="Arial"/>
          <w:sz w:val="32"/>
          <w:szCs w:val="32"/>
          <w:b w:val="1"/>
          <w:bCs w:val="1"/>
          <w:color w:val="3E3935"/>
        </w:rPr>
        <w:t>ITEM NO. 6:</w:t>
      </w:r>
      <w:r>
        <w:rPr>
          <w:rFonts w:ascii="Arial" w:cs="Arial" w:eastAsia="Arial" w:hAnsi="Arial"/>
          <w:sz w:val="32"/>
          <w:szCs w:val="32"/>
          <w:b w:val="1"/>
          <w:bCs w:val="1"/>
          <w:color w:val="00C1DE"/>
        </w:rPr>
        <w:tab/>
        <w:t>SHAREHOLDER PROPOSAL REQUESTING A REPORT ON THE USE OF CHILD LABOR IN CONNECTION WITH ELECTRIC VEHICLES</w:t>
      </w:r>
    </w:p>
    <w:p>
      <w:pPr>
        <w:spacing w:after="0" w:line="125" w:lineRule="exact"/>
        <w:rPr>
          <w:sz w:val="20"/>
          <w:szCs w:val="20"/>
          <w:color w:val="auto"/>
        </w:rPr>
      </w:pPr>
    </w:p>
    <w:p>
      <w:pPr>
        <w:jc w:val="both"/>
        <w:ind w:left="160"/>
        <w:spacing w:after="0" w:line="256" w:lineRule="auto"/>
        <w:rPr>
          <w:sz w:val="20"/>
          <w:szCs w:val="20"/>
          <w:color w:val="auto"/>
        </w:rPr>
      </w:pPr>
      <w:r>
        <w:rPr>
          <w:rFonts w:ascii="Arial" w:cs="Arial" w:eastAsia="Arial" w:hAnsi="Arial"/>
          <w:sz w:val="19"/>
          <w:szCs w:val="19"/>
          <w:i w:val="1"/>
          <w:iCs w:val="1"/>
          <w:color w:val="3E3935"/>
        </w:rPr>
        <w:t>The National Legal and Policy Center, 107 Park Washington Court, Falls Church, Virginia 22046, owner of 100 shares of GM common stock, has given notice that it intends to present for action at the Annual Meeting the following shareholder proposal. The shareholder proponent is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69297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Request for Disclosure of Child Labor and Human Rights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RESOLVED:</w:t>
      </w:r>
    </w:p>
    <w:p>
      <w:pPr>
        <w:spacing w:after="0" w:line="131"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Shareholders request that, beginning in 2022, General Motors Company report to shareholders on the extent to which its business plans with respect to electric vehicles may involve, rely, or depend on child labor outside the United States.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3E3935"/>
        </w:rPr>
        <w:t>Supporting Statement:</w:t>
      </w:r>
    </w:p>
    <w:p>
      <w:pPr>
        <w:spacing w:after="0" w:line="131"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General Motors Company’s business plans involve the promotion of electric vehicles. General Motors hopes to profit from the sales of such vehicles.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But according to Amnesty International and media reports:</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20"/>
          <w:szCs w:val="20"/>
          <w:color w:val="3E3935"/>
        </w:rPr>
        <w:t>–   Cobalt is an expensive metal used in electric car batteries;</w:t>
      </w:r>
    </w:p>
    <w:p>
      <w:pPr>
        <w:spacing w:after="0" w:line="2" w:lineRule="exact"/>
        <w:rPr>
          <w:sz w:val="20"/>
          <w:szCs w:val="20"/>
          <w:color w:val="auto"/>
        </w:rPr>
      </w:pPr>
    </w:p>
    <w:p>
      <w:pPr>
        <w:ind w:left="800"/>
        <w:spacing w:after="0" w:line="223" w:lineRule="auto"/>
        <w:rPr>
          <w:sz w:val="20"/>
          <w:szCs w:val="20"/>
          <w:color w:val="auto"/>
        </w:rPr>
      </w:pPr>
      <w:r>
        <w:rPr>
          <w:rFonts w:ascii="Arial" w:cs="Arial" w:eastAsia="Arial" w:hAnsi="Arial"/>
          <w:sz w:val="20"/>
          <w:szCs w:val="20"/>
          <w:color w:val="3E3935"/>
        </w:rPr>
        <w:t>–   59% of the global cobalt supply comes from the Democratic Republic of the Congo;</w:t>
      </w:r>
    </w:p>
    <w:p>
      <w:pPr>
        <w:ind w:left="1240" w:hanging="428"/>
        <w:spacing w:after="0" w:line="223" w:lineRule="auto"/>
        <w:rPr>
          <w:sz w:val="20"/>
          <w:szCs w:val="20"/>
          <w:color w:val="auto"/>
        </w:rPr>
      </w:pPr>
      <w:r>
        <w:rPr>
          <w:rFonts w:ascii="Arial" w:cs="Arial" w:eastAsia="Arial" w:hAnsi="Arial"/>
          <w:sz w:val="20"/>
          <w:szCs w:val="20"/>
          <w:color w:val="3E3935"/>
        </w:rPr>
        <w:t>– Cobalt mining in the Congo is often done by children — as many as 40,000 — working in brutal and unsafe conditions. A euphemism for these children is “informal” workers;</w:t>
      </w:r>
    </w:p>
    <w:p>
      <w:pPr>
        <w:ind w:left="800"/>
        <w:spacing w:after="0" w:line="223" w:lineRule="auto"/>
        <w:rPr>
          <w:sz w:val="20"/>
          <w:szCs w:val="20"/>
          <w:color w:val="auto"/>
        </w:rPr>
      </w:pPr>
      <w:r>
        <w:rPr>
          <w:rFonts w:ascii="Arial" w:cs="Arial" w:eastAsia="Arial" w:hAnsi="Arial"/>
          <w:sz w:val="20"/>
          <w:szCs w:val="20"/>
          <w:color w:val="3E3935"/>
        </w:rPr>
        <w:t>–   Many of these children are injured and killed in these conditions;</w:t>
      </w:r>
    </w:p>
    <w:p>
      <w:pPr>
        <w:ind w:left="800"/>
        <w:spacing w:after="0"/>
        <w:rPr>
          <w:sz w:val="20"/>
          <w:szCs w:val="20"/>
          <w:color w:val="auto"/>
        </w:rPr>
      </w:pPr>
      <w:r>
        <w:rPr>
          <w:rFonts w:ascii="Arial" w:cs="Arial" w:eastAsia="Arial" w:hAnsi="Arial"/>
          <w:sz w:val="20"/>
          <w:szCs w:val="20"/>
          <w:color w:val="3E3935"/>
        </w:rPr>
        <w:t>–   Such child labor is a gross violation of human rights.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More information on these human rights violations may be found at https://bitly/31pxaCq [sic].</w:t>
      </w:r>
    </w:p>
    <w:p>
      <w:pPr>
        <w:spacing w:after="0" w:line="131"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Shareholders have the right to know the extent to which, if any and intentionally or not, General Motors Company’s business plans rely on or involve the direct or indirect exploitation of child labor and/or the violation of the human rights of child workers outside the United States.</w:t>
      </w:r>
    </w:p>
    <w:p>
      <w:pPr>
        <w:spacing w:after="0" w:line="117"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right="960"/>
        <w:spacing w:after="0" w:line="292"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080"/>
          </w:cols>
          <w:pgMar w:left="320" w:top="454" w:right="499" w:bottom="1440" w:gutter="0" w:footer="0" w:header="0"/>
        </w:sectPr>
      </w:pPr>
    </w:p>
    <w:p>
      <w:pPr>
        <w:spacing w:after="0" w:line="88" w:lineRule="exact"/>
        <w:rPr>
          <w:sz w:val="20"/>
          <w:szCs w:val="20"/>
          <w:color w:val="auto"/>
        </w:rPr>
      </w:pPr>
    </w:p>
    <w:p>
      <w:pPr>
        <w:jc w:val="both"/>
        <w:ind w:left="160"/>
        <w:spacing w:after="0" w:line="256" w:lineRule="auto"/>
        <w:rPr>
          <w:sz w:val="20"/>
          <w:szCs w:val="20"/>
          <w:color w:val="auto"/>
        </w:rPr>
      </w:pPr>
      <w:r>
        <w:rPr>
          <w:rFonts w:ascii="Arial" w:cs="Arial" w:eastAsia="Arial" w:hAnsi="Arial"/>
          <w:sz w:val="21"/>
          <w:szCs w:val="21"/>
          <w:b w:val="1"/>
          <w:bCs w:val="1"/>
          <w:i w:val="1"/>
          <w:iCs w:val="1"/>
          <w:color w:val="3E3935"/>
        </w:rPr>
        <w:t>GM’s policies already reflect our strong focus on building a sustainable and ethical EV supply chain, and we have a zero-tolerance policy towards child labor.</w:t>
      </w:r>
    </w:p>
    <w:p>
      <w:pPr>
        <w:spacing w:after="0" w:line="8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As part of our vision to create a future with zero crashes, zero emissions, and zero congestion, GM plans to put drivers in electric vehicles on a scale previously unseen and eliminate tailpipe emissions from new light-duty vehicles by 2035. While driving towards this future, GM is focused on utilizing this moment of transformation to enhance the sustainability and safety of our entire supply chain, from raw materials to electric drive motors. GM does not permit child labor in our supply chain.</w:t>
      </w:r>
    </w:p>
    <w:p>
      <w:pPr>
        <w:spacing w:after="0" w:line="107"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GM is deeply committed to protecting human rights and has a zero-tolerance policy towards child labor, both of which are underscored across our corporate policies, including our Supplier Code of Conduct, Human Rights Policy, and Conflict Minerals Policy (all of which are available at</w:t>
      </w:r>
    </w:p>
    <w:p>
      <w:pPr>
        <w:ind w:left="160"/>
        <w:spacing w:after="0" w:line="237" w:lineRule="auto"/>
        <w:rPr>
          <w:sz w:val="20"/>
          <w:szCs w:val="20"/>
          <w:color w:val="auto"/>
        </w:rPr>
      </w:pPr>
      <w:r>
        <w:rPr>
          <w:rFonts w:ascii="Arial" w:cs="Arial" w:eastAsia="Arial" w:hAnsi="Arial"/>
          <w:sz w:val="19"/>
          <w:szCs w:val="19"/>
          <w:i w:val="1"/>
          <w:iCs w:val="1"/>
          <w:color w:val="00C1DE"/>
        </w:rPr>
        <w:t>investor.gm.com/resources</w:t>
      </w:r>
      <w:r>
        <w:rPr>
          <w:rFonts w:ascii="Arial" w:cs="Arial" w:eastAsia="Arial" w:hAnsi="Arial"/>
          <w:sz w:val="19"/>
          <w:szCs w:val="19"/>
          <w:color w:val="3E3935"/>
        </w:rPr>
        <w:t>), our Anti-Slavery</w:t>
      </w:r>
      <w:r>
        <w:rPr>
          <w:rFonts w:ascii="Arial" w:cs="Arial" w:eastAsia="Arial" w:hAnsi="Arial"/>
          <w:sz w:val="19"/>
          <w:szCs w:val="19"/>
          <w:i w:val="1"/>
          <w:iCs w:val="1"/>
          <w:color w:val="00C1DE"/>
        </w:rPr>
        <w:t xml:space="preserve"> </w:t>
      </w:r>
      <w:r>
        <w:rPr>
          <w:rFonts w:ascii="Arial" w:cs="Arial" w:eastAsia="Arial" w:hAnsi="Arial"/>
          <w:sz w:val="19"/>
          <w:szCs w:val="19"/>
          <w:color w:val="3E3935"/>
        </w:rPr>
        <w:t xml:space="preserve">and Human Trafficking Statement (available at </w:t>
      </w:r>
      <w:r>
        <w:rPr>
          <w:rFonts w:ascii="Arial" w:cs="Arial" w:eastAsia="Arial" w:hAnsi="Arial"/>
          <w:sz w:val="19"/>
          <w:szCs w:val="19"/>
          <w:i w:val="1"/>
          <w:iCs w:val="1"/>
          <w:color w:val="00C1DE"/>
        </w:rPr>
        <w:t>gm.com/content/dam/company/archive/docs/legal/General_ Motors_Company_Anti_Slavery_ And_Human_Trafficking_ Statement.pdf</w:t>
      </w:r>
      <w:r>
        <w:rPr>
          <w:rFonts w:ascii="Arial" w:cs="Arial" w:eastAsia="Arial" w:hAnsi="Arial"/>
          <w:sz w:val="19"/>
          <w:szCs w:val="19"/>
          <w:color w:val="3E3935"/>
        </w:rPr>
        <w:t>), and our Terms and Conditions. In particular,</w:t>
      </w:r>
      <w:r>
        <w:rPr>
          <w:rFonts w:ascii="Arial" w:cs="Arial" w:eastAsia="Arial" w:hAnsi="Arial"/>
          <w:sz w:val="19"/>
          <w:szCs w:val="19"/>
          <w:i w:val="1"/>
          <w:iCs w:val="1"/>
          <w:color w:val="00C1DE"/>
        </w:rPr>
        <w:t xml:space="preserve"> </w:t>
      </w:r>
      <w:r>
        <w:rPr>
          <w:rFonts w:ascii="Arial" w:cs="Arial" w:eastAsia="Arial" w:hAnsi="Arial"/>
          <w:sz w:val="19"/>
          <w:szCs w:val="19"/>
          <w:color w:val="3E3935"/>
        </w:rPr>
        <w:t>our Human Rights Policy, which the Board updated and enhanced in 2021 with input from investors and other stakeholders, emphasizes our expectation that our suppliers are committed to protecting the rights of children and other vulnerable groups. The Board has requested management return on an annual basis for updates on how the Human Rights Policy is being implemented and to review any remedial actions.</w:t>
      </w:r>
    </w:p>
    <w:p>
      <w:pPr>
        <w:spacing w:after="0" w:line="93"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 xml:space="preserve">In addition, we expect our Tier 1 suppliers to abide by the expectations outlined in our </w:t>
      </w:r>
      <w:r>
        <w:rPr>
          <w:rFonts w:ascii="Arial" w:cs="Arial" w:eastAsia="Arial" w:hAnsi="Arial"/>
          <w:sz w:val="19"/>
          <w:szCs w:val="19"/>
          <w:i w:val="1"/>
          <w:iCs w:val="1"/>
          <w:color w:val="3E3935"/>
        </w:rPr>
        <w:t>Supplier Code of Conduct</w:t>
      </w:r>
      <w:r>
        <w:rPr>
          <w:rFonts w:ascii="Arial" w:cs="Arial" w:eastAsia="Arial" w:hAnsi="Arial"/>
          <w:sz w:val="19"/>
          <w:szCs w:val="19"/>
          <w:color w:val="3E3935"/>
        </w:rPr>
        <w:t xml:space="preserve"> and cascade those expectations, including the prohibition of child labor, throughout their own supply chains. Our contractual relationships with suppliers are premised on our </w:t>
      </w:r>
      <w:r>
        <w:rPr>
          <w:rFonts w:ascii="Arial" w:cs="Arial" w:eastAsia="Arial" w:hAnsi="Arial"/>
          <w:sz w:val="19"/>
          <w:szCs w:val="19"/>
          <w:i w:val="1"/>
          <w:iCs w:val="1"/>
          <w:color w:val="3E3935"/>
        </w:rPr>
        <w:t xml:space="preserve">Terms and Conditions, </w:t>
      </w:r>
      <w:r>
        <w:rPr>
          <w:rFonts w:ascii="Arial" w:cs="Arial" w:eastAsia="Arial" w:hAnsi="Arial"/>
          <w:sz w:val="19"/>
          <w:szCs w:val="19"/>
          <w:color w:val="3E3935"/>
        </w:rPr>
        <w:t>which require suppliers to represent</w:t>
      </w:r>
      <w:r>
        <w:rPr>
          <w:rFonts w:ascii="Arial" w:cs="Arial" w:eastAsia="Arial" w:hAnsi="Arial"/>
          <w:sz w:val="19"/>
          <w:szCs w:val="19"/>
          <w:i w:val="1"/>
          <w:iCs w:val="1"/>
          <w:color w:val="3E3935"/>
        </w:rPr>
        <w:t xml:space="preserve"> </w:t>
      </w:r>
      <w:r>
        <w:rPr>
          <w:rFonts w:ascii="Arial" w:cs="Arial" w:eastAsia="Arial" w:hAnsi="Arial"/>
          <w:sz w:val="19"/>
          <w:szCs w:val="19"/>
          <w:color w:val="3E3935"/>
        </w:rPr>
        <w:t>that no child labor or any other form of forced or involuntary labor is involved in the supplying of goods and services to GM, including through any of their subcontractors, vendors, agents, or other associated third parties.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i w:val="1"/>
          <w:iCs w:val="1"/>
          <w:color w:val="3E3935"/>
        </w:rPr>
        <w:t xml:space="preserve">Code of Conduct </w:t>
      </w:r>
      <w:r>
        <w:rPr>
          <w:rFonts w:ascii="Arial" w:cs="Arial" w:eastAsia="Arial" w:hAnsi="Arial"/>
          <w:sz w:val="20"/>
          <w:szCs w:val="20"/>
          <w:color w:val="3E3935"/>
        </w:rPr>
        <w:t>and</w:t>
      </w:r>
      <w:r>
        <w:rPr>
          <w:rFonts w:ascii="Arial" w:cs="Arial" w:eastAsia="Arial" w:hAnsi="Arial"/>
          <w:sz w:val="20"/>
          <w:szCs w:val="20"/>
          <w:i w:val="1"/>
          <w:iCs w:val="1"/>
          <w:color w:val="3E3935"/>
        </w:rPr>
        <w:t xml:space="preserve"> Terms and Conditions, </w:t>
      </w:r>
      <w:r>
        <w:rPr>
          <w:rFonts w:ascii="Arial" w:cs="Arial" w:eastAsia="Arial" w:hAnsi="Arial"/>
          <w:sz w:val="20"/>
          <w:szCs w:val="20"/>
          <w:color w:val="3E3935"/>
        </w:rPr>
        <w:t>up to and</w:t>
      </w:r>
      <w:r>
        <w:rPr>
          <w:rFonts w:ascii="Arial" w:cs="Arial" w:eastAsia="Arial" w:hAnsi="Arial"/>
          <w:sz w:val="20"/>
          <w:szCs w:val="20"/>
          <w:i w:val="1"/>
          <w:iCs w:val="1"/>
          <w:color w:val="3E3935"/>
        </w:rPr>
        <w:t xml:space="preserve"> </w:t>
      </w:r>
      <w:r>
        <w:rPr>
          <w:rFonts w:ascii="Arial" w:cs="Arial" w:eastAsia="Arial" w:hAnsi="Arial"/>
          <w:sz w:val="20"/>
          <w:szCs w:val="20"/>
          <w:color w:val="3E3935"/>
        </w:rPr>
        <w:t>including the termination of business relationships. GM also requires employees who are frequently at supplier facilities to undertake annual training about identifying child and forced labor and provides external training to improve supplier operations and practices.</w:t>
      </w:r>
    </w:p>
    <w:p>
      <w:pPr>
        <w:spacing w:after="0" w:line="10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Understanding the importance of human rights and sustainability across global supply chains, GM has taken steps to enhance our understanding of, and improve accountability and transparency in, the global supply of certain key minerals (including cobalt) through work with third-party organizations. For example, in November 2021, GM announced that it had joined the Initiative for Responsible Mining Assurance. GM also has established contractual relationships with mines and suppliers closer to the origination point of certain minerals to increase supply chain visibility.</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i w:val="1"/>
          <w:iCs w:val="1"/>
          <w:color w:val="3E3935"/>
        </w:rPr>
        <w:t>The requested report is unnecessary because GM already follows robust and transparent reporting practices.</w:t>
      </w:r>
    </w:p>
    <w:p>
      <w:pPr>
        <w:spacing w:after="0" w:line="6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 xml:space="preserve">GM’s approach to supply chain governance, human rights, and compliance are addressed in our annual </w:t>
      </w:r>
      <w:r>
        <w:rPr>
          <w:rFonts w:ascii="Arial" w:cs="Arial" w:eastAsia="Arial" w:hAnsi="Arial"/>
          <w:sz w:val="20"/>
          <w:szCs w:val="20"/>
          <w:i w:val="1"/>
          <w:iCs w:val="1"/>
          <w:color w:val="3E3935"/>
        </w:rPr>
        <w:t>Sustainability</w:t>
      </w:r>
      <w:r>
        <w:rPr>
          <w:rFonts w:ascii="Arial" w:cs="Arial" w:eastAsia="Arial" w:hAnsi="Arial"/>
          <w:sz w:val="20"/>
          <w:szCs w:val="20"/>
          <w:color w:val="3E3935"/>
        </w:rPr>
        <w:t xml:space="preserve"> </w:t>
      </w:r>
      <w:r>
        <w:rPr>
          <w:rFonts w:ascii="Arial" w:cs="Arial" w:eastAsia="Arial" w:hAnsi="Arial"/>
          <w:sz w:val="20"/>
          <w:szCs w:val="20"/>
          <w:i w:val="1"/>
          <w:iCs w:val="1"/>
          <w:color w:val="3E3935"/>
        </w:rPr>
        <w:t>Report</w:t>
      </w:r>
      <w:r>
        <w:rPr>
          <w:rFonts w:ascii="Arial" w:cs="Arial" w:eastAsia="Arial" w:hAnsi="Arial"/>
          <w:sz w:val="20"/>
          <w:szCs w:val="20"/>
          <w:color w:val="3E3935"/>
        </w:rPr>
        <w:t>, which is available at</w:t>
      </w:r>
      <w:r>
        <w:rPr>
          <w:rFonts w:ascii="Arial" w:cs="Arial" w:eastAsia="Arial" w:hAnsi="Arial"/>
          <w:sz w:val="20"/>
          <w:szCs w:val="20"/>
          <w:i w:val="1"/>
          <w:iCs w:val="1"/>
          <w:color w:val="3E3935"/>
        </w:rPr>
        <w:t xml:space="preserve"> </w:t>
      </w:r>
      <w:r>
        <w:rPr>
          <w:rFonts w:ascii="Arial" w:cs="Arial" w:eastAsia="Arial" w:hAnsi="Arial"/>
          <w:sz w:val="20"/>
          <w:szCs w:val="20"/>
          <w:i w:val="1"/>
          <w:iCs w:val="1"/>
          <w:color w:val="00C1DE"/>
        </w:rPr>
        <w:t>gmsustainability.com</w:t>
      </w:r>
      <w:r>
        <w:rPr>
          <w:rFonts w:ascii="Arial" w:cs="Arial" w:eastAsia="Arial" w:hAnsi="Arial"/>
          <w:sz w:val="20"/>
          <w:szCs w:val="20"/>
          <w:color w:val="3E3935"/>
        </w:rPr>
        <w:t>.</w:t>
      </w:r>
      <w:r>
        <w:rPr>
          <w:rFonts w:ascii="Arial" w:cs="Arial" w:eastAsia="Arial" w:hAnsi="Arial"/>
          <w:sz w:val="20"/>
          <w:szCs w:val="20"/>
          <w:i w:val="1"/>
          <w:iCs w:val="1"/>
          <w:color w:val="3E3935"/>
        </w:rPr>
        <w:t xml:space="preserve"> </w:t>
      </w:r>
      <w:r>
        <w:rPr>
          <w:rFonts w:ascii="Arial" w:cs="Arial" w:eastAsia="Arial" w:hAnsi="Arial"/>
          <w:sz w:val="20"/>
          <w:szCs w:val="20"/>
          <w:color w:val="3E3935"/>
        </w:rPr>
        <w:t>Specifically, GM makes disclosures aligned with relevant Global Reporting Initiatives and Sustainability Accounting Standards Board standards. Furthermore, GM engages regularly with shareholders and other stakeholders on these and other critical ESG issues. GM will continue to provide robust public disclosure on its actions and engagement on human rights matters, including our expanding engagement with providers of raw materials throughout our supply chain.</w:t>
      </w:r>
    </w:p>
    <w:p>
      <w:pPr>
        <w:spacing w:after="0" w:line="106"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71CE"/>
        </w:rPr>
        <w:t xml:space="preserve"> this shareholder proposal.</w:t>
      </w:r>
    </w:p>
    <w:p>
      <w:pPr>
        <w:spacing w:after="0" w:line="1657"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21"/>
          <w:szCs w:val="21"/>
          <w:b w:val="1"/>
          <w:bCs w:val="1"/>
          <w:i w:val="1"/>
          <w:iCs w:val="1"/>
          <w:color w:val="3E3935"/>
        </w:rPr>
        <w:t>GM’s practices advance GM’s commitment to a</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3E3935"/>
        </w:rPr>
        <w:t>sustainable and ethical EV supply chain.</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We survey all active suppliers within GM’s SupplyPower</w:t>
      </w:r>
    </w:p>
    <w:p>
      <w:pPr>
        <w:ind w:left="160"/>
        <w:spacing w:after="0" w:line="225" w:lineRule="auto"/>
        <w:rPr>
          <w:sz w:val="20"/>
          <w:szCs w:val="20"/>
          <w:color w:val="auto"/>
        </w:rPr>
      </w:pPr>
      <w:r>
        <w:rPr>
          <w:rFonts w:ascii="Arial" w:cs="Arial" w:eastAsia="Arial" w:hAnsi="Arial"/>
          <w:sz w:val="20"/>
          <w:szCs w:val="20"/>
          <w:color w:val="3E3935"/>
        </w:rPr>
        <w:t>portal annually and ask them to confirm that they comply</w:t>
      </w:r>
    </w:p>
    <w:p>
      <w:pPr>
        <w:ind w:left="160"/>
        <w:spacing w:after="0" w:line="223" w:lineRule="auto"/>
        <w:rPr>
          <w:sz w:val="20"/>
          <w:szCs w:val="20"/>
          <w:color w:val="auto"/>
        </w:rPr>
      </w:pPr>
      <w:r>
        <w:rPr>
          <w:rFonts w:ascii="Arial" w:cs="Arial" w:eastAsia="Arial" w:hAnsi="Arial"/>
          <w:sz w:val="20"/>
          <w:szCs w:val="20"/>
          <w:color w:val="3E3935"/>
        </w:rPr>
        <w:t xml:space="preserve">with and cascade GM’s </w:t>
      </w:r>
      <w:r>
        <w:rPr>
          <w:rFonts w:ascii="Arial" w:cs="Arial" w:eastAsia="Arial" w:hAnsi="Arial"/>
          <w:sz w:val="20"/>
          <w:szCs w:val="20"/>
          <w:i w:val="1"/>
          <w:iCs w:val="1"/>
          <w:color w:val="3E3935"/>
        </w:rPr>
        <w:t>Supplier Code of Conduct</w:t>
      </w:r>
      <w:r>
        <w:rPr>
          <w:rFonts w:ascii="Arial" w:cs="Arial" w:eastAsia="Arial" w:hAnsi="Arial"/>
          <w:sz w:val="20"/>
          <w:szCs w:val="20"/>
          <w:color w:val="3E3935"/>
        </w:rPr>
        <w:t xml:space="preserve"> or an</w:t>
      </w:r>
    </w:p>
    <w:p>
      <w:pPr>
        <w:ind w:left="160"/>
        <w:spacing w:after="0" w:line="224" w:lineRule="auto"/>
        <w:rPr>
          <w:sz w:val="20"/>
          <w:szCs w:val="20"/>
          <w:color w:val="auto"/>
        </w:rPr>
      </w:pPr>
      <w:r>
        <w:rPr>
          <w:rFonts w:ascii="Arial" w:cs="Arial" w:eastAsia="Arial" w:hAnsi="Arial"/>
          <w:sz w:val="20"/>
          <w:szCs w:val="20"/>
          <w:color w:val="3E3935"/>
        </w:rPr>
        <w:t>equivalent code of conduct throughout their own supply</w:t>
      </w:r>
    </w:p>
    <w:p>
      <w:pPr>
        <w:ind w:left="160"/>
        <w:spacing w:after="0" w:line="223" w:lineRule="auto"/>
        <w:tabs>
          <w:tab w:leader="none" w:pos="940" w:val="left"/>
          <w:tab w:leader="none" w:pos="1440" w:val="left"/>
          <w:tab w:leader="none" w:pos="1760" w:val="left"/>
          <w:tab w:leader="none" w:pos="2840" w:val="left"/>
          <w:tab w:leader="none" w:pos="3180" w:val="left"/>
          <w:tab w:leader="none" w:pos="4340" w:val="left"/>
          <w:tab w:leader="none" w:pos="5040" w:val="left"/>
        </w:tabs>
        <w:rPr>
          <w:sz w:val="20"/>
          <w:szCs w:val="20"/>
          <w:color w:val="auto"/>
        </w:rPr>
      </w:pPr>
      <w:r>
        <w:rPr>
          <w:rFonts w:ascii="Arial" w:cs="Arial" w:eastAsia="Arial" w:hAnsi="Arial"/>
          <w:sz w:val="20"/>
          <w:szCs w:val="20"/>
          <w:color w:val="3E3935"/>
        </w:rPr>
        <w:t>chains.</w:t>
        <w:tab/>
        <w:t>GM</w:t>
        <w:tab/>
        <w:t>is</w:t>
        <w:tab/>
        <w:t>committed</w:t>
        <w:tab/>
        <w:t>to</w:t>
        <w:tab/>
        <w:t>responding</w:t>
        <w:tab/>
        <w:t>swiftly</w:t>
        <w:tab/>
        <w:t>and</w:t>
      </w:r>
    </w:p>
    <w:p>
      <w:pPr>
        <w:ind w:left="160"/>
        <w:spacing w:after="0" w:line="223" w:lineRule="auto"/>
        <w:rPr>
          <w:sz w:val="20"/>
          <w:szCs w:val="20"/>
          <w:color w:val="auto"/>
        </w:rPr>
      </w:pPr>
      <w:r>
        <w:rPr>
          <w:rFonts w:ascii="Arial" w:cs="Arial" w:eastAsia="Arial" w:hAnsi="Arial"/>
          <w:sz w:val="20"/>
          <w:szCs w:val="20"/>
          <w:color w:val="3E3935"/>
        </w:rPr>
        <w:t>appropriately  to  violations  or  alleged  violations  of  our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3E3935"/>
        </w:rPr>
        <w:t>Supplier</w:t>
      </w:r>
    </w:p>
    <w:p>
      <w:pPr>
        <w:spacing w:after="0" w:line="259"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0071CE"/>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71CE"/>
        </w:rPr>
        <w:t>GENERAL INFORMATION ABOUT THE ANNUAL MEETING</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Voting and Meeting Information</w:t>
      </w:r>
    </w:p>
    <w:p>
      <w:pPr>
        <w:spacing w:after="0" w:line="224" w:lineRule="exact"/>
        <w:rPr>
          <w:sz w:val="20"/>
          <w:szCs w:val="20"/>
          <w:color w:val="auto"/>
        </w:rPr>
      </w:pPr>
    </w:p>
    <w:p>
      <w:pPr>
        <w:ind w:left="700" w:hanging="533"/>
        <w:spacing w:after="0"/>
        <w:tabs>
          <w:tab w:leader="none" w:pos="700" w:val="left"/>
        </w:tabs>
        <w:numPr>
          <w:ilvl w:val="0"/>
          <w:numId w:val="147"/>
        </w:numPr>
        <w:rPr>
          <w:rFonts w:ascii="Times New Roman" w:cs="Times New Roman" w:eastAsia="Times New Roman" w:hAnsi="Times New Roman"/>
          <w:sz w:val="21"/>
          <w:szCs w:val="21"/>
          <w:color w:val="0071CE"/>
        </w:rPr>
      </w:pPr>
      <w:r>
        <w:rPr>
          <w:rFonts w:ascii="Arial" w:cs="Arial" w:eastAsia="Arial" w:hAnsi="Arial"/>
          <w:sz w:val="25"/>
          <w:szCs w:val="25"/>
          <w:color w:val="3E3935"/>
        </w:rPr>
        <w:t>Board Recommendations and Vote Requirements*</w:t>
      </w:r>
    </w:p>
    <w:p>
      <w:pPr>
        <w:spacing w:after="0" w:line="223" w:lineRule="exact"/>
        <w:rPr>
          <w:sz w:val="20"/>
          <w:szCs w:val="20"/>
          <w:color w:val="auto"/>
        </w:rPr>
      </w:pPr>
    </w:p>
    <w:tbl>
      <w:tblPr>
        <w:tblLayout w:type="fixed"/>
        <w:tblInd w:w="170" w:type="dxa"/>
        <w:tblCellMar>
          <w:top w:w="0" w:type="dxa"/>
          <w:left w:w="0" w:type="dxa"/>
          <w:bottom w:w="0" w:type="dxa"/>
          <w:right w:w="0" w:type="dxa"/>
        </w:tblCellMar>
      </w:tblPr>
      <w:tr>
        <w:trPr>
          <w:trHeight w:val="200"/>
        </w:trPr>
        <w:tc>
          <w:tcPr>
            <w:tcW w:w="860" w:type="dxa"/>
            <w:vAlign w:val="bottom"/>
            <w:tcBorders>
              <w:top w:val="single" w:sz="8" w:color="00C1DE"/>
              <w:left w:val="single" w:sz="8" w:color="00C1DE"/>
            </w:tcBorders>
          </w:tcPr>
          <w:p>
            <w:pPr>
              <w:spacing w:after="0"/>
              <w:rPr>
                <w:sz w:val="17"/>
                <w:szCs w:val="17"/>
                <w:color w:val="auto"/>
              </w:rPr>
            </w:pPr>
          </w:p>
        </w:tc>
        <w:tc>
          <w:tcPr>
            <w:tcW w:w="2980" w:type="dxa"/>
            <w:vAlign w:val="bottom"/>
            <w:tcBorders>
              <w:top w:val="single" w:sz="8" w:color="00C1DE"/>
            </w:tcBorders>
          </w:tcPr>
          <w:p>
            <w:pPr>
              <w:spacing w:after="0"/>
              <w:rPr>
                <w:sz w:val="17"/>
                <w:szCs w:val="17"/>
                <w:color w:val="auto"/>
              </w:rPr>
            </w:pPr>
          </w:p>
        </w:tc>
        <w:tc>
          <w:tcPr>
            <w:tcW w:w="1600" w:type="dxa"/>
            <w:vAlign w:val="bottom"/>
            <w:tcBorders>
              <w:top w:val="single" w:sz="8" w:color="00C1DE"/>
            </w:tcBorders>
          </w:tcPr>
          <w:p>
            <w:pPr>
              <w:spacing w:after="0"/>
              <w:rPr>
                <w:sz w:val="17"/>
                <w:szCs w:val="17"/>
                <w:color w:val="auto"/>
              </w:rPr>
            </w:pPr>
          </w:p>
        </w:tc>
        <w:tc>
          <w:tcPr>
            <w:tcW w:w="3020" w:type="dxa"/>
            <w:vAlign w:val="bottom"/>
            <w:tcBorders>
              <w:top w:val="single" w:sz="8" w:color="00C1DE"/>
            </w:tcBorders>
          </w:tcPr>
          <w:p>
            <w:pPr>
              <w:spacing w:after="0"/>
              <w:rPr>
                <w:sz w:val="17"/>
                <w:szCs w:val="17"/>
                <w:color w:val="auto"/>
              </w:rPr>
            </w:pPr>
          </w:p>
        </w:tc>
        <w:tc>
          <w:tcPr>
            <w:tcW w:w="1160" w:type="dxa"/>
            <w:vAlign w:val="bottom"/>
            <w:tcBorders>
              <w:top w:val="single" w:sz="8" w:color="00C1DE"/>
            </w:tcBorders>
          </w:tcPr>
          <w:p>
            <w:pPr>
              <w:spacing w:after="0"/>
              <w:rPr>
                <w:sz w:val="17"/>
                <w:szCs w:val="17"/>
                <w:color w:val="auto"/>
              </w:rPr>
            </w:pPr>
          </w:p>
        </w:tc>
        <w:tc>
          <w:tcPr>
            <w:tcW w:w="1200" w:type="dxa"/>
            <w:vAlign w:val="bottom"/>
            <w:tcBorders>
              <w:top w:val="single" w:sz="8" w:color="00C1DE"/>
              <w:right w:val="single" w:sz="8" w:color="00C1DE"/>
            </w:tcBorders>
          </w:tcPr>
          <w:p>
            <w:pPr>
              <w:jc w:val="center"/>
              <w:spacing w:after="0"/>
              <w:rPr>
                <w:sz w:val="20"/>
                <w:szCs w:val="20"/>
                <w:color w:val="auto"/>
              </w:rPr>
            </w:pPr>
            <w:r>
              <w:rPr>
                <w:rFonts w:ascii="Arial" w:cs="Arial" w:eastAsia="Arial" w:hAnsi="Arial"/>
                <w:sz w:val="16"/>
                <w:szCs w:val="16"/>
                <w:b w:val="1"/>
                <w:bCs w:val="1"/>
                <w:color w:val="00C1DE"/>
                <w:w w:val="99"/>
              </w:rPr>
              <w:t>Effect of</w:t>
            </w:r>
          </w:p>
        </w:tc>
        <w:tc>
          <w:tcPr>
            <w:tcW w:w="0" w:type="dxa"/>
            <w:vAlign w:val="bottom"/>
          </w:tcPr>
          <w:p>
            <w:pPr>
              <w:spacing w:after="0"/>
              <w:rPr>
                <w:sz w:val="1"/>
                <w:szCs w:val="1"/>
                <w:color w:val="auto"/>
              </w:rPr>
            </w:pPr>
          </w:p>
        </w:tc>
      </w:tr>
      <w:tr>
        <w:trPr>
          <w:trHeight w:val="187"/>
        </w:trPr>
        <w:tc>
          <w:tcPr>
            <w:tcW w:w="860" w:type="dxa"/>
            <w:vAlign w:val="bottom"/>
            <w:tcBorders>
              <w:left w:val="single" w:sz="8" w:color="00C1DE"/>
            </w:tcBorders>
          </w:tcPr>
          <w:p>
            <w:pPr>
              <w:ind w:left="200"/>
              <w:spacing w:after="0"/>
              <w:rPr>
                <w:sz w:val="20"/>
                <w:szCs w:val="20"/>
                <w:color w:val="auto"/>
              </w:rPr>
            </w:pPr>
            <w:r>
              <w:rPr>
                <w:rFonts w:ascii="Arial" w:cs="Arial" w:eastAsia="Arial" w:hAnsi="Arial"/>
                <w:sz w:val="16"/>
                <w:szCs w:val="16"/>
                <w:b w:val="1"/>
                <w:bCs w:val="1"/>
                <w:color w:val="00C1DE"/>
              </w:rPr>
              <w:t>Agenda</w:t>
            </w:r>
          </w:p>
        </w:tc>
        <w:tc>
          <w:tcPr>
            <w:tcW w:w="29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0C1DE"/>
                <w:w w:val="99"/>
              </w:rPr>
              <w:t>Board</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00C1DE"/>
                <w:w w:val="99"/>
              </w:rPr>
              <w:t>Vote Requirement for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00C1DE"/>
                <w:w w:val="99"/>
              </w:rPr>
              <w:t>Effect of</w:t>
            </w:r>
          </w:p>
        </w:tc>
        <w:tc>
          <w:tcPr>
            <w:tcW w:w="1200" w:type="dxa"/>
            <w:vAlign w:val="bottom"/>
            <w:tcBorders>
              <w:right w:val="single" w:sz="8" w:color="00C1DE"/>
            </w:tcBorders>
          </w:tcPr>
          <w:p>
            <w:pPr>
              <w:jc w:val="center"/>
              <w:spacing w:after="0"/>
              <w:rPr>
                <w:sz w:val="20"/>
                <w:szCs w:val="20"/>
                <w:color w:val="auto"/>
              </w:rPr>
            </w:pPr>
            <w:r>
              <w:rPr>
                <w:rFonts w:ascii="Arial" w:cs="Arial" w:eastAsia="Arial" w:hAnsi="Arial"/>
                <w:sz w:val="16"/>
                <w:szCs w:val="16"/>
                <w:b w:val="1"/>
                <w:bCs w:val="1"/>
                <w:color w:val="00C1DE"/>
              </w:rPr>
              <w:t>Broker</w:t>
            </w:r>
          </w:p>
        </w:tc>
        <w:tc>
          <w:tcPr>
            <w:tcW w:w="0" w:type="dxa"/>
            <w:vAlign w:val="bottom"/>
          </w:tcPr>
          <w:p>
            <w:pPr>
              <w:spacing w:after="0"/>
              <w:rPr>
                <w:sz w:val="1"/>
                <w:szCs w:val="1"/>
                <w:color w:val="auto"/>
              </w:rPr>
            </w:pPr>
          </w:p>
        </w:tc>
      </w:tr>
      <w:tr>
        <w:trPr>
          <w:trHeight w:val="238"/>
        </w:trPr>
        <w:tc>
          <w:tcPr>
            <w:tcW w:w="860" w:type="dxa"/>
            <w:vAlign w:val="bottom"/>
            <w:tcBorders>
              <w:left w:val="single" w:sz="8" w:color="00C1DE"/>
              <w:bottom w:val="single" w:sz="8" w:color="00C1DE"/>
            </w:tcBorders>
          </w:tcPr>
          <w:p>
            <w:pPr>
              <w:jc w:val="center"/>
              <w:ind w:left="100"/>
              <w:spacing w:after="0"/>
              <w:rPr>
                <w:sz w:val="20"/>
                <w:szCs w:val="20"/>
                <w:color w:val="auto"/>
              </w:rPr>
            </w:pPr>
            <w:r>
              <w:rPr>
                <w:rFonts w:ascii="Arial" w:cs="Arial" w:eastAsia="Arial" w:hAnsi="Arial"/>
                <w:sz w:val="16"/>
                <w:szCs w:val="16"/>
                <w:b w:val="1"/>
                <w:bCs w:val="1"/>
                <w:color w:val="00C1DE"/>
                <w:w w:val="97"/>
              </w:rPr>
              <w:t>Item</w:t>
            </w:r>
          </w:p>
        </w:tc>
        <w:tc>
          <w:tcPr>
            <w:tcW w:w="2980" w:type="dxa"/>
            <w:vAlign w:val="bottom"/>
            <w:tcBorders>
              <w:bottom w:val="single" w:sz="8" w:color="00C1DE"/>
            </w:tcBorders>
          </w:tcPr>
          <w:p>
            <w:pPr>
              <w:ind w:left="60"/>
              <w:spacing w:after="0"/>
              <w:rPr>
                <w:sz w:val="20"/>
                <w:szCs w:val="20"/>
                <w:color w:val="auto"/>
              </w:rPr>
            </w:pPr>
            <w:r>
              <w:rPr>
                <w:rFonts w:ascii="Arial" w:cs="Arial" w:eastAsia="Arial" w:hAnsi="Arial"/>
                <w:sz w:val="16"/>
                <w:szCs w:val="16"/>
                <w:b w:val="1"/>
                <w:bCs w:val="1"/>
                <w:color w:val="00C1DE"/>
              </w:rPr>
              <w:t>Description</w:t>
            </w:r>
          </w:p>
        </w:tc>
        <w:tc>
          <w:tcPr>
            <w:tcW w:w="1600" w:type="dxa"/>
            <w:vAlign w:val="bottom"/>
            <w:tcBorders>
              <w:bottom w:val="single" w:sz="8" w:color="00C1DE"/>
            </w:tcBorders>
          </w:tcPr>
          <w:p>
            <w:pPr>
              <w:jc w:val="center"/>
              <w:spacing w:after="0"/>
              <w:rPr>
                <w:sz w:val="20"/>
                <w:szCs w:val="20"/>
                <w:color w:val="auto"/>
              </w:rPr>
            </w:pPr>
            <w:r>
              <w:rPr>
                <w:rFonts w:ascii="Arial" w:cs="Arial" w:eastAsia="Arial" w:hAnsi="Arial"/>
                <w:sz w:val="16"/>
                <w:szCs w:val="16"/>
                <w:b w:val="1"/>
                <w:bCs w:val="1"/>
                <w:color w:val="00C1DE"/>
                <w:w w:val="99"/>
              </w:rPr>
              <w:t>Recommendation</w:t>
            </w:r>
          </w:p>
        </w:tc>
        <w:tc>
          <w:tcPr>
            <w:tcW w:w="3020" w:type="dxa"/>
            <w:vAlign w:val="bottom"/>
            <w:tcBorders>
              <w:bottom w:val="single" w:sz="8" w:color="00C1DE"/>
            </w:tcBorders>
          </w:tcPr>
          <w:p>
            <w:pPr>
              <w:jc w:val="center"/>
              <w:spacing w:after="0"/>
              <w:rPr>
                <w:sz w:val="20"/>
                <w:szCs w:val="20"/>
                <w:color w:val="auto"/>
              </w:rPr>
            </w:pPr>
            <w:r>
              <w:rPr>
                <w:rFonts w:ascii="Arial" w:cs="Arial" w:eastAsia="Arial" w:hAnsi="Arial"/>
                <w:sz w:val="16"/>
                <w:szCs w:val="16"/>
                <w:b w:val="1"/>
                <w:bCs w:val="1"/>
                <w:color w:val="00C1DE"/>
                <w:w w:val="97"/>
              </w:rPr>
              <w:t>Approval</w:t>
            </w:r>
          </w:p>
        </w:tc>
        <w:tc>
          <w:tcPr>
            <w:tcW w:w="116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Abstentions</w:t>
            </w:r>
          </w:p>
        </w:tc>
        <w:tc>
          <w:tcPr>
            <w:tcW w:w="1200" w:type="dxa"/>
            <w:vAlign w:val="bottom"/>
            <w:tcBorders>
              <w:bottom w:val="single" w:sz="8" w:color="00C1DE"/>
              <w:right w:val="single" w:sz="8" w:color="00C1DE"/>
            </w:tcBorders>
          </w:tcPr>
          <w:p>
            <w:pPr>
              <w:jc w:val="center"/>
              <w:spacing w:after="0"/>
              <w:rPr>
                <w:sz w:val="20"/>
                <w:szCs w:val="20"/>
                <w:color w:val="auto"/>
              </w:rPr>
            </w:pPr>
            <w:r>
              <w:rPr>
                <w:rFonts w:ascii="Arial" w:cs="Arial" w:eastAsia="Arial" w:hAnsi="Arial"/>
                <w:sz w:val="16"/>
                <w:szCs w:val="16"/>
                <w:b w:val="1"/>
                <w:bCs w:val="1"/>
                <w:color w:val="00C1DE"/>
                <w:w w:val="97"/>
              </w:rPr>
              <w:t>Non-Votes</w:t>
            </w:r>
          </w:p>
        </w:tc>
        <w:tc>
          <w:tcPr>
            <w:tcW w:w="0" w:type="dxa"/>
            <w:vAlign w:val="bottom"/>
          </w:tcPr>
          <w:p>
            <w:pPr>
              <w:spacing w:after="0"/>
              <w:rPr>
                <w:sz w:val="1"/>
                <w:szCs w:val="1"/>
                <w:color w:val="auto"/>
              </w:rPr>
            </w:pPr>
          </w:p>
        </w:tc>
      </w:tr>
      <w:tr>
        <w:trPr>
          <w:trHeight w:val="223"/>
        </w:trPr>
        <w:tc>
          <w:tcPr>
            <w:tcW w:w="860" w:type="dxa"/>
            <w:vAlign w:val="bottom"/>
            <w:tcBorders>
              <w:left w:val="single" w:sz="8" w:color="00C1DE"/>
            </w:tcBorders>
          </w:tcPr>
          <w:p>
            <w:pPr>
              <w:spacing w:after="0"/>
              <w:rPr>
                <w:sz w:val="19"/>
                <w:szCs w:val="19"/>
                <w:color w:val="auto"/>
              </w:rPr>
            </w:pPr>
          </w:p>
        </w:tc>
        <w:tc>
          <w:tcPr>
            <w:tcW w:w="2980" w:type="dxa"/>
            <w:vAlign w:val="bottom"/>
            <w:tcBorders>
              <w:right w:val="single" w:sz="8" w:color="3E3935"/>
            </w:tcBorders>
          </w:tcPr>
          <w:p>
            <w:pPr>
              <w:spacing w:after="0"/>
              <w:rPr>
                <w:sz w:val="19"/>
                <w:szCs w:val="19"/>
                <w:color w:val="auto"/>
              </w:rPr>
            </w:pPr>
          </w:p>
        </w:tc>
        <w:tc>
          <w:tcPr>
            <w:tcW w:w="160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rPr>
              <w:t>FOR</w:t>
            </w:r>
          </w:p>
        </w:tc>
        <w:tc>
          <w:tcPr>
            <w:tcW w:w="3020" w:type="dxa"/>
            <w:vAlign w:val="bottom"/>
            <w:tcBorders>
              <w:right w:val="single" w:sz="8" w:color="3E3935"/>
            </w:tcBorders>
          </w:tcPr>
          <w:p>
            <w:pPr>
              <w:spacing w:after="0"/>
              <w:rPr>
                <w:sz w:val="19"/>
                <w:szCs w:val="19"/>
                <w:color w:val="auto"/>
              </w:rPr>
            </w:pPr>
          </w:p>
        </w:tc>
        <w:tc>
          <w:tcPr>
            <w:tcW w:w="1160" w:type="dxa"/>
            <w:vAlign w:val="bottom"/>
            <w:tcBorders>
              <w:right w:val="single" w:sz="8" w:color="3E3935"/>
            </w:tcBorders>
          </w:tcPr>
          <w:p>
            <w:pPr>
              <w:spacing w:after="0"/>
              <w:rPr>
                <w:sz w:val="19"/>
                <w:szCs w:val="19"/>
                <w:color w:val="auto"/>
              </w:rPr>
            </w:pPr>
          </w:p>
        </w:tc>
        <w:tc>
          <w:tcPr>
            <w:tcW w:w="1200" w:type="dxa"/>
            <w:vAlign w:val="bottom"/>
            <w:tcBorders>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 w:type="dxa"/>
            <w:vAlign w:val="bottom"/>
            <w:tcBorders>
              <w:left w:val="single" w:sz="8" w:color="00C1DE"/>
            </w:tcBorders>
          </w:tcPr>
          <w:p>
            <w:pPr>
              <w:jc w:val="center"/>
              <w:ind w:left="140"/>
              <w:spacing w:after="0"/>
              <w:rPr>
                <w:sz w:val="20"/>
                <w:szCs w:val="20"/>
                <w:color w:val="auto"/>
              </w:rPr>
            </w:pPr>
            <w:r>
              <w:rPr>
                <w:rFonts w:ascii="Arial" w:cs="Arial" w:eastAsia="Arial" w:hAnsi="Arial"/>
                <w:sz w:val="16"/>
                <w:szCs w:val="16"/>
                <w:color w:val="3E3935"/>
                <w:w w:val="89"/>
              </w:rPr>
              <w:t>1</w:t>
            </w: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Annual Election of Directors</w:t>
            </w:r>
          </w:p>
        </w:tc>
        <w:tc>
          <w:tcPr>
            <w:tcW w:w="160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w w:val="99"/>
              </w:rPr>
              <w:t>each director</w:t>
            </w:r>
          </w:p>
        </w:tc>
        <w:tc>
          <w:tcPr>
            <w:tcW w:w="30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Majority of votes cast</w:t>
            </w:r>
          </w:p>
        </w:tc>
        <w:tc>
          <w:tcPr>
            <w:tcW w:w="116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w w:val="99"/>
              </w:rPr>
              <w:t>No effect</w:t>
            </w:r>
          </w:p>
        </w:tc>
        <w:tc>
          <w:tcPr>
            <w:tcW w:w="1200" w:type="dxa"/>
            <w:vAlign w:val="bottom"/>
            <w:tcBorders>
              <w:right w:val="single" w:sz="8" w:color="00C1DE"/>
            </w:tcBorders>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211"/>
        </w:trPr>
        <w:tc>
          <w:tcPr>
            <w:tcW w:w="860" w:type="dxa"/>
            <w:vAlign w:val="bottom"/>
            <w:tcBorders>
              <w:left w:val="single" w:sz="8" w:color="00C1DE"/>
            </w:tcBorders>
          </w:tcPr>
          <w:p>
            <w:pPr>
              <w:spacing w:after="0"/>
              <w:rPr>
                <w:sz w:val="18"/>
                <w:szCs w:val="18"/>
                <w:color w:val="auto"/>
              </w:rPr>
            </w:pPr>
          </w:p>
        </w:tc>
        <w:tc>
          <w:tcPr>
            <w:tcW w:w="2980" w:type="dxa"/>
            <w:vAlign w:val="bottom"/>
            <w:tcBorders>
              <w:right w:val="single" w:sz="8" w:color="3E3935"/>
            </w:tcBorders>
          </w:tcPr>
          <w:p>
            <w:pPr>
              <w:spacing w:after="0"/>
              <w:rPr>
                <w:sz w:val="18"/>
                <w:szCs w:val="18"/>
                <w:color w:val="auto"/>
              </w:rPr>
            </w:pPr>
          </w:p>
        </w:tc>
        <w:tc>
          <w:tcPr>
            <w:tcW w:w="160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rPr>
              <w:t>nominee</w:t>
            </w:r>
          </w:p>
        </w:tc>
        <w:tc>
          <w:tcPr>
            <w:tcW w:w="3020" w:type="dxa"/>
            <w:vAlign w:val="bottom"/>
            <w:tcBorders>
              <w:right w:val="single" w:sz="8" w:color="3E3935"/>
            </w:tcBorders>
          </w:tcPr>
          <w:p>
            <w:pPr>
              <w:spacing w:after="0"/>
              <w:rPr>
                <w:sz w:val="18"/>
                <w:szCs w:val="18"/>
                <w:color w:val="auto"/>
              </w:rPr>
            </w:pPr>
          </w:p>
        </w:tc>
        <w:tc>
          <w:tcPr>
            <w:tcW w:w="1160" w:type="dxa"/>
            <w:vAlign w:val="bottom"/>
            <w:tcBorders>
              <w:right w:val="single" w:sz="8" w:color="3E3935"/>
            </w:tcBorders>
          </w:tcPr>
          <w:p>
            <w:pPr>
              <w:spacing w:after="0"/>
              <w:rPr>
                <w:sz w:val="18"/>
                <w:szCs w:val="18"/>
                <w:color w:val="auto"/>
              </w:rPr>
            </w:pPr>
          </w:p>
        </w:tc>
        <w:tc>
          <w:tcPr>
            <w:tcW w:w="120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860" w:type="dxa"/>
            <w:vAlign w:val="bottom"/>
            <w:tcBorders>
              <w:left w:val="single" w:sz="8" w:color="00C1DE"/>
              <w:bottom w:val="single" w:sz="8" w:color="3E3935"/>
            </w:tcBorders>
          </w:tcPr>
          <w:p>
            <w:pPr>
              <w:spacing w:after="0"/>
              <w:rPr>
                <w:sz w:val="2"/>
                <w:szCs w:val="2"/>
                <w:color w:val="auto"/>
              </w:rPr>
            </w:pPr>
          </w:p>
        </w:tc>
        <w:tc>
          <w:tcPr>
            <w:tcW w:w="2980" w:type="dxa"/>
            <w:vAlign w:val="bottom"/>
            <w:tcBorders>
              <w:bottom w:val="single" w:sz="8" w:color="3E3935"/>
              <w:right w:val="single" w:sz="8" w:color="3E3935"/>
            </w:tcBorders>
          </w:tcPr>
          <w:p>
            <w:pPr>
              <w:spacing w:after="0"/>
              <w:rPr>
                <w:sz w:val="2"/>
                <w:szCs w:val="2"/>
                <w:color w:val="auto"/>
              </w:rPr>
            </w:pPr>
          </w:p>
        </w:tc>
        <w:tc>
          <w:tcPr>
            <w:tcW w:w="1600" w:type="dxa"/>
            <w:vAlign w:val="bottom"/>
            <w:tcBorders>
              <w:bottom w:val="single" w:sz="8" w:color="3E3935"/>
              <w:right w:val="single" w:sz="8" w:color="3E3935"/>
            </w:tcBorders>
          </w:tcPr>
          <w:p>
            <w:pPr>
              <w:spacing w:after="0"/>
              <w:rPr>
                <w:sz w:val="2"/>
                <w:szCs w:val="2"/>
                <w:color w:val="auto"/>
              </w:rPr>
            </w:pPr>
          </w:p>
        </w:tc>
        <w:tc>
          <w:tcPr>
            <w:tcW w:w="3020" w:type="dxa"/>
            <w:vAlign w:val="bottom"/>
            <w:tcBorders>
              <w:bottom w:val="single" w:sz="8" w:color="3E3935"/>
              <w:right w:val="single" w:sz="8" w:color="3E3935"/>
            </w:tcBorders>
          </w:tcPr>
          <w:p>
            <w:pPr>
              <w:spacing w:after="0"/>
              <w:rPr>
                <w:sz w:val="2"/>
                <w:szCs w:val="2"/>
                <w:color w:val="auto"/>
              </w:rPr>
            </w:pPr>
          </w:p>
        </w:tc>
        <w:tc>
          <w:tcPr>
            <w:tcW w:w="1160" w:type="dxa"/>
            <w:vAlign w:val="bottom"/>
            <w:tcBorders>
              <w:bottom w:val="single" w:sz="8" w:color="3E3935"/>
              <w:right w:val="single" w:sz="8" w:color="3E3935"/>
            </w:tcBorders>
          </w:tcPr>
          <w:p>
            <w:pPr>
              <w:spacing w:after="0"/>
              <w:rPr>
                <w:sz w:val="2"/>
                <w:szCs w:val="2"/>
                <w:color w:val="auto"/>
              </w:rPr>
            </w:pPr>
          </w:p>
        </w:tc>
        <w:tc>
          <w:tcPr>
            <w:tcW w:w="120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60" w:type="dxa"/>
            <w:vAlign w:val="bottom"/>
            <w:tcBorders>
              <w:left w:val="single" w:sz="8" w:color="00C1DE"/>
            </w:tcBorders>
          </w:tcPr>
          <w:p>
            <w:pPr>
              <w:spacing w:after="0"/>
              <w:rPr>
                <w:sz w:val="19"/>
                <w:szCs w:val="19"/>
                <w:color w:val="auto"/>
              </w:rPr>
            </w:pP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Proposal to Approve, on an Advisory</w:t>
            </w:r>
          </w:p>
        </w:tc>
        <w:tc>
          <w:tcPr>
            <w:tcW w:w="1600" w:type="dxa"/>
            <w:vAlign w:val="bottom"/>
            <w:tcBorders>
              <w:right w:val="single" w:sz="8" w:color="3E3935"/>
            </w:tcBorders>
          </w:tcPr>
          <w:p>
            <w:pPr>
              <w:spacing w:after="0"/>
              <w:rPr>
                <w:sz w:val="19"/>
                <w:szCs w:val="19"/>
                <w:color w:val="auto"/>
              </w:rPr>
            </w:pPr>
          </w:p>
        </w:tc>
        <w:tc>
          <w:tcPr>
            <w:tcW w:w="3020" w:type="dxa"/>
            <w:vAlign w:val="bottom"/>
            <w:tcBorders>
              <w:right w:val="single" w:sz="8" w:color="3E3935"/>
            </w:tcBorders>
          </w:tcPr>
          <w:p>
            <w:pPr>
              <w:spacing w:after="0"/>
              <w:rPr>
                <w:sz w:val="19"/>
                <w:szCs w:val="19"/>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200" w:type="dxa"/>
            <w:vAlign w:val="bottom"/>
            <w:tcBorders>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2</w:t>
            </w: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Basis, Named Executive Officer</w:t>
            </w:r>
          </w:p>
        </w:tc>
        <w:tc>
          <w:tcPr>
            <w:tcW w:w="160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FOR</w:t>
            </w:r>
          </w:p>
        </w:tc>
        <w:tc>
          <w:tcPr>
            <w:tcW w:w="3020" w:type="dxa"/>
            <w:vAlign w:val="bottom"/>
            <w:tcBorders>
              <w:right w:val="single" w:sz="8" w:color="3E3935"/>
            </w:tcBorders>
          </w:tcPr>
          <w:p>
            <w:pPr>
              <w:spacing w:after="0"/>
              <w:rPr>
                <w:sz w:val="8"/>
                <w:szCs w:val="8"/>
                <w:color w:val="auto"/>
              </w:rPr>
            </w:pPr>
          </w:p>
        </w:tc>
        <w:tc>
          <w:tcPr>
            <w:tcW w:w="1160" w:type="dxa"/>
            <w:vAlign w:val="bottom"/>
            <w:tcBorders>
              <w:right w:val="single" w:sz="8" w:color="3E3935"/>
            </w:tcBorders>
            <w:vMerge w:val="continue"/>
          </w:tcPr>
          <w:p>
            <w:pPr>
              <w:spacing w:after="0"/>
              <w:rPr>
                <w:sz w:val="8"/>
                <w:szCs w:val="8"/>
                <w:color w:val="auto"/>
              </w:rPr>
            </w:pPr>
          </w:p>
        </w:tc>
        <w:tc>
          <w:tcPr>
            <w:tcW w:w="120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94"/>
        </w:trPr>
        <w:tc>
          <w:tcPr>
            <w:tcW w:w="860" w:type="dxa"/>
            <w:vAlign w:val="bottom"/>
            <w:tcBorders>
              <w:left w:val="single" w:sz="8" w:color="00C1DE"/>
            </w:tcBorders>
            <w:vMerge w:val="continue"/>
          </w:tcPr>
          <w:p>
            <w:pPr>
              <w:spacing w:after="0"/>
              <w:rPr>
                <w:sz w:val="8"/>
                <w:szCs w:val="8"/>
                <w:color w:val="auto"/>
              </w:rPr>
            </w:pPr>
          </w:p>
        </w:tc>
        <w:tc>
          <w:tcPr>
            <w:tcW w:w="2980" w:type="dxa"/>
            <w:vAlign w:val="bottom"/>
            <w:tcBorders>
              <w:right w:val="single" w:sz="8" w:color="3E3935"/>
            </w:tcBorders>
            <w:vMerge w:val="continue"/>
          </w:tcPr>
          <w:p>
            <w:pPr>
              <w:spacing w:after="0"/>
              <w:rPr>
                <w:sz w:val="8"/>
                <w:szCs w:val="8"/>
                <w:color w:val="auto"/>
              </w:rPr>
            </w:pPr>
          </w:p>
        </w:tc>
        <w:tc>
          <w:tcPr>
            <w:tcW w:w="1600" w:type="dxa"/>
            <w:vAlign w:val="bottom"/>
            <w:tcBorders>
              <w:right w:val="single" w:sz="8" w:color="3E3935"/>
            </w:tcBorders>
            <w:vMerge w:val="continue"/>
          </w:tcPr>
          <w:p>
            <w:pPr>
              <w:spacing w:after="0"/>
              <w:rPr>
                <w:sz w:val="8"/>
                <w:szCs w:val="8"/>
                <w:color w:val="auto"/>
              </w:rPr>
            </w:pPr>
          </w:p>
        </w:tc>
        <w:tc>
          <w:tcPr>
            <w:tcW w:w="3020" w:type="dxa"/>
            <w:vAlign w:val="bottom"/>
            <w:tcBorders>
              <w:right w:val="single" w:sz="8" w:color="3E3935"/>
            </w:tcBorders>
          </w:tcPr>
          <w:p>
            <w:pPr>
              <w:spacing w:after="0"/>
              <w:rPr>
                <w:sz w:val="8"/>
                <w:szCs w:val="8"/>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200" w:type="dxa"/>
            <w:vAlign w:val="bottom"/>
            <w:tcBorders>
              <w:right w:val="single" w:sz="8" w:color="00C1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60" w:type="dxa"/>
            <w:vAlign w:val="bottom"/>
            <w:tcBorders>
              <w:left w:val="single" w:sz="8" w:color="00C1DE"/>
            </w:tcBorders>
          </w:tcPr>
          <w:p>
            <w:pPr>
              <w:spacing w:after="0"/>
              <w:rPr>
                <w:sz w:val="10"/>
                <w:szCs w:val="10"/>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Compensation</w:t>
            </w:r>
          </w:p>
        </w:tc>
        <w:tc>
          <w:tcPr>
            <w:tcW w:w="1600" w:type="dxa"/>
            <w:vAlign w:val="bottom"/>
            <w:tcBorders>
              <w:right w:val="single" w:sz="8" w:color="3E3935"/>
            </w:tcBorders>
          </w:tcPr>
          <w:p>
            <w:pPr>
              <w:spacing w:after="0"/>
              <w:rPr>
                <w:sz w:val="10"/>
                <w:szCs w:val="10"/>
                <w:color w:val="auto"/>
              </w:rPr>
            </w:pPr>
          </w:p>
        </w:tc>
        <w:tc>
          <w:tcPr>
            <w:tcW w:w="3020" w:type="dxa"/>
            <w:vAlign w:val="bottom"/>
            <w:tcBorders>
              <w:right w:val="single" w:sz="8" w:color="3E3935"/>
            </w:tcBorders>
          </w:tcPr>
          <w:p>
            <w:pPr>
              <w:spacing w:after="0"/>
              <w:rPr>
                <w:sz w:val="10"/>
                <w:szCs w:val="10"/>
                <w:color w:val="auto"/>
              </w:rPr>
            </w:pPr>
          </w:p>
        </w:tc>
        <w:tc>
          <w:tcPr>
            <w:tcW w:w="1160" w:type="dxa"/>
            <w:vAlign w:val="bottom"/>
            <w:tcBorders>
              <w:right w:val="single" w:sz="8" w:color="3E3935"/>
            </w:tcBorders>
            <w:vMerge w:val="continue"/>
          </w:tcPr>
          <w:p>
            <w:pPr>
              <w:spacing w:after="0"/>
              <w:rPr>
                <w:sz w:val="10"/>
                <w:szCs w:val="10"/>
                <w:color w:val="auto"/>
              </w:rPr>
            </w:pPr>
          </w:p>
        </w:tc>
        <w:tc>
          <w:tcPr>
            <w:tcW w:w="1200" w:type="dxa"/>
            <w:vAlign w:val="bottom"/>
            <w:tcBorders>
              <w:right w:val="single" w:sz="8" w:color="00C1DE"/>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60" w:type="dxa"/>
            <w:vAlign w:val="bottom"/>
            <w:tcBorders>
              <w:left w:val="single" w:sz="8" w:color="00C1DE"/>
              <w:bottom w:val="single" w:sz="8" w:color="3E3935"/>
            </w:tcBorders>
          </w:tcPr>
          <w:p>
            <w:pPr>
              <w:spacing w:after="0"/>
              <w:rPr>
                <w:sz w:val="9"/>
                <w:szCs w:val="9"/>
                <w:color w:val="auto"/>
              </w:rPr>
            </w:pPr>
          </w:p>
        </w:tc>
        <w:tc>
          <w:tcPr>
            <w:tcW w:w="2980" w:type="dxa"/>
            <w:vAlign w:val="bottom"/>
            <w:tcBorders>
              <w:bottom w:val="single" w:sz="8" w:color="3E3935"/>
              <w:right w:val="single" w:sz="8" w:color="3E3935"/>
            </w:tcBorders>
            <w:vMerge w:val="continue"/>
          </w:tcPr>
          <w:p>
            <w:pPr>
              <w:spacing w:after="0"/>
              <w:rPr>
                <w:sz w:val="9"/>
                <w:szCs w:val="9"/>
                <w:color w:val="auto"/>
              </w:rPr>
            </w:pPr>
          </w:p>
        </w:tc>
        <w:tc>
          <w:tcPr>
            <w:tcW w:w="1600" w:type="dxa"/>
            <w:vAlign w:val="bottom"/>
            <w:tcBorders>
              <w:bottom w:val="single" w:sz="8" w:color="3E3935"/>
              <w:right w:val="single" w:sz="8" w:color="3E3935"/>
            </w:tcBorders>
          </w:tcPr>
          <w:p>
            <w:pPr>
              <w:spacing w:after="0"/>
              <w:rPr>
                <w:sz w:val="9"/>
                <w:szCs w:val="9"/>
                <w:color w:val="auto"/>
              </w:rPr>
            </w:pPr>
          </w:p>
        </w:tc>
        <w:tc>
          <w:tcPr>
            <w:tcW w:w="3020" w:type="dxa"/>
            <w:vAlign w:val="bottom"/>
            <w:tcBorders>
              <w:right w:val="single" w:sz="8" w:color="3E3935"/>
            </w:tcBorders>
          </w:tcPr>
          <w:p>
            <w:pPr>
              <w:spacing w:after="0"/>
              <w:rPr>
                <w:sz w:val="9"/>
                <w:szCs w:val="9"/>
                <w:color w:val="auto"/>
              </w:rPr>
            </w:pPr>
          </w:p>
        </w:tc>
        <w:tc>
          <w:tcPr>
            <w:tcW w:w="1160" w:type="dxa"/>
            <w:vAlign w:val="bottom"/>
            <w:tcBorders>
              <w:bottom w:val="single" w:sz="8" w:color="3E3935"/>
              <w:right w:val="single" w:sz="8" w:color="3E3935"/>
            </w:tcBorders>
          </w:tcPr>
          <w:p>
            <w:pPr>
              <w:spacing w:after="0"/>
              <w:rPr>
                <w:sz w:val="9"/>
                <w:szCs w:val="9"/>
                <w:color w:val="auto"/>
              </w:rPr>
            </w:pPr>
          </w:p>
        </w:tc>
        <w:tc>
          <w:tcPr>
            <w:tcW w:w="1200" w:type="dxa"/>
            <w:vAlign w:val="bottom"/>
            <w:tcBorders>
              <w:bottom w:val="single" w:sz="8" w:color="3E3935"/>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860" w:type="dxa"/>
            <w:vAlign w:val="bottom"/>
            <w:tcBorders>
              <w:left w:val="single" w:sz="8" w:color="00C1DE"/>
            </w:tcBorders>
          </w:tcPr>
          <w:p>
            <w:pPr>
              <w:spacing w:after="0"/>
              <w:rPr>
                <w:sz w:val="18"/>
                <w:szCs w:val="18"/>
                <w:color w:val="auto"/>
              </w:rPr>
            </w:pP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Proposal to Ratify the Selection of</w:t>
            </w:r>
          </w:p>
        </w:tc>
        <w:tc>
          <w:tcPr>
            <w:tcW w:w="1600" w:type="dxa"/>
            <w:vAlign w:val="bottom"/>
            <w:tcBorders>
              <w:right w:val="single" w:sz="8" w:color="3E3935"/>
            </w:tcBorders>
          </w:tcPr>
          <w:p>
            <w:pPr>
              <w:spacing w:after="0"/>
              <w:rPr>
                <w:sz w:val="18"/>
                <w:szCs w:val="18"/>
                <w:color w:val="auto"/>
              </w:rPr>
            </w:pPr>
          </w:p>
        </w:tc>
        <w:tc>
          <w:tcPr>
            <w:tcW w:w="3020" w:type="dxa"/>
            <w:vAlign w:val="bottom"/>
            <w:tcBorders>
              <w:right w:val="single" w:sz="8" w:color="3E3935"/>
            </w:tcBorders>
          </w:tcPr>
          <w:p>
            <w:pPr>
              <w:spacing w:after="0"/>
              <w:rPr>
                <w:sz w:val="18"/>
                <w:szCs w:val="18"/>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20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rPr>
              <w:t>Discretionary</w:t>
            </w:r>
          </w:p>
        </w:tc>
        <w:tc>
          <w:tcPr>
            <w:tcW w:w="0" w:type="dxa"/>
            <w:vAlign w:val="bottom"/>
          </w:tcPr>
          <w:p>
            <w:pPr>
              <w:spacing w:after="0"/>
              <w:rPr>
                <w:sz w:val="1"/>
                <w:szCs w:val="1"/>
                <w:color w:val="auto"/>
              </w:rPr>
            </w:pPr>
          </w:p>
        </w:tc>
      </w:tr>
      <w:tr>
        <w:trPr>
          <w:trHeight w:val="174"/>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3</w:t>
            </w:r>
          </w:p>
        </w:tc>
        <w:tc>
          <w:tcPr>
            <w:tcW w:w="2980" w:type="dxa"/>
            <w:vAlign w:val="bottom"/>
            <w:tcBorders>
              <w:right w:val="single" w:sz="8" w:color="3E3935"/>
            </w:tcBorders>
          </w:tcPr>
          <w:p>
            <w:pPr>
              <w:ind w:left="60"/>
              <w:spacing w:after="0" w:line="174" w:lineRule="exact"/>
              <w:rPr>
                <w:sz w:val="20"/>
                <w:szCs w:val="20"/>
                <w:color w:val="auto"/>
              </w:rPr>
            </w:pPr>
            <w:r>
              <w:rPr>
                <w:rFonts w:ascii="Arial" w:cs="Arial" w:eastAsia="Arial" w:hAnsi="Arial"/>
                <w:sz w:val="16"/>
                <w:szCs w:val="16"/>
                <w:color w:val="3E3935"/>
              </w:rPr>
              <w:t>Ernst &amp; Young LLP as the Company’s</w:t>
            </w:r>
          </w:p>
        </w:tc>
        <w:tc>
          <w:tcPr>
            <w:tcW w:w="160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FOR</w:t>
            </w:r>
          </w:p>
        </w:tc>
        <w:tc>
          <w:tcPr>
            <w:tcW w:w="3020" w:type="dxa"/>
            <w:vAlign w:val="bottom"/>
            <w:tcBorders>
              <w:right w:val="single" w:sz="8" w:color="3E3935"/>
            </w:tcBorders>
          </w:tcPr>
          <w:p>
            <w:pPr>
              <w:spacing w:after="0"/>
              <w:rPr>
                <w:sz w:val="15"/>
                <w:szCs w:val="15"/>
                <w:color w:val="auto"/>
              </w:rPr>
            </w:pPr>
          </w:p>
        </w:tc>
        <w:tc>
          <w:tcPr>
            <w:tcW w:w="1160" w:type="dxa"/>
            <w:vAlign w:val="bottom"/>
            <w:tcBorders>
              <w:right w:val="single" w:sz="8" w:color="3E3935"/>
            </w:tcBorders>
            <w:vMerge w:val="continue"/>
          </w:tcPr>
          <w:p>
            <w:pPr>
              <w:spacing w:after="0"/>
              <w:rPr>
                <w:sz w:val="15"/>
                <w:szCs w:val="15"/>
                <w:color w:val="auto"/>
              </w:rPr>
            </w:pPr>
          </w:p>
        </w:tc>
        <w:tc>
          <w:tcPr>
            <w:tcW w:w="1200" w:type="dxa"/>
            <w:vAlign w:val="bottom"/>
            <w:tcBorders>
              <w:right w:val="single" w:sz="8" w:color="00C1D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60" w:type="dxa"/>
            <w:vAlign w:val="bottom"/>
            <w:tcBorders>
              <w:left w:val="single" w:sz="8" w:color="00C1DE"/>
            </w:tcBorders>
            <w:vMerge w:val="continue"/>
          </w:tcPr>
          <w:p>
            <w:pPr>
              <w:spacing w:after="0"/>
              <w:rPr>
                <w:sz w:val="10"/>
                <w:szCs w:val="10"/>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Independent Registered Public</w:t>
            </w:r>
          </w:p>
        </w:tc>
        <w:tc>
          <w:tcPr>
            <w:tcW w:w="1600" w:type="dxa"/>
            <w:vAlign w:val="bottom"/>
            <w:tcBorders>
              <w:right w:val="single" w:sz="8" w:color="3E3935"/>
            </w:tcBorders>
            <w:vMerge w:val="continue"/>
          </w:tcPr>
          <w:p>
            <w:pPr>
              <w:spacing w:after="0"/>
              <w:rPr>
                <w:sz w:val="10"/>
                <w:szCs w:val="10"/>
                <w:color w:val="auto"/>
              </w:rPr>
            </w:pPr>
          </w:p>
        </w:tc>
        <w:tc>
          <w:tcPr>
            <w:tcW w:w="3020" w:type="dxa"/>
            <w:vAlign w:val="bottom"/>
            <w:tcBorders>
              <w:right w:val="single" w:sz="8" w:color="3E3935"/>
            </w:tcBorders>
          </w:tcPr>
          <w:p>
            <w:pPr>
              <w:spacing w:after="0"/>
              <w:rPr>
                <w:sz w:val="10"/>
                <w:szCs w:val="10"/>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20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vote</w:t>
            </w:r>
          </w:p>
        </w:tc>
        <w:tc>
          <w:tcPr>
            <w:tcW w:w="0" w:type="dxa"/>
            <w:vAlign w:val="bottom"/>
          </w:tcPr>
          <w:p>
            <w:pPr>
              <w:spacing w:after="0"/>
              <w:rPr>
                <w:sz w:val="1"/>
                <w:szCs w:val="1"/>
                <w:color w:val="auto"/>
              </w:rPr>
            </w:pPr>
          </w:p>
        </w:tc>
      </w:tr>
      <w:tr>
        <w:trPr>
          <w:trHeight w:val="83"/>
        </w:trPr>
        <w:tc>
          <w:tcPr>
            <w:tcW w:w="860" w:type="dxa"/>
            <w:vAlign w:val="bottom"/>
            <w:tcBorders>
              <w:left w:val="single" w:sz="8" w:color="00C1DE"/>
            </w:tcBorders>
          </w:tcPr>
          <w:p>
            <w:pPr>
              <w:spacing w:after="0"/>
              <w:rPr>
                <w:sz w:val="7"/>
                <w:szCs w:val="7"/>
                <w:color w:val="auto"/>
              </w:rPr>
            </w:pPr>
          </w:p>
        </w:tc>
        <w:tc>
          <w:tcPr>
            <w:tcW w:w="2980" w:type="dxa"/>
            <w:vAlign w:val="bottom"/>
            <w:tcBorders>
              <w:right w:val="single" w:sz="8" w:color="3E3935"/>
            </w:tcBorders>
            <w:vMerge w:val="continue"/>
          </w:tcPr>
          <w:p>
            <w:pPr>
              <w:spacing w:after="0"/>
              <w:rPr>
                <w:sz w:val="7"/>
                <w:szCs w:val="7"/>
                <w:color w:val="auto"/>
              </w:rPr>
            </w:pPr>
          </w:p>
        </w:tc>
        <w:tc>
          <w:tcPr>
            <w:tcW w:w="1600" w:type="dxa"/>
            <w:vAlign w:val="bottom"/>
            <w:tcBorders>
              <w:right w:val="single" w:sz="8" w:color="3E3935"/>
            </w:tcBorders>
          </w:tcPr>
          <w:p>
            <w:pPr>
              <w:spacing w:after="0"/>
              <w:rPr>
                <w:sz w:val="7"/>
                <w:szCs w:val="7"/>
                <w:color w:val="auto"/>
              </w:rPr>
            </w:pPr>
          </w:p>
        </w:tc>
        <w:tc>
          <w:tcPr>
            <w:tcW w:w="3020" w:type="dxa"/>
            <w:vAlign w:val="bottom"/>
            <w:tcBorders>
              <w:right w:val="single" w:sz="8" w:color="3E3935"/>
            </w:tcBorders>
          </w:tcPr>
          <w:p>
            <w:pPr>
              <w:spacing w:after="0"/>
              <w:rPr>
                <w:sz w:val="7"/>
                <w:szCs w:val="7"/>
                <w:color w:val="auto"/>
              </w:rPr>
            </w:pPr>
          </w:p>
        </w:tc>
        <w:tc>
          <w:tcPr>
            <w:tcW w:w="1160" w:type="dxa"/>
            <w:vAlign w:val="bottom"/>
            <w:tcBorders>
              <w:right w:val="single" w:sz="8" w:color="3E3935"/>
            </w:tcBorders>
            <w:vMerge w:val="continue"/>
          </w:tcPr>
          <w:p>
            <w:pPr>
              <w:spacing w:after="0"/>
              <w:rPr>
                <w:sz w:val="7"/>
                <w:szCs w:val="7"/>
                <w:color w:val="auto"/>
              </w:rPr>
            </w:pPr>
          </w:p>
        </w:tc>
        <w:tc>
          <w:tcPr>
            <w:tcW w:w="1200" w:type="dxa"/>
            <w:vAlign w:val="bottom"/>
            <w:tcBorders>
              <w:right w:val="single" w:sz="8" w:color="00C1DE"/>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00C1DE"/>
            </w:tcBorders>
          </w:tcPr>
          <w:p>
            <w:pPr>
              <w:spacing w:after="0"/>
              <w:rPr>
                <w:sz w:val="18"/>
                <w:szCs w:val="18"/>
                <w:color w:val="auto"/>
              </w:rPr>
            </w:pP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Accounting Firm for 2022</w:t>
            </w:r>
          </w:p>
        </w:tc>
        <w:tc>
          <w:tcPr>
            <w:tcW w:w="1600" w:type="dxa"/>
            <w:vAlign w:val="bottom"/>
            <w:tcBorders>
              <w:right w:val="single" w:sz="8" w:color="3E3935"/>
            </w:tcBorders>
          </w:tcPr>
          <w:p>
            <w:pPr>
              <w:spacing w:after="0"/>
              <w:rPr>
                <w:sz w:val="18"/>
                <w:szCs w:val="18"/>
                <w:color w:val="auto"/>
              </w:rPr>
            </w:pPr>
          </w:p>
        </w:tc>
        <w:tc>
          <w:tcPr>
            <w:tcW w:w="30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w w:val="99"/>
              </w:rPr>
              <w:t>Majority of shares present</w:t>
            </w:r>
          </w:p>
        </w:tc>
        <w:tc>
          <w:tcPr>
            <w:tcW w:w="1160" w:type="dxa"/>
            <w:vAlign w:val="bottom"/>
            <w:tcBorders>
              <w:right w:val="single" w:sz="8" w:color="3E3935"/>
            </w:tcBorders>
          </w:tcPr>
          <w:p>
            <w:pPr>
              <w:spacing w:after="0"/>
              <w:rPr>
                <w:sz w:val="18"/>
                <w:szCs w:val="18"/>
                <w:color w:val="auto"/>
              </w:rPr>
            </w:pPr>
          </w:p>
        </w:tc>
        <w:tc>
          <w:tcPr>
            <w:tcW w:w="120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860" w:type="dxa"/>
            <w:vAlign w:val="bottom"/>
            <w:tcBorders>
              <w:left w:val="single" w:sz="8" w:color="00C1DE"/>
              <w:bottom w:val="single" w:sz="8" w:color="3E3935"/>
            </w:tcBorders>
          </w:tcPr>
          <w:p>
            <w:pPr>
              <w:spacing w:after="0"/>
              <w:rPr>
                <w:sz w:val="2"/>
                <w:szCs w:val="2"/>
                <w:color w:val="auto"/>
              </w:rPr>
            </w:pPr>
          </w:p>
        </w:tc>
        <w:tc>
          <w:tcPr>
            <w:tcW w:w="2980" w:type="dxa"/>
            <w:vAlign w:val="bottom"/>
            <w:tcBorders>
              <w:bottom w:val="single" w:sz="8" w:color="3E3935"/>
              <w:right w:val="single" w:sz="8" w:color="3E3935"/>
            </w:tcBorders>
          </w:tcPr>
          <w:p>
            <w:pPr>
              <w:spacing w:after="0"/>
              <w:rPr>
                <w:sz w:val="2"/>
                <w:szCs w:val="2"/>
                <w:color w:val="auto"/>
              </w:rPr>
            </w:pPr>
          </w:p>
        </w:tc>
        <w:tc>
          <w:tcPr>
            <w:tcW w:w="1600" w:type="dxa"/>
            <w:vAlign w:val="bottom"/>
            <w:tcBorders>
              <w:bottom w:val="single" w:sz="8" w:color="3E3935"/>
              <w:right w:val="single" w:sz="8" w:color="3E3935"/>
            </w:tcBorders>
          </w:tcPr>
          <w:p>
            <w:pPr>
              <w:spacing w:after="0"/>
              <w:rPr>
                <w:sz w:val="2"/>
                <w:szCs w:val="2"/>
                <w:color w:val="auto"/>
              </w:rPr>
            </w:pPr>
          </w:p>
        </w:tc>
        <w:tc>
          <w:tcPr>
            <w:tcW w:w="3020" w:type="dxa"/>
            <w:vAlign w:val="bottom"/>
            <w:tcBorders>
              <w:right w:val="single" w:sz="8" w:color="3E3935"/>
            </w:tcBorders>
            <w:vMerge w:val="continue"/>
          </w:tcPr>
          <w:p>
            <w:pPr>
              <w:spacing w:after="0"/>
              <w:rPr>
                <w:sz w:val="2"/>
                <w:szCs w:val="2"/>
                <w:color w:val="auto"/>
              </w:rPr>
            </w:pPr>
          </w:p>
        </w:tc>
        <w:tc>
          <w:tcPr>
            <w:tcW w:w="1160" w:type="dxa"/>
            <w:vAlign w:val="bottom"/>
            <w:tcBorders>
              <w:bottom w:val="single" w:sz="8" w:color="3E3935"/>
              <w:right w:val="single" w:sz="8" w:color="3E3935"/>
            </w:tcBorders>
          </w:tcPr>
          <w:p>
            <w:pPr>
              <w:spacing w:after="0"/>
              <w:rPr>
                <w:sz w:val="2"/>
                <w:szCs w:val="2"/>
                <w:color w:val="auto"/>
              </w:rPr>
            </w:pPr>
          </w:p>
        </w:tc>
        <w:tc>
          <w:tcPr>
            <w:tcW w:w="120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4</w:t>
            </w: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Shareholder Proposal to Lower the</w:t>
            </w:r>
          </w:p>
        </w:tc>
        <w:tc>
          <w:tcPr>
            <w:tcW w:w="160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w w:val="99"/>
              </w:rPr>
              <w:t>AGAINST</w:t>
            </w:r>
          </w:p>
        </w:tc>
        <w:tc>
          <w:tcPr>
            <w:tcW w:w="30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w w:val="99"/>
              </w:rPr>
              <w:t>(in person or by proxy)</w:t>
            </w: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20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80"/>
        </w:trPr>
        <w:tc>
          <w:tcPr>
            <w:tcW w:w="860" w:type="dxa"/>
            <w:vAlign w:val="bottom"/>
            <w:tcBorders>
              <w:left w:val="single" w:sz="8" w:color="00C1DE"/>
            </w:tcBorders>
            <w:vMerge w:val="continue"/>
          </w:tcPr>
          <w:p>
            <w:pPr>
              <w:spacing w:after="0"/>
              <w:rPr>
                <w:sz w:val="6"/>
                <w:szCs w:val="6"/>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Ownership Threshold to Call a Special</w:t>
            </w:r>
          </w:p>
        </w:tc>
        <w:tc>
          <w:tcPr>
            <w:tcW w:w="1600" w:type="dxa"/>
            <w:vAlign w:val="bottom"/>
            <w:tcBorders>
              <w:right w:val="single" w:sz="8" w:color="3E3935"/>
            </w:tcBorders>
            <w:vMerge w:val="continue"/>
          </w:tcPr>
          <w:p>
            <w:pPr>
              <w:spacing w:after="0"/>
              <w:rPr>
                <w:sz w:val="6"/>
                <w:szCs w:val="6"/>
                <w:color w:val="auto"/>
              </w:rPr>
            </w:pPr>
          </w:p>
        </w:tc>
        <w:tc>
          <w:tcPr>
            <w:tcW w:w="30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and entitled to vote</w:t>
            </w:r>
          </w:p>
        </w:tc>
        <w:tc>
          <w:tcPr>
            <w:tcW w:w="1160" w:type="dxa"/>
            <w:vAlign w:val="bottom"/>
            <w:tcBorders>
              <w:right w:val="single" w:sz="8" w:color="3E3935"/>
            </w:tcBorders>
            <w:vMerge w:val="continue"/>
          </w:tcPr>
          <w:p>
            <w:pPr>
              <w:spacing w:after="0"/>
              <w:rPr>
                <w:sz w:val="6"/>
                <w:szCs w:val="6"/>
                <w:color w:val="auto"/>
              </w:rPr>
            </w:pPr>
          </w:p>
        </w:tc>
        <w:tc>
          <w:tcPr>
            <w:tcW w:w="1200" w:type="dxa"/>
            <w:vAlign w:val="bottom"/>
            <w:tcBorders>
              <w:right w:val="single" w:sz="8" w:color="00C1DE"/>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60" w:type="dxa"/>
            <w:vAlign w:val="bottom"/>
            <w:tcBorders>
              <w:left w:val="single" w:sz="8" w:color="00C1DE"/>
            </w:tcBorders>
            <w:vMerge w:val="continue"/>
          </w:tcPr>
          <w:p>
            <w:pPr>
              <w:spacing w:after="0"/>
              <w:rPr>
                <w:sz w:val="9"/>
                <w:szCs w:val="9"/>
                <w:color w:val="auto"/>
              </w:rPr>
            </w:pPr>
          </w:p>
        </w:tc>
        <w:tc>
          <w:tcPr>
            <w:tcW w:w="2980" w:type="dxa"/>
            <w:vAlign w:val="bottom"/>
            <w:tcBorders>
              <w:right w:val="single" w:sz="8" w:color="3E3935"/>
            </w:tcBorders>
            <w:vMerge w:val="continue"/>
          </w:tcPr>
          <w:p>
            <w:pPr>
              <w:spacing w:after="0"/>
              <w:rPr>
                <w:sz w:val="9"/>
                <w:szCs w:val="9"/>
                <w:color w:val="auto"/>
              </w:rPr>
            </w:pPr>
          </w:p>
        </w:tc>
        <w:tc>
          <w:tcPr>
            <w:tcW w:w="1600" w:type="dxa"/>
            <w:vAlign w:val="bottom"/>
            <w:tcBorders>
              <w:right w:val="single" w:sz="8" w:color="3E3935"/>
            </w:tcBorders>
            <w:vMerge w:val="continue"/>
          </w:tcPr>
          <w:p>
            <w:pPr>
              <w:spacing w:after="0"/>
              <w:rPr>
                <w:sz w:val="9"/>
                <w:szCs w:val="9"/>
                <w:color w:val="auto"/>
              </w:rPr>
            </w:pPr>
          </w:p>
        </w:tc>
        <w:tc>
          <w:tcPr>
            <w:tcW w:w="3020" w:type="dxa"/>
            <w:vAlign w:val="bottom"/>
            <w:tcBorders>
              <w:right w:val="single" w:sz="8" w:color="3E3935"/>
            </w:tcBorders>
            <w:vMerge w:val="continue"/>
          </w:tcPr>
          <w:p>
            <w:pPr>
              <w:spacing w:after="0"/>
              <w:rPr>
                <w:sz w:val="9"/>
                <w:szCs w:val="9"/>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200" w:type="dxa"/>
            <w:vAlign w:val="bottom"/>
            <w:tcBorders>
              <w:right w:val="single" w:sz="8" w:color="00C1D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60" w:type="dxa"/>
            <w:vAlign w:val="bottom"/>
            <w:tcBorders>
              <w:left w:val="single" w:sz="8" w:color="00C1DE"/>
            </w:tcBorders>
          </w:tcPr>
          <w:p>
            <w:pPr>
              <w:spacing w:after="0"/>
              <w:rPr>
                <w:sz w:val="9"/>
                <w:szCs w:val="9"/>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Meeting</w:t>
            </w:r>
          </w:p>
        </w:tc>
        <w:tc>
          <w:tcPr>
            <w:tcW w:w="1600" w:type="dxa"/>
            <w:vAlign w:val="bottom"/>
            <w:tcBorders>
              <w:right w:val="single" w:sz="8" w:color="3E3935"/>
            </w:tcBorders>
          </w:tcPr>
          <w:p>
            <w:pPr>
              <w:spacing w:after="0"/>
              <w:rPr>
                <w:sz w:val="9"/>
                <w:szCs w:val="9"/>
                <w:color w:val="auto"/>
              </w:rPr>
            </w:pPr>
          </w:p>
        </w:tc>
        <w:tc>
          <w:tcPr>
            <w:tcW w:w="3020" w:type="dxa"/>
            <w:vAlign w:val="bottom"/>
            <w:tcBorders>
              <w:right w:val="single" w:sz="8" w:color="3E3935"/>
            </w:tcBorders>
          </w:tcPr>
          <w:p>
            <w:pPr>
              <w:spacing w:after="0"/>
              <w:rPr>
                <w:sz w:val="9"/>
                <w:szCs w:val="9"/>
                <w:color w:val="auto"/>
              </w:rPr>
            </w:pPr>
          </w:p>
        </w:tc>
        <w:tc>
          <w:tcPr>
            <w:tcW w:w="1160" w:type="dxa"/>
            <w:vAlign w:val="bottom"/>
            <w:tcBorders>
              <w:right w:val="single" w:sz="8" w:color="3E3935"/>
            </w:tcBorders>
            <w:vMerge w:val="continue"/>
          </w:tcPr>
          <w:p>
            <w:pPr>
              <w:spacing w:after="0"/>
              <w:rPr>
                <w:sz w:val="9"/>
                <w:szCs w:val="9"/>
                <w:color w:val="auto"/>
              </w:rPr>
            </w:pPr>
          </w:p>
        </w:tc>
        <w:tc>
          <w:tcPr>
            <w:tcW w:w="1200" w:type="dxa"/>
            <w:vAlign w:val="bottom"/>
            <w:tcBorders>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60" w:type="dxa"/>
            <w:vAlign w:val="bottom"/>
            <w:tcBorders>
              <w:left w:val="single" w:sz="8" w:color="00C1DE"/>
            </w:tcBorders>
          </w:tcPr>
          <w:p>
            <w:pPr>
              <w:spacing w:after="0"/>
              <w:rPr>
                <w:sz w:val="9"/>
                <w:szCs w:val="9"/>
                <w:color w:val="auto"/>
              </w:rPr>
            </w:pPr>
          </w:p>
        </w:tc>
        <w:tc>
          <w:tcPr>
            <w:tcW w:w="2980" w:type="dxa"/>
            <w:vAlign w:val="bottom"/>
            <w:tcBorders>
              <w:right w:val="single" w:sz="8" w:color="3E3935"/>
            </w:tcBorders>
            <w:vMerge w:val="continue"/>
          </w:tcPr>
          <w:p>
            <w:pPr>
              <w:spacing w:after="0"/>
              <w:rPr>
                <w:sz w:val="9"/>
                <w:szCs w:val="9"/>
                <w:color w:val="auto"/>
              </w:rPr>
            </w:pPr>
          </w:p>
        </w:tc>
        <w:tc>
          <w:tcPr>
            <w:tcW w:w="1600" w:type="dxa"/>
            <w:vAlign w:val="bottom"/>
            <w:tcBorders>
              <w:right w:val="single" w:sz="8" w:color="3E3935"/>
            </w:tcBorders>
          </w:tcPr>
          <w:p>
            <w:pPr>
              <w:spacing w:after="0"/>
              <w:rPr>
                <w:sz w:val="9"/>
                <w:szCs w:val="9"/>
                <w:color w:val="auto"/>
              </w:rPr>
            </w:pPr>
          </w:p>
        </w:tc>
        <w:tc>
          <w:tcPr>
            <w:tcW w:w="3020" w:type="dxa"/>
            <w:vAlign w:val="bottom"/>
            <w:tcBorders>
              <w:right w:val="single" w:sz="8" w:color="3E3935"/>
            </w:tcBorders>
          </w:tcPr>
          <w:p>
            <w:pPr>
              <w:spacing w:after="0"/>
              <w:rPr>
                <w:sz w:val="9"/>
                <w:szCs w:val="9"/>
                <w:color w:val="auto"/>
              </w:rPr>
            </w:pPr>
          </w:p>
        </w:tc>
        <w:tc>
          <w:tcPr>
            <w:tcW w:w="1160" w:type="dxa"/>
            <w:vAlign w:val="bottom"/>
            <w:tcBorders>
              <w:right w:val="single" w:sz="8" w:color="3E3935"/>
            </w:tcBorders>
          </w:tcPr>
          <w:p>
            <w:pPr>
              <w:spacing w:after="0"/>
              <w:rPr>
                <w:sz w:val="9"/>
                <w:szCs w:val="9"/>
                <w:color w:val="auto"/>
              </w:rPr>
            </w:pPr>
          </w:p>
        </w:tc>
        <w:tc>
          <w:tcPr>
            <w:tcW w:w="1200" w:type="dxa"/>
            <w:vAlign w:val="bottom"/>
            <w:tcBorders>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60" w:type="dxa"/>
            <w:vAlign w:val="bottom"/>
            <w:tcBorders>
              <w:left w:val="single" w:sz="8" w:color="00C1DE"/>
              <w:bottom w:val="single" w:sz="8" w:color="3E3935"/>
            </w:tcBorders>
          </w:tcPr>
          <w:p>
            <w:pPr>
              <w:spacing w:after="0"/>
              <w:rPr>
                <w:sz w:val="2"/>
                <w:szCs w:val="2"/>
                <w:color w:val="auto"/>
              </w:rPr>
            </w:pPr>
          </w:p>
        </w:tc>
        <w:tc>
          <w:tcPr>
            <w:tcW w:w="2980" w:type="dxa"/>
            <w:vAlign w:val="bottom"/>
            <w:tcBorders>
              <w:bottom w:val="single" w:sz="8" w:color="3E3935"/>
              <w:right w:val="single" w:sz="8" w:color="3E3935"/>
            </w:tcBorders>
          </w:tcPr>
          <w:p>
            <w:pPr>
              <w:spacing w:after="0"/>
              <w:rPr>
                <w:sz w:val="2"/>
                <w:szCs w:val="2"/>
                <w:color w:val="auto"/>
              </w:rPr>
            </w:pPr>
          </w:p>
        </w:tc>
        <w:tc>
          <w:tcPr>
            <w:tcW w:w="1600" w:type="dxa"/>
            <w:vAlign w:val="bottom"/>
            <w:tcBorders>
              <w:bottom w:val="single" w:sz="8" w:color="3E3935"/>
              <w:right w:val="single" w:sz="8" w:color="3E3935"/>
            </w:tcBorders>
          </w:tcPr>
          <w:p>
            <w:pPr>
              <w:spacing w:after="0"/>
              <w:rPr>
                <w:sz w:val="2"/>
                <w:szCs w:val="2"/>
                <w:color w:val="auto"/>
              </w:rPr>
            </w:pPr>
          </w:p>
        </w:tc>
        <w:tc>
          <w:tcPr>
            <w:tcW w:w="3020" w:type="dxa"/>
            <w:vAlign w:val="bottom"/>
            <w:tcBorders>
              <w:right w:val="single" w:sz="8" w:color="3E3935"/>
            </w:tcBorders>
          </w:tcPr>
          <w:p>
            <w:pPr>
              <w:spacing w:after="0"/>
              <w:rPr>
                <w:sz w:val="2"/>
                <w:szCs w:val="2"/>
                <w:color w:val="auto"/>
              </w:rPr>
            </w:pPr>
          </w:p>
        </w:tc>
        <w:tc>
          <w:tcPr>
            <w:tcW w:w="1160" w:type="dxa"/>
            <w:vAlign w:val="bottom"/>
            <w:tcBorders>
              <w:bottom w:val="single" w:sz="8" w:color="3E3935"/>
              <w:right w:val="single" w:sz="8" w:color="3E3935"/>
            </w:tcBorders>
          </w:tcPr>
          <w:p>
            <w:pPr>
              <w:spacing w:after="0"/>
              <w:rPr>
                <w:sz w:val="2"/>
                <w:szCs w:val="2"/>
                <w:color w:val="auto"/>
              </w:rPr>
            </w:pPr>
          </w:p>
        </w:tc>
        <w:tc>
          <w:tcPr>
            <w:tcW w:w="120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5</w:t>
            </w: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Shareholder Proposal Regarding</w:t>
            </w:r>
          </w:p>
        </w:tc>
        <w:tc>
          <w:tcPr>
            <w:tcW w:w="160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w w:val="99"/>
              </w:rPr>
              <w:t>AGAINST</w:t>
            </w:r>
          </w:p>
        </w:tc>
        <w:tc>
          <w:tcPr>
            <w:tcW w:w="3020" w:type="dxa"/>
            <w:vAlign w:val="bottom"/>
            <w:tcBorders>
              <w:right w:val="single" w:sz="8" w:color="3E3935"/>
            </w:tcBorders>
          </w:tcPr>
          <w:p>
            <w:pPr>
              <w:spacing w:after="0"/>
              <w:rPr>
                <w:sz w:val="16"/>
                <w:szCs w:val="16"/>
                <w:color w:val="auto"/>
              </w:rPr>
            </w:pPr>
          </w:p>
        </w:tc>
        <w:tc>
          <w:tcPr>
            <w:tcW w:w="116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Counted as</w:t>
            </w:r>
          </w:p>
        </w:tc>
        <w:tc>
          <w:tcPr>
            <w:tcW w:w="120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118"/>
        </w:trPr>
        <w:tc>
          <w:tcPr>
            <w:tcW w:w="860" w:type="dxa"/>
            <w:vAlign w:val="bottom"/>
            <w:tcBorders>
              <w:left w:val="single" w:sz="8" w:color="00C1DE"/>
            </w:tcBorders>
            <w:vMerge w:val="continue"/>
          </w:tcPr>
          <w:p>
            <w:pPr>
              <w:spacing w:after="0"/>
              <w:rPr>
                <w:sz w:val="10"/>
                <w:szCs w:val="10"/>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Separation of Chair and CEO Roles</w:t>
            </w:r>
          </w:p>
        </w:tc>
        <w:tc>
          <w:tcPr>
            <w:tcW w:w="1600" w:type="dxa"/>
            <w:vAlign w:val="bottom"/>
            <w:tcBorders>
              <w:right w:val="single" w:sz="8" w:color="3E3935"/>
            </w:tcBorders>
            <w:vMerge w:val="continue"/>
          </w:tcPr>
          <w:p>
            <w:pPr>
              <w:spacing w:after="0"/>
              <w:rPr>
                <w:sz w:val="10"/>
                <w:szCs w:val="10"/>
                <w:color w:val="auto"/>
              </w:rPr>
            </w:pPr>
          </w:p>
        </w:tc>
        <w:tc>
          <w:tcPr>
            <w:tcW w:w="3020" w:type="dxa"/>
            <w:vAlign w:val="bottom"/>
            <w:tcBorders>
              <w:right w:val="single" w:sz="8" w:color="3E3935"/>
            </w:tcBorders>
          </w:tcPr>
          <w:p>
            <w:pPr>
              <w:spacing w:after="0"/>
              <w:rPr>
                <w:sz w:val="10"/>
                <w:szCs w:val="10"/>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200" w:type="dxa"/>
            <w:vAlign w:val="bottom"/>
            <w:tcBorders>
              <w:right w:val="single" w:sz="8" w:color="00C1D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60" w:type="dxa"/>
            <w:vAlign w:val="bottom"/>
            <w:tcBorders>
              <w:left w:val="single" w:sz="8" w:color="00C1DE"/>
            </w:tcBorders>
          </w:tcPr>
          <w:p>
            <w:pPr>
              <w:spacing w:after="0"/>
              <w:rPr>
                <w:sz w:val="9"/>
                <w:szCs w:val="9"/>
                <w:color w:val="auto"/>
              </w:rPr>
            </w:pPr>
          </w:p>
        </w:tc>
        <w:tc>
          <w:tcPr>
            <w:tcW w:w="2980" w:type="dxa"/>
            <w:vAlign w:val="bottom"/>
            <w:tcBorders>
              <w:right w:val="single" w:sz="8" w:color="3E3935"/>
            </w:tcBorders>
            <w:vMerge w:val="continue"/>
          </w:tcPr>
          <w:p>
            <w:pPr>
              <w:spacing w:after="0"/>
              <w:rPr>
                <w:sz w:val="9"/>
                <w:szCs w:val="9"/>
                <w:color w:val="auto"/>
              </w:rPr>
            </w:pPr>
          </w:p>
        </w:tc>
        <w:tc>
          <w:tcPr>
            <w:tcW w:w="1600" w:type="dxa"/>
            <w:vAlign w:val="bottom"/>
            <w:tcBorders>
              <w:right w:val="single" w:sz="8" w:color="3E3935"/>
            </w:tcBorders>
          </w:tcPr>
          <w:p>
            <w:pPr>
              <w:spacing w:after="0"/>
              <w:rPr>
                <w:sz w:val="9"/>
                <w:szCs w:val="9"/>
                <w:color w:val="auto"/>
              </w:rPr>
            </w:pPr>
          </w:p>
        </w:tc>
        <w:tc>
          <w:tcPr>
            <w:tcW w:w="3020" w:type="dxa"/>
            <w:vAlign w:val="bottom"/>
            <w:tcBorders>
              <w:right w:val="single" w:sz="8" w:color="3E3935"/>
            </w:tcBorders>
          </w:tcPr>
          <w:p>
            <w:pPr>
              <w:spacing w:after="0"/>
              <w:rPr>
                <w:sz w:val="9"/>
                <w:szCs w:val="9"/>
                <w:color w:val="auto"/>
              </w:rPr>
            </w:pPr>
          </w:p>
        </w:tc>
        <w:tc>
          <w:tcPr>
            <w:tcW w:w="1160" w:type="dxa"/>
            <w:vAlign w:val="bottom"/>
            <w:tcBorders>
              <w:right w:val="single" w:sz="8" w:color="3E3935"/>
            </w:tcBorders>
            <w:vMerge w:val="continue"/>
          </w:tcPr>
          <w:p>
            <w:pPr>
              <w:spacing w:after="0"/>
              <w:rPr>
                <w:sz w:val="9"/>
                <w:szCs w:val="9"/>
                <w:color w:val="auto"/>
              </w:rPr>
            </w:pPr>
          </w:p>
        </w:tc>
        <w:tc>
          <w:tcPr>
            <w:tcW w:w="1200" w:type="dxa"/>
            <w:vAlign w:val="bottom"/>
            <w:tcBorders>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60" w:type="dxa"/>
            <w:vAlign w:val="bottom"/>
            <w:tcBorders>
              <w:left w:val="single" w:sz="8" w:color="00C1DE"/>
              <w:bottom w:val="single" w:sz="8" w:color="3E3935"/>
            </w:tcBorders>
          </w:tcPr>
          <w:p>
            <w:pPr>
              <w:spacing w:after="0"/>
              <w:rPr>
                <w:sz w:val="2"/>
                <w:szCs w:val="2"/>
                <w:color w:val="auto"/>
              </w:rPr>
            </w:pPr>
          </w:p>
        </w:tc>
        <w:tc>
          <w:tcPr>
            <w:tcW w:w="2980" w:type="dxa"/>
            <w:vAlign w:val="bottom"/>
            <w:tcBorders>
              <w:bottom w:val="single" w:sz="8" w:color="3E3935"/>
              <w:right w:val="single" w:sz="8" w:color="3E3935"/>
            </w:tcBorders>
          </w:tcPr>
          <w:p>
            <w:pPr>
              <w:spacing w:after="0"/>
              <w:rPr>
                <w:sz w:val="2"/>
                <w:szCs w:val="2"/>
                <w:color w:val="auto"/>
              </w:rPr>
            </w:pPr>
          </w:p>
        </w:tc>
        <w:tc>
          <w:tcPr>
            <w:tcW w:w="1600" w:type="dxa"/>
            <w:vAlign w:val="bottom"/>
            <w:tcBorders>
              <w:bottom w:val="single" w:sz="8" w:color="3E3935"/>
              <w:right w:val="single" w:sz="8" w:color="3E3935"/>
            </w:tcBorders>
          </w:tcPr>
          <w:p>
            <w:pPr>
              <w:spacing w:after="0"/>
              <w:rPr>
                <w:sz w:val="2"/>
                <w:szCs w:val="2"/>
                <w:color w:val="auto"/>
              </w:rPr>
            </w:pPr>
          </w:p>
        </w:tc>
        <w:tc>
          <w:tcPr>
            <w:tcW w:w="3020" w:type="dxa"/>
            <w:vAlign w:val="bottom"/>
            <w:tcBorders>
              <w:right w:val="single" w:sz="8" w:color="3E3935"/>
            </w:tcBorders>
          </w:tcPr>
          <w:p>
            <w:pPr>
              <w:spacing w:after="0"/>
              <w:rPr>
                <w:sz w:val="2"/>
                <w:szCs w:val="2"/>
                <w:color w:val="auto"/>
              </w:rPr>
            </w:pPr>
          </w:p>
        </w:tc>
        <w:tc>
          <w:tcPr>
            <w:tcW w:w="1160" w:type="dxa"/>
            <w:vAlign w:val="bottom"/>
            <w:tcBorders>
              <w:bottom w:val="single" w:sz="8" w:color="3E3935"/>
              <w:right w:val="single" w:sz="8" w:color="3E3935"/>
            </w:tcBorders>
          </w:tcPr>
          <w:p>
            <w:pPr>
              <w:spacing w:after="0"/>
              <w:rPr>
                <w:sz w:val="2"/>
                <w:szCs w:val="2"/>
                <w:color w:val="auto"/>
              </w:rPr>
            </w:pPr>
          </w:p>
        </w:tc>
        <w:tc>
          <w:tcPr>
            <w:tcW w:w="120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6</w:t>
            </w:r>
          </w:p>
        </w:tc>
        <w:tc>
          <w:tcPr>
            <w:tcW w:w="298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Shareholder Proposal Requesting a</w:t>
            </w:r>
          </w:p>
        </w:tc>
        <w:tc>
          <w:tcPr>
            <w:tcW w:w="160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w w:val="99"/>
              </w:rPr>
              <w:t>AGAINST</w:t>
            </w:r>
          </w:p>
        </w:tc>
        <w:tc>
          <w:tcPr>
            <w:tcW w:w="3020" w:type="dxa"/>
            <w:vAlign w:val="bottom"/>
            <w:tcBorders>
              <w:right w:val="single" w:sz="8" w:color="3E3935"/>
            </w:tcBorders>
          </w:tcPr>
          <w:p>
            <w:pPr>
              <w:spacing w:after="0"/>
              <w:rPr>
                <w:sz w:val="17"/>
                <w:szCs w:val="17"/>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20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80"/>
        </w:trPr>
        <w:tc>
          <w:tcPr>
            <w:tcW w:w="860" w:type="dxa"/>
            <w:vAlign w:val="bottom"/>
            <w:tcBorders>
              <w:left w:val="single" w:sz="8" w:color="00C1DE"/>
            </w:tcBorders>
            <w:vMerge w:val="continue"/>
          </w:tcPr>
          <w:p>
            <w:pPr>
              <w:spacing w:after="0"/>
              <w:rPr>
                <w:sz w:val="6"/>
                <w:szCs w:val="6"/>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Report on the Use of Child Labor in</w:t>
            </w:r>
          </w:p>
        </w:tc>
        <w:tc>
          <w:tcPr>
            <w:tcW w:w="1600" w:type="dxa"/>
            <w:vAlign w:val="bottom"/>
            <w:tcBorders>
              <w:right w:val="single" w:sz="8" w:color="3E3935"/>
            </w:tcBorders>
            <w:vMerge w:val="continue"/>
          </w:tcPr>
          <w:p>
            <w:pPr>
              <w:spacing w:after="0"/>
              <w:rPr>
                <w:sz w:val="6"/>
                <w:szCs w:val="6"/>
                <w:color w:val="auto"/>
              </w:rPr>
            </w:pPr>
          </w:p>
        </w:tc>
        <w:tc>
          <w:tcPr>
            <w:tcW w:w="3020" w:type="dxa"/>
            <w:vAlign w:val="bottom"/>
            <w:tcBorders>
              <w:right w:val="single" w:sz="8" w:color="3E3935"/>
            </w:tcBorders>
          </w:tcPr>
          <w:p>
            <w:pPr>
              <w:spacing w:after="0"/>
              <w:rPr>
                <w:sz w:val="6"/>
                <w:szCs w:val="6"/>
                <w:color w:val="auto"/>
              </w:rPr>
            </w:pPr>
          </w:p>
        </w:tc>
        <w:tc>
          <w:tcPr>
            <w:tcW w:w="1160" w:type="dxa"/>
            <w:vAlign w:val="bottom"/>
            <w:tcBorders>
              <w:right w:val="single" w:sz="8" w:color="3E3935"/>
            </w:tcBorders>
            <w:vMerge w:val="continue"/>
          </w:tcPr>
          <w:p>
            <w:pPr>
              <w:spacing w:after="0"/>
              <w:rPr>
                <w:sz w:val="6"/>
                <w:szCs w:val="6"/>
                <w:color w:val="auto"/>
              </w:rPr>
            </w:pPr>
          </w:p>
        </w:tc>
        <w:tc>
          <w:tcPr>
            <w:tcW w:w="1200" w:type="dxa"/>
            <w:vAlign w:val="bottom"/>
            <w:tcBorders>
              <w:right w:val="single" w:sz="8" w:color="00C1DE"/>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60" w:type="dxa"/>
            <w:vAlign w:val="bottom"/>
            <w:tcBorders>
              <w:left w:val="single" w:sz="8" w:color="00C1DE"/>
            </w:tcBorders>
            <w:vMerge w:val="continue"/>
          </w:tcPr>
          <w:p>
            <w:pPr>
              <w:spacing w:after="0"/>
              <w:rPr>
                <w:sz w:val="9"/>
                <w:szCs w:val="9"/>
                <w:color w:val="auto"/>
              </w:rPr>
            </w:pPr>
          </w:p>
        </w:tc>
        <w:tc>
          <w:tcPr>
            <w:tcW w:w="2980" w:type="dxa"/>
            <w:vAlign w:val="bottom"/>
            <w:tcBorders>
              <w:right w:val="single" w:sz="8" w:color="3E3935"/>
            </w:tcBorders>
            <w:vMerge w:val="continue"/>
          </w:tcPr>
          <w:p>
            <w:pPr>
              <w:spacing w:after="0"/>
              <w:rPr>
                <w:sz w:val="9"/>
                <w:szCs w:val="9"/>
                <w:color w:val="auto"/>
              </w:rPr>
            </w:pPr>
          </w:p>
        </w:tc>
        <w:tc>
          <w:tcPr>
            <w:tcW w:w="1600" w:type="dxa"/>
            <w:vAlign w:val="bottom"/>
            <w:tcBorders>
              <w:right w:val="single" w:sz="8" w:color="3E3935"/>
            </w:tcBorders>
            <w:vMerge w:val="continue"/>
          </w:tcPr>
          <w:p>
            <w:pPr>
              <w:spacing w:after="0"/>
              <w:rPr>
                <w:sz w:val="9"/>
                <w:szCs w:val="9"/>
                <w:color w:val="auto"/>
              </w:rPr>
            </w:pPr>
          </w:p>
        </w:tc>
        <w:tc>
          <w:tcPr>
            <w:tcW w:w="3020" w:type="dxa"/>
            <w:vAlign w:val="bottom"/>
            <w:tcBorders>
              <w:right w:val="single" w:sz="8" w:color="3E3935"/>
            </w:tcBorders>
          </w:tcPr>
          <w:p>
            <w:pPr>
              <w:spacing w:after="0"/>
              <w:rPr>
                <w:sz w:val="9"/>
                <w:szCs w:val="9"/>
                <w:color w:val="auto"/>
              </w:rPr>
            </w:pPr>
          </w:p>
        </w:tc>
        <w:tc>
          <w:tcPr>
            <w:tcW w:w="11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200" w:type="dxa"/>
            <w:vAlign w:val="bottom"/>
            <w:tcBorders>
              <w:right w:val="single" w:sz="8" w:color="00C1D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60" w:type="dxa"/>
            <w:vAlign w:val="bottom"/>
            <w:tcBorders>
              <w:left w:val="single" w:sz="8" w:color="00C1DE"/>
            </w:tcBorders>
          </w:tcPr>
          <w:p>
            <w:pPr>
              <w:spacing w:after="0"/>
              <w:rPr>
                <w:sz w:val="9"/>
                <w:szCs w:val="9"/>
                <w:color w:val="auto"/>
              </w:rPr>
            </w:pPr>
          </w:p>
        </w:tc>
        <w:tc>
          <w:tcPr>
            <w:tcW w:w="298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Connection with Electric Vehicles</w:t>
            </w:r>
          </w:p>
        </w:tc>
        <w:tc>
          <w:tcPr>
            <w:tcW w:w="1600" w:type="dxa"/>
            <w:vAlign w:val="bottom"/>
            <w:tcBorders>
              <w:right w:val="single" w:sz="8" w:color="3E3935"/>
            </w:tcBorders>
          </w:tcPr>
          <w:p>
            <w:pPr>
              <w:spacing w:after="0"/>
              <w:rPr>
                <w:sz w:val="9"/>
                <w:szCs w:val="9"/>
                <w:color w:val="auto"/>
              </w:rPr>
            </w:pPr>
          </w:p>
        </w:tc>
        <w:tc>
          <w:tcPr>
            <w:tcW w:w="3020" w:type="dxa"/>
            <w:vAlign w:val="bottom"/>
            <w:tcBorders>
              <w:right w:val="single" w:sz="8" w:color="3E3935"/>
            </w:tcBorders>
          </w:tcPr>
          <w:p>
            <w:pPr>
              <w:spacing w:after="0"/>
              <w:rPr>
                <w:sz w:val="9"/>
                <w:szCs w:val="9"/>
                <w:color w:val="auto"/>
              </w:rPr>
            </w:pPr>
          </w:p>
        </w:tc>
        <w:tc>
          <w:tcPr>
            <w:tcW w:w="1160" w:type="dxa"/>
            <w:vAlign w:val="bottom"/>
            <w:tcBorders>
              <w:right w:val="single" w:sz="8" w:color="3E3935"/>
            </w:tcBorders>
            <w:vMerge w:val="continue"/>
          </w:tcPr>
          <w:p>
            <w:pPr>
              <w:spacing w:after="0"/>
              <w:rPr>
                <w:sz w:val="9"/>
                <w:szCs w:val="9"/>
                <w:color w:val="auto"/>
              </w:rPr>
            </w:pPr>
          </w:p>
        </w:tc>
        <w:tc>
          <w:tcPr>
            <w:tcW w:w="1200" w:type="dxa"/>
            <w:vAlign w:val="bottom"/>
            <w:tcBorders>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60" w:type="dxa"/>
            <w:vAlign w:val="bottom"/>
            <w:tcBorders>
              <w:left w:val="single" w:sz="8" w:color="00C1DE"/>
            </w:tcBorders>
          </w:tcPr>
          <w:p>
            <w:pPr>
              <w:spacing w:after="0"/>
              <w:rPr>
                <w:sz w:val="11"/>
                <w:szCs w:val="11"/>
                <w:color w:val="auto"/>
              </w:rPr>
            </w:pPr>
          </w:p>
        </w:tc>
        <w:tc>
          <w:tcPr>
            <w:tcW w:w="2980" w:type="dxa"/>
            <w:vAlign w:val="bottom"/>
            <w:tcBorders>
              <w:right w:val="single" w:sz="8" w:color="3E3935"/>
            </w:tcBorders>
            <w:vMerge w:val="continue"/>
          </w:tcPr>
          <w:p>
            <w:pPr>
              <w:spacing w:after="0"/>
              <w:rPr>
                <w:sz w:val="11"/>
                <w:szCs w:val="11"/>
                <w:color w:val="auto"/>
              </w:rPr>
            </w:pPr>
          </w:p>
        </w:tc>
        <w:tc>
          <w:tcPr>
            <w:tcW w:w="1600" w:type="dxa"/>
            <w:vAlign w:val="bottom"/>
            <w:tcBorders>
              <w:right w:val="single" w:sz="8" w:color="3E3935"/>
            </w:tcBorders>
          </w:tcPr>
          <w:p>
            <w:pPr>
              <w:spacing w:after="0"/>
              <w:rPr>
                <w:sz w:val="11"/>
                <w:szCs w:val="11"/>
                <w:color w:val="auto"/>
              </w:rPr>
            </w:pPr>
          </w:p>
        </w:tc>
        <w:tc>
          <w:tcPr>
            <w:tcW w:w="3020" w:type="dxa"/>
            <w:vAlign w:val="bottom"/>
            <w:tcBorders>
              <w:right w:val="single" w:sz="8" w:color="3E3935"/>
            </w:tcBorders>
          </w:tcPr>
          <w:p>
            <w:pPr>
              <w:spacing w:after="0"/>
              <w:rPr>
                <w:sz w:val="11"/>
                <w:szCs w:val="11"/>
                <w:color w:val="auto"/>
              </w:rPr>
            </w:pPr>
          </w:p>
        </w:tc>
        <w:tc>
          <w:tcPr>
            <w:tcW w:w="1160" w:type="dxa"/>
            <w:vAlign w:val="bottom"/>
            <w:tcBorders>
              <w:right w:val="single" w:sz="8" w:color="3E3935"/>
            </w:tcBorders>
          </w:tcPr>
          <w:p>
            <w:pPr>
              <w:spacing w:after="0"/>
              <w:rPr>
                <w:sz w:val="11"/>
                <w:szCs w:val="11"/>
                <w:color w:val="auto"/>
              </w:rPr>
            </w:pPr>
          </w:p>
        </w:tc>
        <w:tc>
          <w:tcPr>
            <w:tcW w:w="1200" w:type="dxa"/>
            <w:vAlign w:val="bottom"/>
            <w:tcBorders>
              <w:right w:val="single" w:sz="8" w:color="00C1DE"/>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0071CE"/>
            </w:tcBorders>
            <w:shd w:val="clear" w:color="auto" w:fill="0071CE"/>
          </w:tcPr>
          <w:p>
            <w:pPr>
              <w:spacing w:after="0" w:line="20" w:lineRule="exact"/>
              <w:rPr>
                <w:sz w:val="1"/>
                <w:szCs w:val="1"/>
                <w:color w:val="auto"/>
              </w:rPr>
            </w:pPr>
          </w:p>
        </w:tc>
        <w:tc>
          <w:tcPr>
            <w:tcW w:w="2980" w:type="dxa"/>
            <w:vAlign w:val="bottom"/>
            <w:tcBorders>
              <w:right w:val="single" w:sz="8" w:color="0071CE"/>
            </w:tcBorders>
            <w:shd w:val="clear" w:color="auto" w:fill="0071CE"/>
          </w:tcPr>
          <w:p>
            <w:pPr>
              <w:spacing w:after="0" w:line="20" w:lineRule="exact"/>
              <w:rPr>
                <w:sz w:val="1"/>
                <w:szCs w:val="1"/>
                <w:color w:val="auto"/>
              </w:rPr>
            </w:pPr>
          </w:p>
        </w:tc>
        <w:tc>
          <w:tcPr>
            <w:tcW w:w="1600" w:type="dxa"/>
            <w:vAlign w:val="bottom"/>
            <w:tcBorders>
              <w:right w:val="single" w:sz="8" w:color="0071CE"/>
            </w:tcBorders>
            <w:shd w:val="clear" w:color="auto" w:fill="0071CE"/>
          </w:tcPr>
          <w:p>
            <w:pPr>
              <w:spacing w:after="0" w:line="20" w:lineRule="exact"/>
              <w:rPr>
                <w:sz w:val="1"/>
                <w:szCs w:val="1"/>
                <w:color w:val="auto"/>
              </w:rPr>
            </w:pPr>
          </w:p>
        </w:tc>
        <w:tc>
          <w:tcPr>
            <w:tcW w:w="3020" w:type="dxa"/>
            <w:vAlign w:val="bottom"/>
            <w:tcBorders>
              <w:right w:val="single" w:sz="8" w:color="0071CE"/>
            </w:tcBorders>
            <w:shd w:val="clear" w:color="auto" w:fill="0071CE"/>
          </w:tcPr>
          <w:p>
            <w:pPr>
              <w:spacing w:after="0" w:line="20" w:lineRule="exact"/>
              <w:rPr>
                <w:sz w:val="1"/>
                <w:szCs w:val="1"/>
                <w:color w:val="auto"/>
              </w:rPr>
            </w:pPr>
          </w:p>
        </w:tc>
        <w:tc>
          <w:tcPr>
            <w:tcW w:w="1160" w:type="dxa"/>
            <w:vAlign w:val="bottom"/>
            <w:tcBorders>
              <w:right w:val="single" w:sz="8" w:color="0071CE"/>
            </w:tcBorders>
            <w:shd w:val="clear" w:color="auto" w:fill="0071CE"/>
          </w:tcPr>
          <w:p>
            <w:pPr>
              <w:spacing w:after="0" w:line="20" w:lineRule="exact"/>
              <w:rPr>
                <w:sz w:val="1"/>
                <w:szCs w:val="1"/>
                <w:color w:val="auto"/>
              </w:rPr>
            </w:pPr>
          </w:p>
        </w:tc>
        <w:tc>
          <w:tcPr>
            <w:tcW w:w="1200" w:type="dxa"/>
            <w:vAlign w:val="bottom"/>
            <w:tcBorders>
              <w:right w:val="single" w:sz="8" w:color="0071CE"/>
            </w:tcBorders>
            <w:shd w:val="clear" w:color="auto" w:fill="0071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both"/>
        <w:ind w:left="600" w:hanging="433"/>
        <w:spacing w:after="0" w:line="247" w:lineRule="auto"/>
        <w:tabs>
          <w:tab w:leader="none" w:pos="600" w:val="left"/>
        </w:tabs>
        <w:numPr>
          <w:ilvl w:val="0"/>
          <w:numId w:val="148"/>
        </w:numPr>
        <w:rPr>
          <w:rFonts w:ascii="Arial" w:cs="Arial" w:eastAsia="Arial" w:hAnsi="Arial"/>
          <w:sz w:val="18"/>
          <w:szCs w:val="18"/>
          <w:i w:val="1"/>
          <w:iCs w:val="1"/>
          <w:color w:val="3E3935"/>
        </w:rPr>
      </w:pPr>
      <w:r>
        <w:rPr>
          <w:rFonts w:ascii="Arial" w:cs="Arial" w:eastAsia="Arial" w:hAnsi="Arial"/>
          <w:sz w:val="18"/>
          <w:szCs w:val="18"/>
          <w:i w:val="1"/>
          <w:iCs w:val="1"/>
          <w:color w:val="3E3935"/>
        </w:rPr>
        <w:t>See sections 1.7 and 2.2(c) of the General Motors Company Amended and Restated Bylaws as of August 17, 2021 (the “Bylaws”) for a description of the vote requirements and the impact of abstentions and broker non-votes on the meeting agenda items listed above.</w:t>
      </w:r>
    </w:p>
    <w:p>
      <w:pPr>
        <w:spacing w:after="0" w:line="291" w:lineRule="exact"/>
        <w:rPr>
          <w:sz w:val="20"/>
          <w:szCs w:val="20"/>
          <w:color w:val="auto"/>
        </w:rPr>
      </w:pPr>
    </w:p>
    <w:p>
      <w:pPr>
        <w:ind w:left="700" w:hanging="533"/>
        <w:spacing w:after="0"/>
        <w:tabs>
          <w:tab w:leader="none" w:pos="700" w:val="left"/>
        </w:tabs>
        <w:numPr>
          <w:ilvl w:val="0"/>
          <w:numId w:val="149"/>
        </w:numPr>
        <w:rPr>
          <w:rFonts w:ascii="Times New Roman" w:cs="Times New Roman" w:eastAsia="Times New Roman" w:hAnsi="Times New Roman"/>
          <w:sz w:val="21"/>
          <w:szCs w:val="21"/>
          <w:color w:val="0071CE"/>
        </w:rPr>
      </w:pPr>
      <w:r>
        <w:rPr>
          <w:rFonts w:ascii="Arial" w:cs="Arial" w:eastAsia="Arial" w:hAnsi="Arial"/>
          <w:sz w:val="25"/>
          <w:szCs w:val="25"/>
          <w:color w:val="3E3935"/>
        </w:rPr>
        <w:t>Other Matters to Be Presented at the Annual Meeting</w:t>
      </w:r>
    </w:p>
    <w:p>
      <w:pPr>
        <w:spacing w:after="0" w:line="141"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We do not know of any matters to be voted on by shareholders at the Annual Meeting other than those included in this Proxy Statement. If any matter other than the election of the directors or items 2 through 6 in this Proxy Statement is properly presented at the meeting, your executed proxy gives the Proxies (as defined below) discretionary authority to vote your shares in accordance with their best judgment with respect to the matter presented.</w:t>
      </w:r>
    </w:p>
    <w:p>
      <w:pPr>
        <w:spacing w:after="0" w:line="11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150"/>
        </w:numPr>
        <w:rPr>
          <w:rFonts w:ascii="Times New Roman" w:cs="Times New Roman" w:eastAsia="Times New Roman" w:hAnsi="Times New Roman"/>
          <w:sz w:val="21"/>
          <w:szCs w:val="21"/>
          <w:color w:val="0071CE"/>
        </w:rPr>
      </w:pPr>
      <w:r>
        <w:rPr>
          <w:rFonts w:ascii="Arial" w:cs="Arial" w:eastAsia="Arial" w:hAnsi="Arial"/>
          <w:sz w:val="25"/>
          <w:szCs w:val="25"/>
          <w:color w:val="3E3935"/>
        </w:rPr>
        <w:t>Attending the Virtual Annual Meeting</w:t>
      </w:r>
    </w:p>
    <w:p>
      <w:pPr>
        <w:spacing w:after="0" w:line="155" w:lineRule="exact"/>
        <w:rPr>
          <w:sz w:val="20"/>
          <w:szCs w:val="20"/>
          <w:color w:val="auto"/>
        </w:rPr>
      </w:pPr>
    </w:p>
    <w:p>
      <w:pPr>
        <w:ind w:left="160"/>
        <w:spacing w:after="0" w:line="251" w:lineRule="auto"/>
        <w:rPr>
          <w:sz w:val="20"/>
          <w:szCs w:val="20"/>
          <w:color w:val="auto"/>
        </w:rPr>
      </w:pPr>
      <w:r>
        <w:rPr>
          <w:rFonts w:ascii="Arial" w:cs="Arial" w:eastAsia="Arial" w:hAnsi="Arial"/>
          <w:sz w:val="20"/>
          <w:szCs w:val="20"/>
          <w:color w:val="3E3935"/>
        </w:rPr>
        <w:t>The Annual Meeting will be held virtually again this year. If circumstances warrant, the Board of Directors and certain members of management may dial in to the webinar from remote locations and will not be present in person.</w:t>
      </w:r>
    </w:p>
    <w:p>
      <w:pPr>
        <w:spacing w:after="0" w:line="189" w:lineRule="exact"/>
        <w:rPr>
          <w:sz w:val="20"/>
          <w:szCs w:val="20"/>
          <w:color w:val="auto"/>
        </w:rPr>
      </w:pPr>
    </w:p>
    <w:tbl>
      <w:tblPr>
        <w:tblLayout w:type="fixed"/>
        <w:tblInd w:w="170" w:type="dxa"/>
        <w:tblCellMar>
          <w:top w:w="0" w:type="dxa"/>
          <w:left w:w="0" w:type="dxa"/>
          <w:bottom w:w="0" w:type="dxa"/>
          <w:right w:w="0" w:type="dxa"/>
        </w:tblCellMar>
      </w:tblPr>
      <w:tr>
        <w:trPr>
          <w:trHeight w:val="257"/>
        </w:trPr>
        <w:tc>
          <w:tcPr>
            <w:tcW w:w="2540" w:type="dxa"/>
            <w:vAlign w:val="bottom"/>
            <w:tcBorders>
              <w:top w:val="single" w:sz="8" w:color="3E3935"/>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280" w:type="dxa"/>
            <w:vAlign w:val="bottom"/>
            <w:tcBorders>
              <w:top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 xml:space="preserve">1.  Visit </w:t>
            </w:r>
            <w:r>
              <w:rPr>
                <w:rFonts w:ascii="Arial" w:cs="Arial" w:eastAsia="Arial" w:hAnsi="Arial"/>
                <w:sz w:val="20"/>
                <w:szCs w:val="20"/>
                <w:i w:val="1"/>
                <w:iCs w:val="1"/>
                <w:color w:val="00C1DE"/>
              </w:rPr>
              <w:t>virtualshareholdermeeting.com/GM2022</w:t>
            </w:r>
            <w:r>
              <w:rPr>
                <w:rFonts w:ascii="Arial" w:cs="Arial" w:eastAsia="Arial" w:hAnsi="Arial"/>
                <w:sz w:val="20"/>
                <w:szCs w:val="20"/>
                <w:color w:val="3E3935"/>
              </w:rPr>
              <w:t>; and</w:t>
            </w:r>
          </w:p>
        </w:tc>
      </w:tr>
      <w:tr>
        <w:trPr>
          <w:trHeight w:val="214"/>
        </w:trPr>
        <w:tc>
          <w:tcPr>
            <w:tcW w:w="254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the Annual Meeting</w:t>
            </w:r>
          </w:p>
        </w:tc>
        <w:tc>
          <w:tcPr>
            <w:tcW w:w="828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2. Enter the 16-digit control number included on your Notice Regarding the Availability of</w:t>
            </w:r>
          </w:p>
        </w:tc>
      </w:tr>
      <w:tr>
        <w:trPr>
          <w:trHeight w:val="216"/>
        </w:trPr>
        <w:tc>
          <w:tcPr>
            <w:tcW w:w="2540" w:type="dxa"/>
            <w:vAlign w:val="bottom"/>
            <w:tcBorders>
              <w:left w:val="single" w:sz="8" w:color="3E3935"/>
              <w:right w:val="single" w:sz="8" w:color="3E3935"/>
            </w:tcBorders>
          </w:tcPr>
          <w:p>
            <w:pPr>
              <w:ind w:left="160"/>
              <w:spacing w:after="0" w:line="216" w:lineRule="exact"/>
              <w:rPr>
                <w:sz w:val="20"/>
                <w:szCs w:val="20"/>
                <w:color w:val="auto"/>
              </w:rPr>
            </w:pPr>
            <w:r>
              <w:rPr>
                <w:rFonts w:ascii="Arial" w:cs="Arial" w:eastAsia="Arial" w:hAnsi="Arial"/>
                <w:sz w:val="20"/>
                <w:szCs w:val="20"/>
                <w:b w:val="1"/>
                <w:bCs w:val="1"/>
                <w:color w:val="00C1DE"/>
              </w:rPr>
              <w:t>Online</w:t>
            </w:r>
          </w:p>
        </w:tc>
        <w:tc>
          <w:tcPr>
            <w:tcW w:w="8280" w:type="dxa"/>
            <w:vAlign w:val="bottom"/>
            <w:tcBorders>
              <w:right w:val="single" w:sz="8" w:color="3E3935"/>
            </w:tcBorders>
          </w:tcPr>
          <w:p>
            <w:pPr>
              <w:ind w:left="400"/>
              <w:spacing w:after="0" w:line="216" w:lineRule="exact"/>
              <w:rPr>
                <w:sz w:val="20"/>
                <w:szCs w:val="20"/>
                <w:color w:val="auto"/>
              </w:rPr>
            </w:pPr>
            <w:r>
              <w:rPr>
                <w:rFonts w:ascii="Arial" w:cs="Arial" w:eastAsia="Arial" w:hAnsi="Arial"/>
                <w:sz w:val="20"/>
                <w:szCs w:val="20"/>
                <w:color w:val="3E3935"/>
                <w:w w:val="99"/>
              </w:rPr>
              <w:t>Proxy Materials (“Notice”), on your proxy card (if you received a printed copy of the proxy</w:t>
            </w:r>
          </w:p>
        </w:tc>
      </w:tr>
      <w:tr>
        <w:trPr>
          <w:trHeight w:val="257"/>
        </w:trPr>
        <w:tc>
          <w:tcPr>
            <w:tcW w:w="2540" w:type="dxa"/>
            <w:vAlign w:val="bottom"/>
            <w:tcBorders>
              <w:left w:val="single" w:sz="8" w:color="3E3935"/>
              <w:right w:val="single" w:sz="8" w:color="3E3935"/>
            </w:tcBorders>
          </w:tcPr>
          <w:p>
            <w:pPr>
              <w:spacing w:after="0"/>
              <w:rPr>
                <w:sz w:val="22"/>
                <w:szCs w:val="22"/>
                <w:color w:val="auto"/>
              </w:rPr>
            </w:pPr>
          </w:p>
        </w:tc>
        <w:tc>
          <w:tcPr>
            <w:tcW w:w="8280" w:type="dxa"/>
            <w:vAlign w:val="bottom"/>
            <w:tcBorders>
              <w:right w:val="single" w:sz="8" w:color="3E3935"/>
            </w:tcBorders>
          </w:tcPr>
          <w:p>
            <w:pPr>
              <w:ind w:left="400"/>
              <w:spacing w:after="0"/>
              <w:rPr>
                <w:sz w:val="20"/>
                <w:szCs w:val="20"/>
                <w:color w:val="auto"/>
              </w:rPr>
            </w:pPr>
            <w:r>
              <w:rPr>
                <w:rFonts w:ascii="Arial" w:cs="Arial" w:eastAsia="Arial" w:hAnsi="Arial"/>
                <w:sz w:val="20"/>
                <w:szCs w:val="20"/>
                <w:color w:val="3E3935"/>
              </w:rPr>
              <w:t>materials), or on the instructions that accompanied your proxy materials.</w:t>
            </w:r>
          </w:p>
        </w:tc>
      </w:tr>
      <w:tr>
        <w:trPr>
          <w:trHeight w:val="251"/>
        </w:trPr>
        <w:tc>
          <w:tcPr>
            <w:tcW w:w="2540" w:type="dxa"/>
            <w:vAlign w:val="bottom"/>
            <w:tcBorders>
              <w:left w:val="single" w:sz="8" w:color="3E3935"/>
              <w:right w:val="single" w:sz="8" w:color="3E3935"/>
            </w:tcBorders>
          </w:tcPr>
          <w:p>
            <w:pPr>
              <w:spacing w:after="0"/>
              <w:rPr>
                <w:sz w:val="21"/>
                <w:szCs w:val="21"/>
                <w:color w:val="auto"/>
              </w:rPr>
            </w:pPr>
          </w:p>
        </w:tc>
        <w:tc>
          <w:tcPr>
            <w:tcW w:w="828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You may begin to log into the meeting platform beginning at 1:45 p.m. Eastern Time on</w:t>
            </w:r>
          </w:p>
        </w:tc>
      </w:tr>
      <w:tr>
        <w:trPr>
          <w:trHeight w:val="249"/>
        </w:trPr>
        <w:tc>
          <w:tcPr>
            <w:tcW w:w="2540" w:type="dxa"/>
            <w:vAlign w:val="bottom"/>
            <w:tcBorders>
              <w:left w:val="single" w:sz="8" w:color="3E3935"/>
              <w:bottom w:val="single" w:sz="8" w:color="3E3935"/>
              <w:right w:val="single" w:sz="8" w:color="3E3935"/>
            </w:tcBorders>
          </w:tcPr>
          <w:p>
            <w:pPr>
              <w:spacing w:after="0"/>
              <w:rPr>
                <w:sz w:val="21"/>
                <w:szCs w:val="21"/>
                <w:color w:val="auto"/>
              </w:rPr>
            </w:pPr>
          </w:p>
        </w:tc>
        <w:tc>
          <w:tcPr>
            <w:tcW w:w="8280" w:type="dxa"/>
            <w:vAlign w:val="bottom"/>
            <w:tcBorders>
              <w:bottom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June 13, 2022. The meeting will begin promptly at 2:00 p.m. Eastern Time.</w:t>
            </w:r>
          </w:p>
        </w:tc>
      </w:tr>
      <w:tr>
        <w:trPr>
          <w:trHeight w:val="237"/>
        </w:trPr>
        <w:tc>
          <w:tcPr>
            <w:tcW w:w="254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28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Call (877) 328-2502 (toll free) or (412) 317-5419 (international) to listen to the meeting</w:t>
            </w:r>
          </w:p>
        </w:tc>
      </w:tr>
      <w:tr>
        <w:trPr>
          <w:trHeight w:val="214"/>
        </w:trPr>
        <w:tc>
          <w:tcPr>
            <w:tcW w:w="254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the Annual Meeting</w:t>
            </w:r>
          </w:p>
        </w:tc>
        <w:tc>
          <w:tcPr>
            <w:tcW w:w="828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proceedings. If you join via phone, you will not be able to vote your shares during the</w:t>
            </w:r>
          </w:p>
        </w:tc>
      </w:tr>
      <w:tr>
        <w:trPr>
          <w:trHeight w:val="214"/>
        </w:trPr>
        <w:tc>
          <w:tcPr>
            <w:tcW w:w="254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Without Internet</w:t>
            </w:r>
          </w:p>
        </w:tc>
        <w:tc>
          <w:tcPr>
            <w:tcW w:w="828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meeting.</w:t>
            </w:r>
          </w:p>
        </w:tc>
      </w:tr>
      <w:tr>
        <w:trPr>
          <w:trHeight w:val="238"/>
        </w:trPr>
        <w:tc>
          <w:tcPr>
            <w:tcW w:w="254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Access</w:t>
            </w:r>
          </w:p>
        </w:tc>
        <w:tc>
          <w:tcPr>
            <w:tcW w:w="8280" w:type="dxa"/>
            <w:vAlign w:val="bottom"/>
            <w:tcBorders>
              <w:bottom w:val="single" w:sz="8" w:color="3E3935"/>
              <w:right w:val="single" w:sz="8" w:color="3E3935"/>
            </w:tcBorders>
          </w:tcPr>
          <w:p>
            <w:pPr>
              <w:spacing w:after="0"/>
              <w:rPr>
                <w:sz w:val="20"/>
                <w:szCs w:val="20"/>
                <w:color w:val="auto"/>
              </w:rPr>
            </w:pPr>
          </w:p>
        </w:tc>
      </w:tr>
      <w:tr>
        <w:trPr>
          <w:trHeight w:val="237"/>
        </w:trPr>
        <w:tc>
          <w:tcPr>
            <w:tcW w:w="254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28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w w:val="99"/>
              </w:rPr>
              <w:t xml:space="preserve">Visit </w:t>
            </w:r>
            <w:r>
              <w:rPr>
                <w:rFonts w:ascii="Arial" w:cs="Arial" w:eastAsia="Arial" w:hAnsi="Arial"/>
                <w:sz w:val="20"/>
                <w:szCs w:val="20"/>
                <w:i w:val="1"/>
                <w:iCs w:val="1"/>
                <w:color w:val="00C1DE"/>
                <w:w w:val="99"/>
              </w:rPr>
              <w:t>virtualshareholdermeeting.com/GM2022</w:t>
            </w:r>
            <w:r>
              <w:rPr>
                <w:rFonts w:ascii="Arial" w:cs="Arial" w:eastAsia="Arial" w:hAnsi="Arial"/>
                <w:sz w:val="20"/>
                <w:szCs w:val="20"/>
                <w:color w:val="3E3935"/>
                <w:w w:val="99"/>
              </w:rPr>
              <w:t xml:space="preserve"> and register as a guest. If you join as a guest,</w:t>
            </w:r>
          </w:p>
        </w:tc>
      </w:tr>
      <w:tr>
        <w:trPr>
          <w:trHeight w:val="214"/>
        </w:trPr>
        <w:tc>
          <w:tcPr>
            <w:tcW w:w="254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the Annual Meeting</w:t>
            </w:r>
          </w:p>
        </w:tc>
        <w:tc>
          <w:tcPr>
            <w:tcW w:w="828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you will not be able to vote your shares or ask questions during the meeting.</w:t>
            </w:r>
          </w:p>
        </w:tc>
      </w:tr>
      <w:tr>
        <w:trPr>
          <w:trHeight w:val="214"/>
        </w:trPr>
        <w:tc>
          <w:tcPr>
            <w:tcW w:w="254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Without a 16-digit</w:t>
            </w:r>
          </w:p>
        </w:tc>
        <w:tc>
          <w:tcPr>
            <w:tcW w:w="8280" w:type="dxa"/>
            <w:vAlign w:val="bottom"/>
            <w:tcBorders>
              <w:right w:val="single" w:sz="8" w:color="3E3935"/>
            </w:tcBorders>
          </w:tcPr>
          <w:p>
            <w:pPr>
              <w:spacing w:after="0"/>
              <w:rPr>
                <w:sz w:val="18"/>
                <w:szCs w:val="18"/>
                <w:color w:val="auto"/>
              </w:rPr>
            </w:pPr>
          </w:p>
        </w:tc>
      </w:tr>
      <w:tr>
        <w:trPr>
          <w:trHeight w:val="238"/>
        </w:trPr>
        <w:tc>
          <w:tcPr>
            <w:tcW w:w="254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Control Number</w:t>
            </w:r>
          </w:p>
        </w:tc>
        <w:tc>
          <w:tcPr>
            <w:tcW w:w="8280" w:type="dxa"/>
            <w:vAlign w:val="bottom"/>
            <w:tcBorders>
              <w:bottom w:val="single" w:sz="8" w:color="3E3935"/>
              <w:right w:val="single" w:sz="8" w:color="3E3935"/>
            </w:tcBorders>
          </w:tcPr>
          <w:p>
            <w:pPr>
              <w:spacing w:after="0"/>
              <w:rPr>
                <w:sz w:val="20"/>
                <w:szCs w:val="20"/>
                <w:color w:val="auto"/>
              </w:rPr>
            </w:pPr>
          </w:p>
        </w:tc>
      </w:tr>
      <w:tr>
        <w:trPr>
          <w:trHeight w:val="237"/>
        </w:trPr>
        <w:tc>
          <w:tcPr>
            <w:tcW w:w="254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For Help with</w:t>
            </w:r>
          </w:p>
        </w:tc>
        <w:tc>
          <w:tcPr>
            <w:tcW w:w="828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Call (800) 586-1548 (U.S.) or (303) 562-9288 (international) for assistance.</w:t>
            </w:r>
          </w:p>
        </w:tc>
      </w:tr>
      <w:tr>
        <w:trPr>
          <w:trHeight w:val="238"/>
        </w:trPr>
        <w:tc>
          <w:tcPr>
            <w:tcW w:w="254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Technical Difficulties</w:t>
            </w:r>
          </w:p>
        </w:tc>
        <w:tc>
          <w:tcPr>
            <w:tcW w:w="8280" w:type="dxa"/>
            <w:vAlign w:val="bottom"/>
            <w:tcBorders>
              <w:bottom w:val="single" w:sz="8" w:color="3E3935"/>
              <w:right w:val="single" w:sz="8" w:color="3E3935"/>
            </w:tcBorders>
          </w:tcPr>
          <w:p>
            <w:pPr>
              <w:spacing w:after="0"/>
              <w:rPr>
                <w:sz w:val="20"/>
                <w:szCs w:val="20"/>
                <w:color w:val="auto"/>
              </w:rPr>
            </w:pPr>
          </w:p>
        </w:tc>
      </w:tr>
      <w:tr>
        <w:trPr>
          <w:trHeight w:val="261"/>
        </w:trPr>
        <w:tc>
          <w:tcPr>
            <w:tcW w:w="254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Additional Questions</w:t>
            </w:r>
          </w:p>
        </w:tc>
        <w:tc>
          <w:tcPr>
            <w:tcW w:w="8280" w:type="dxa"/>
            <w:vAlign w:val="bottom"/>
            <w:tcBorders>
              <w:bottom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 xml:space="preserve">Email GM Shareholder Relations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xml:space="preserve"> or call (313) 667-1432.</w:t>
            </w:r>
          </w:p>
        </w:tc>
      </w:tr>
    </w:tbl>
    <w:p>
      <w:pPr>
        <w:spacing w:after="0" w:line="312" w:lineRule="exact"/>
        <w:rPr>
          <w:sz w:val="20"/>
          <w:szCs w:val="20"/>
          <w:color w:val="auto"/>
        </w:rPr>
      </w:pPr>
    </w:p>
    <w:p>
      <w:pPr>
        <w:ind w:left="700" w:hanging="533"/>
        <w:spacing w:after="0"/>
        <w:tabs>
          <w:tab w:leader="none" w:pos="700" w:val="left"/>
        </w:tabs>
        <w:numPr>
          <w:ilvl w:val="0"/>
          <w:numId w:val="151"/>
        </w:numPr>
        <w:rPr>
          <w:rFonts w:ascii="Times New Roman" w:cs="Times New Roman" w:eastAsia="Times New Roman" w:hAnsi="Times New Roman"/>
          <w:sz w:val="21"/>
          <w:szCs w:val="21"/>
          <w:color w:val="0071CE"/>
        </w:rPr>
      </w:pPr>
      <w:r>
        <w:rPr>
          <w:rFonts w:ascii="Arial" w:cs="Arial" w:eastAsia="Arial" w:hAnsi="Arial"/>
          <w:sz w:val="25"/>
          <w:szCs w:val="25"/>
          <w:color w:val="3E3935"/>
        </w:rPr>
        <w:t>Submitting Questions for Our Online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154305</wp:posOffset>
            </wp:positionV>
            <wp:extent cx="6861810" cy="11976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61810" cy="1197610"/>
                    </a:xfrm>
                    <a:prstGeom prst="rect">
                      <a:avLst/>
                    </a:prstGeom>
                    <a:noFill/>
                  </pic:spPr>
                </pic:pic>
              </a:graphicData>
            </a:graphic>
          </wp:anchor>
        </w:drawing>
      </w:r>
    </w:p>
    <w:p>
      <w:pPr>
        <w:spacing w:after="0" w:line="269" w:lineRule="exact"/>
        <w:rPr>
          <w:sz w:val="20"/>
          <w:szCs w:val="20"/>
          <w:color w:val="auto"/>
        </w:rPr>
      </w:pPr>
    </w:p>
    <w:p>
      <w:pPr>
        <w:ind w:left="2820"/>
        <w:spacing w:after="0"/>
        <w:rPr>
          <w:sz w:val="20"/>
          <w:szCs w:val="20"/>
          <w:color w:val="auto"/>
        </w:rPr>
      </w:pPr>
      <w:r>
        <w:rPr>
          <w:rFonts w:ascii="Arial" w:cs="Arial" w:eastAsia="Arial" w:hAnsi="Arial"/>
          <w:sz w:val="20"/>
          <w:szCs w:val="20"/>
          <w:color w:val="3E3935"/>
        </w:rPr>
        <w:t xml:space="preserve">1.  Log in to </w:t>
      </w:r>
      <w:r>
        <w:rPr>
          <w:rFonts w:ascii="Arial" w:cs="Arial" w:eastAsia="Arial" w:hAnsi="Arial"/>
          <w:sz w:val="20"/>
          <w:szCs w:val="20"/>
          <w:i w:val="1"/>
          <w:iCs w:val="1"/>
          <w:color w:val="00C1DE"/>
        </w:rPr>
        <w:t>proxyvote.com</w:t>
      </w:r>
      <w:r>
        <w:rPr>
          <w:rFonts w:ascii="Arial" w:cs="Arial" w:eastAsia="Arial" w:hAnsi="Arial"/>
          <w:sz w:val="20"/>
          <w:szCs w:val="20"/>
          <w:color w:val="3E3935"/>
        </w:rPr>
        <w:t>;</w:t>
      </w:r>
    </w:p>
    <w:p>
      <w:pPr>
        <w:ind w:left="320"/>
        <w:spacing w:after="0" w:line="237" w:lineRule="auto"/>
        <w:tabs>
          <w:tab w:leader="none" w:pos="2800" w:val="left"/>
        </w:tabs>
        <w:rPr>
          <w:sz w:val="20"/>
          <w:szCs w:val="20"/>
          <w:color w:val="auto"/>
        </w:rPr>
      </w:pPr>
      <w:r>
        <w:rPr>
          <w:rFonts w:ascii="Arial" w:cs="Arial" w:eastAsia="Arial" w:hAnsi="Arial"/>
          <w:sz w:val="20"/>
          <w:szCs w:val="20"/>
          <w:b w:val="1"/>
          <w:bCs w:val="1"/>
          <w:color w:val="00C1DE"/>
        </w:rPr>
        <w:t>Submitting Questions</w:t>
      </w:r>
      <w:r>
        <w:rPr>
          <w:sz w:val="20"/>
          <w:szCs w:val="20"/>
          <w:color w:val="auto"/>
        </w:rPr>
        <w:tab/>
      </w:r>
      <w:r>
        <w:rPr>
          <w:rFonts w:ascii="Arial" w:cs="Arial" w:eastAsia="Arial" w:hAnsi="Arial"/>
          <w:sz w:val="19"/>
          <w:szCs w:val="19"/>
          <w:color w:val="3E3935"/>
        </w:rPr>
        <w:t>2.  Enter your 16-digit control number; and</w:t>
      </w:r>
    </w:p>
    <w:p>
      <w:pPr>
        <w:ind w:left="2820" w:right="440" w:hanging="2687"/>
        <w:spacing w:after="0" w:line="236" w:lineRule="auto"/>
        <w:tabs>
          <w:tab w:leader="none" w:pos="2800" w:val="left"/>
        </w:tabs>
        <w:rPr>
          <w:sz w:val="20"/>
          <w:szCs w:val="20"/>
          <w:color w:val="auto"/>
        </w:rPr>
      </w:pPr>
      <w:r>
        <w:rPr>
          <w:rFonts w:ascii="Arial" w:cs="Arial" w:eastAsia="Arial" w:hAnsi="Arial"/>
          <w:sz w:val="20"/>
          <w:szCs w:val="20"/>
          <w:b w:val="1"/>
          <w:bCs w:val="1"/>
          <w:color w:val="00C1DE"/>
        </w:rPr>
        <w:t>Before the Meeting</w:t>
      </w:r>
      <w:r>
        <w:rPr>
          <w:sz w:val="20"/>
          <w:szCs w:val="20"/>
          <w:color w:val="auto"/>
        </w:rPr>
        <w:tab/>
      </w:r>
      <w:r>
        <w:rPr>
          <w:rFonts w:ascii="Arial" w:cs="Arial" w:eastAsia="Arial" w:hAnsi="Arial"/>
          <w:sz w:val="20"/>
          <w:szCs w:val="20"/>
          <w:color w:val="3E3935"/>
        </w:rPr>
        <w:t>3.  Once past the login screen, click on “Questions for Management,” type in your question, and click “Submit.”</w:t>
      </w:r>
    </w:p>
    <w:p>
      <w:pPr>
        <w:spacing w:after="0" w:line="38" w:lineRule="exact"/>
        <w:rPr>
          <w:sz w:val="20"/>
          <w:szCs w:val="20"/>
          <w:color w:val="auto"/>
        </w:rPr>
      </w:pPr>
    </w:p>
    <w:p>
      <w:pPr>
        <w:ind w:left="2820"/>
        <w:spacing w:after="0"/>
        <w:rPr>
          <w:sz w:val="20"/>
          <w:szCs w:val="20"/>
          <w:color w:val="auto"/>
        </w:rPr>
      </w:pPr>
      <w:r>
        <w:rPr>
          <w:rFonts w:ascii="Arial" w:cs="Arial" w:eastAsia="Arial" w:hAnsi="Arial"/>
          <w:sz w:val="19"/>
          <w:szCs w:val="19"/>
          <w:color w:val="3E3935"/>
        </w:rPr>
        <w:t xml:space="preserve">1.  Log in to the online meeting platform at </w:t>
      </w:r>
      <w:r>
        <w:rPr>
          <w:rFonts w:ascii="Arial" w:cs="Arial" w:eastAsia="Arial" w:hAnsi="Arial"/>
          <w:sz w:val="19"/>
          <w:szCs w:val="19"/>
          <w:i w:val="1"/>
          <w:iCs w:val="1"/>
          <w:color w:val="00C1DE"/>
        </w:rPr>
        <w:t>virtualshareholdermeeting.com/GM2022</w:t>
      </w:r>
      <w:r>
        <w:rPr>
          <w:rFonts w:ascii="Arial" w:cs="Arial" w:eastAsia="Arial" w:hAnsi="Arial"/>
          <w:sz w:val="19"/>
          <w:szCs w:val="19"/>
          <w:color w:val="3E3935"/>
        </w:rPr>
        <w:t>, type your</w:t>
      </w:r>
    </w:p>
    <w:p>
      <w:pPr>
        <w:ind w:left="320"/>
        <w:spacing w:after="0"/>
        <w:tabs>
          <w:tab w:leader="none" w:pos="3000" w:val="left"/>
        </w:tabs>
        <w:rPr>
          <w:sz w:val="20"/>
          <w:szCs w:val="20"/>
          <w:color w:val="auto"/>
        </w:rPr>
      </w:pPr>
      <w:r>
        <w:rPr>
          <w:rFonts w:ascii="Arial" w:cs="Arial" w:eastAsia="Arial" w:hAnsi="Arial"/>
          <w:sz w:val="20"/>
          <w:szCs w:val="20"/>
          <w:b w:val="1"/>
          <w:bCs w:val="1"/>
          <w:color w:val="00C1DE"/>
        </w:rPr>
        <w:t>Submitting Questions</w:t>
      </w:r>
      <w:r>
        <w:rPr>
          <w:sz w:val="20"/>
          <w:szCs w:val="20"/>
          <w:color w:val="auto"/>
        </w:rPr>
        <w:tab/>
      </w:r>
      <w:r>
        <w:rPr>
          <w:rFonts w:ascii="Arial" w:cs="Arial" w:eastAsia="Arial" w:hAnsi="Arial"/>
          <w:sz w:val="19"/>
          <w:szCs w:val="19"/>
          <w:color w:val="3E3935"/>
        </w:rPr>
        <w:t>question in the “Ask a Question” field, and click “Submit”; or</w:t>
      </w:r>
    </w:p>
    <w:p>
      <w:pPr>
        <w:jc w:val="center"/>
        <w:ind w:right="300"/>
        <w:spacing w:after="0" w:line="236" w:lineRule="auto"/>
        <w:rPr>
          <w:sz w:val="20"/>
          <w:szCs w:val="20"/>
          <w:color w:val="auto"/>
        </w:rPr>
      </w:pPr>
      <w:r>
        <w:rPr>
          <w:rFonts w:ascii="Arial" w:cs="Arial" w:eastAsia="Arial" w:hAnsi="Arial"/>
          <w:sz w:val="20"/>
          <w:szCs w:val="20"/>
          <w:b w:val="1"/>
          <w:bCs w:val="1"/>
          <w:color w:val="00C1DE"/>
        </w:rPr>
        <w:t xml:space="preserve">During the Meeting       </w:t>
      </w:r>
      <w:r>
        <w:rPr>
          <w:rFonts w:ascii="Arial" w:cs="Arial" w:eastAsia="Arial" w:hAnsi="Arial"/>
          <w:sz w:val="20"/>
          <w:szCs w:val="20"/>
          <w:color w:val="3E3935"/>
        </w:rPr>
        <w:t>2.  Call (877) 328-2502 (toll free) or (412) 317-5419 (international) and press *1 when we</w:t>
      </w:r>
      <w:r>
        <w:rPr>
          <w:rFonts w:ascii="Arial" w:cs="Arial" w:eastAsia="Arial" w:hAnsi="Arial"/>
          <w:sz w:val="20"/>
          <w:szCs w:val="20"/>
          <w:b w:val="1"/>
          <w:bCs w:val="1"/>
          <w:color w:val="00C1DE"/>
        </w:rPr>
        <w:t xml:space="preserve"> </w:t>
      </w:r>
      <w:r>
        <w:rPr>
          <w:rFonts w:ascii="Arial" w:cs="Arial" w:eastAsia="Arial" w:hAnsi="Arial"/>
          <w:sz w:val="20"/>
          <w:szCs w:val="20"/>
          <w:color w:val="3E3935"/>
        </w:rPr>
        <w:t>announce the question and answer session has opened.</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Only shareholders with a valid control number will be allowed to ask questions.</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 xml:space="preserve">Questions pertinent to meeting matters will be answered during the meeting, subject to time constraints. If there are questions pertinent to meeting matters that cannot be answered during the meeting due to time constraints, management will post answers to a representative set of such questions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The questions and answers will be available as soon as practicable after the meeting and will remain available until GM’s 2023 Proxy Statement is filed.</w:t>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152"/>
        </w:numPr>
        <w:rPr>
          <w:rFonts w:ascii="Times New Roman" w:cs="Times New Roman" w:eastAsia="Times New Roman" w:hAnsi="Times New Roman"/>
          <w:sz w:val="21"/>
          <w:szCs w:val="21"/>
          <w:color w:val="0071CE"/>
        </w:rPr>
      </w:pPr>
      <w:r>
        <w:rPr>
          <w:rFonts w:ascii="Arial" w:cs="Arial" w:eastAsia="Arial" w:hAnsi="Arial"/>
          <w:sz w:val="25"/>
          <w:szCs w:val="25"/>
          <w:color w:val="3E3935"/>
        </w:rPr>
        <w:t>Voting at the Annual Meeting</w:t>
      </w:r>
    </w:p>
    <w:p>
      <w:pPr>
        <w:spacing w:after="0" w:line="11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Shareholders of record and beneficial owners who join the Annual Meeting online will be able to vote their shares electronically during the meeting. However, even if you plan to participate in the Annual Meeting online, we recommend that you also vote by proxy so that your votes will be counted if you later decide not to participate in the Annual Meeting.</w:t>
      </w:r>
    </w:p>
    <w:p>
      <w:pPr>
        <w:spacing w:after="0" w:line="291" w:lineRule="exact"/>
        <w:rPr>
          <w:sz w:val="20"/>
          <w:szCs w:val="20"/>
          <w:color w:val="auto"/>
        </w:rPr>
      </w:pPr>
    </w:p>
    <w:p>
      <w:pPr>
        <w:ind w:left="700" w:hanging="533"/>
        <w:spacing w:after="0"/>
        <w:tabs>
          <w:tab w:leader="none" w:pos="700" w:val="left"/>
        </w:tabs>
        <w:numPr>
          <w:ilvl w:val="0"/>
          <w:numId w:val="153"/>
        </w:numPr>
        <w:rPr>
          <w:rFonts w:ascii="Times New Roman" w:cs="Times New Roman" w:eastAsia="Times New Roman" w:hAnsi="Times New Roman"/>
          <w:sz w:val="21"/>
          <w:szCs w:val="21"/>
          <w:color w:val="0071CE"/>
        </w:rPr>
      </w:pPr>
      <w:r>
        <w:rPr>
          <w:rFonts w:ascii="Arial" w:cs="Arial" w:eastAsia="Arial" w:hAnsi="Arial"/>
          <w:sz w:val="25"/>
          <w:szCs w:val="25"/>
          <w:color w:val="3E3935"/>
        </w:rPr>
        <w:t>Quorum</w:t>
      </w:r>
    </w:p>
    <w:p>
      <w:pPr>
        <w:spacing w:after="0" w:line="15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291" w:lineRule="exact"/>
        <w:rPr>
          <w:sz w:val="20"/>
          <w:szCs w:val="20"/>
          <w:color w:val="auto"/>
        </w:rPr>
      </w:pPr>
    </w:p>
    <w:p>
      <w:pPr>
        <w:ind w:left="700" w:hanging="533"/>
        <w:spacing w:after="0"/>
        <w:tabs>
          <w:tab w:leader="none" w:pos="700" w:val="left"/>
        </w:tabs>
        <w:numPr>
          <w:ilvl w:val="0"/>
          <w:numId w:val="154"/>
        </w:numPr>
        <w:rPr>
          <w:rFonts w:ascii="Times New Roman" w:cs="Times New Roman" w:eastAsia="Times New Roman" w:hAnsi="Times New Roman"/>
          <w:sz w:val="21"/>
          <w:szCs w:val="21"/>
          <w:color w:val="0071CE"/>
        </w:rPr>
      </w:pPr>
      <w:r>
        <w:rPr>
          <w:rFonts w:ascii="Arial" w:cs="Arial" w:eastAsia="Arial" w:hAnsi="Arial"/>
          <w:sz w:val="25"/>
          <w:szCs w:val="25"/>
          <w:color w:val="3E3935"/>
        </w:rPr>
        <w:t>Proxies</w:t>
      </w:r>
    </w:p>
    <w:p>
      <w:pPr>
        <w:spacing w:after="0" w:line="11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The Board appointed the following officers to act as proxies: Mary T. Barra, Craig B. Glidden, and John S. Kim (collectively, the “Proxies”).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292" w:lineRule="exact"/>
        <w:rPr>
          <w:sz w:val="20"/>
          <w:szCs w:val="20"/>
          <w:color w:val="auto"/>
        </w:rPr>
      </w:pPr>
    </w:p>
    <w:p>
      <w:pPr>
        <w:ind w:left="700" w:hanging="533"/>
        <w:spacing w:after="0"/>
        <w:tabs>
          <w:tab w:leader="none" w:pos="700" w:val="left"/>
        </w:tabs>
        <w:numPr>
          <w:ilvl w:val="0"/>
          <w:numId w:val="155"/>
        </w:numPr>
        <w:rPr>
          <w:rFonts w:ascii="Times New Roman" w:cs="Times New Roman" w:eastAsia="Times New Roman" w:hAnsi="Times New Roman"/>
          <w:sz w:val="21"/>
          <w:szCs w:val="21"/>
          <w:color w:val="0071CE"/>
        </w:rPr>
      </w:pPr>
      <w:r>
        <w:rPr>
          <w:rFonts w:ascii="Arial" w:cs="Arial" w:eastAsia="Arial" w:hAnsi="Arial"/>
          <w:sz w:val="25"/>
          <w:szCs w:val="25"/>
          <w:color w:val="3E3935"/>
        </w:rPr>
        <w:t>Who Can Vote</w:t>
      </w:r>
    </w:p>
    <w:p>
      <w:pPr>
        <w:spacing w:after="0" w:line="11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If you are a holder of the Company’s common stock as of the close of business on April 19, 2022, or you hold a valid proxy, you are entitled to vote at the Annual Meeting. On that date, the Company had 1,458,240,927 shares of common stock outstanding and entitled to vote. Each share of our common stock entitles the holder to one vote.</w:t>
      </w:r>
    </w:p>
    <w:p>
      <w:pPr>
        <w:spacing w:after="0" w:line="318" w:lineRule="exact"/>
        <w:rPr>
          <w:sz w:val="20"/>
          <w:szCs w:val="20"/>
          <w:color w:val="auto"/>
        </w:rPr>
      </w:pPr>
    </w:p>
    <w:p>
      <w:pPr>
        <w:ind w:left="700" w:hanging="533"/>
        <w:spacing w:after="0"/>
        <w:tabs>
          <w:tab w:leader="none" w:pos="700" w:val="left"/>
        </w:tabs>
        <w:numPr>
          <w:ilvl w:val="0"/>
          <w:numId w:val="156"/>
        </w:numPr>
        <w:rPr>
          <w:rFonts w:ascii="Times New Roman" w:cs="Times New Roman" w:eastAsia="Times New Roman" w:hAnsi="Times New Roman"/>
          <w:sz w:val="21"/>
          <w:szCs w:val="21"/>
          <w:color w:val="0071CE"/>
        </w:rPr>
      </w:pPr>
      <w:r>
        <w:rPr>
          <w:rFonts w:ascii="Arial" w:cs="Arial" w:eastAsia="Arial" w:hAnsi="Arial"/>
          <w:sz w:val="25"/>
          <w:szCs w:val="25"/>
          <w:color w:val="3E3935"/>
        </w:rPr>
        <w:t>Voting Without Attending the Annual Meeting</w:t>
      </w:r>
    </w:p>
    <w:p>
      <w:pPr>
        <w:spacing w:after="0" w:line="11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To vote your shares without attending the Annual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of Directors, as indicated above. Internet and telephone voting are available 24 hours a day through 11:59 p.m. Eastern Time on Sunday, June 12, 2022.</w:t>
      </w:r>
    </w:p>
    <w:p>
      <w:pPr>
        <w:spacing w:after="0" w:line="295" w:lineRule="exact"/>
        <w:rPr>
          <w:sz w:val="20"/>
          <w:szCs w:val="20"/>
          <w:color w:val="auto"/>
        </w:rPr>
      </w:pPr>
    </w:p>
    <w:p>
      <w:pPr>
        <w:ind w:left="700" w:hanging="533"/>
        <w:spacing w:after="0"/>
        <w:tabs>
          <w:tab w:leader="none" w:pos="700" w:val="left"/>
        </w:tabs>
        <w:numPr>
          <w:ilvl w:val="0"/>
          <w:numId w:val="157"/>
        </w:numPr>
        <w:rPr>
          <w:rFonts w:ascii="Times New Roman" w:cs="Times New Roman" w:eastAsia="Times New Roman" w:hAnsi="Times New Roman"/>
          <w:sz w:val="21"/>
          <w:szCs w:val="21"/>
          <w:color w:val="0071CE"/>
        </w:rPr>
      </w:pPr>
      <w:r>
        <w:rPr>
          <w:rFonts w:ascii="Arial" w:cs="Arial" w:eastAsia="Arial" w:hAnsi="Arial"/>
          <w:sz w:val="25"/>
          <w:szCs w:val="25"/>
          <w:color w:val="3E3935"/>
        </w:rPr>
        <w:t>Revoking Your Proxy</w:t>
      </w:r>
    </w:p>
    <w:p>
      <w:pPr>
        <w:spacing w:after="0" w:line="11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After you have submitted your proxy or voting instructions by Internet, telephone, or mail, you may revoke it at any time until it is voted at the Annual Meeting. Your attendance at the Annual Meeting will not cause your previously granted proxy to be revoked unless you specifically make that request or vote your shares electronically during the meeting.</w:t>
      </w:r>
    </w:p>
    <w:p>
      <w:pPr>
        <w:spacing w:after="0" w:line="117"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To revoke your proxy, follow the instructions below.</w:t>
      </w:r>
    </w:p>
    <w:p>
      <w:pPr>
        <w:spacing w:after="0" w:line="226" w:lineRule="exact"/>
        <w:rPr>
          <w:sz w:val="20"/>
          <w:szCs w:val="20"/>
          <w:color w:val="auto"/>
        </w:rPr>
      </w:pPr>
    </w:p>
    <w:tbl>
      <w:tblPr>
        <w:tblLayout w:type="fixed"/>
        <w:tblInd w:w="170" w:type="dxa"/>
        <w:tblCellMar>
          <w:top w:w="0" w:type="dxa"/>
          <w:left w:w="0" w:type="dxa"/>
          <w:bottom w:w="0" w:type="dxa"/>
          <w:right w:w="0" w:type="dxa"/>
        </w:tblCellMar>
      </w:tblPr>
      <w:tr>
        <w:trPr>
          <w:trHeight w:val="308"/>
        </w:trPr>
        <w:tc>
          <w:tcPr>
            <w:tcW w:w="1580" w:type="dxa"/>
            <w:vAlign w:val="bottom"/>
            <w:tcBorders>
              <w:top w:val="single" w:sz="8" w:color="3E3935"/>
              <w:left w:val="single" w:sz="8" w:color="3E3935"/>
            </w:tcBorders>
            <w:shd w:val="clear" w:color="auto" w:fill="0071CE"/>
          </w:tcPr>
          <w:p>
            <w:pPr>
              <w:spacing w:after="0"/>
              <w:rPr>
                <w:sz w:val="24"/>
                <w:szCs w:val="24"/>
                <w:color w:val="auto"/>
              </w:rPr>
            </w:pPr>
          </w:p>
        </w:tc>
        <w:tc>
          <w:tcPr>
            <w:tcW w:w="2740" w:type="dxa"/>
            <w:vAlign w:val="bottom"/>
            <w:tcBorders>
              <w:top w:val="single" w:sz="8" w:color="3E3935"/>
            </w:tcBorders>
            <w:shd w:val="clear" w:color="auto" w:fill="0071CE"/>
          </w:tcPr>
          <w:p>
            <w:pPr>
              <w:ind w:left="40"/>
              <w:spacing w:after="0"/>
              <w:rPr>
                <w:sz w:val="20"/>
                <w:szCs w:val="20"/>
                <w:color w:val="auto"/>
              </w:rPr>
            </w:pPr>
            <w:r>
              <w:rPr>
                <w:rFonts w:ascii="Arial" w:cs="Arial" w:eastAsia="Arial" w:hAnsi="Arial"/>
                <w:sz w:val="20"/>
                <w:szCs w:val="20"/>
                <w:b w:val="1"/>
                <w:bCs w:val="1"/>
                <w:color w:val="FFFFFF"/>
              </w:rPr>
              <w:t>Shareholders of Record</w:t>
            </w:r>
          </w:p>
        </w:tc>
        <w:tc>
          <w:tcPr>
            <w:tcW w:w="980" w:type="dxa"/>
            <w:vAlign w:val="bottom"/>
            <w:tcBorders>
              <w:top w:val="single" w:sz="8" w:color="3E3935"/>
            </w:tcBorders>
            <w:shd w:val="clear" w:color="auto" w:fill="0071CE"/>
          </w:tcPr>
          <w:p>
            <w:pPr>
              <w:spacing w:after="0"/>
              <w:rPr>
                <w:sz w:val="24"/>
                <w:szCs w:val="24"/>
                <w:color w:val="auto"/>
              </w:rPr>
            </w:pPr>
          </w:p>
        </w:tc>
        <w:tc>
          <w:tcPr>
            <w:tcW w:w="160" w:type="dxa"/>
            <w:vAlign w:val="bottom"/>
            <w:tcBorders>
              <w:top w:val="single" w:sz="8" w:color="3E3935"/>
              <w:right w:val="single" w:sz="8" w:color="3E3935"/>
            </w:tcBorders>
            <w:shd w:val="clear" w:color="auto" w:fill="0071CE"/>
          </w:tcPr>
          <w:p>
            <w:pPr>
              <w:spacing w:after="0"/>
              <w:rPr>
                <w:sz w:val="24"/>
                <w:szCs w:val="24"/>
                <w:color w:val="auto"/>
              </w:rPr>
            </w:pPr>
          </w:p>
        </w:tc>
        <w:tc>
          <w:tcPr>
            <w:tcW w:w="5360" w:type="dxa"/>
            <w:vAlign w:val="bottom"/>
            <w:tcBorders>
              <w:top w:val="single" w:sz="8" w:color="3E3935"/>
              <w:right w:val="single" w:sz="8" w:color="3E3935"/>
            </w:tcBorders>
            <w:shd w:val="clear" w:color="auto" w:fill="0071CE"/>
          </w:tcPr>
          <w:p>
            <w:pPr>
              <w:ind w:left="1460"/>
              <w:spacing w:after="0"/>
              <w:rPr>
                <w:sz w:val="20"/>
                <w:szCs w:val="20"/>
                <w:color w:val="auto"/>
              </w:rPr>
            </w:pPr>
            <w:r>
              <w:rPr>
                <w:rFonts w:ascii="Arial" w:cs="Arial" w:eastAsia="Arial" w:hAnsi="Arial"/>
                <w:sz w:val="20"/>
                <w:szCs w:val="20"/>
                <w:b w:val="1"/>
                <w:bCs w:val="1"/>
                <w:color w:val="FFFFFF"/>
              </w:rPr>
              <w:t>Street Name Shareholders</w:t>
            </w:r>
          </w:p>
        </w:tc>
        <w:tc>
          <w:tcPr>
            <w:tcW w:w="0" w:type="dxa"/>
            <w:vAlign w:val="bottom"/>
          </w:tcPr>
          <w:p>
            <w:pPr>
              <w:spacing w:after="0"/>
              <w:rPr>
                <w:sz w:val="1"/>
                <w:szCs w:val="1"/>
                <w:color w:val="auto"/>
              </w:rPr>
            </w:pPr>
          </w:p>
        </w:tc>
      </w:tr>
      <w:tr>
        <w:trPr>
          <w:trHeight w:val="353"/>
        </w:trPr>
        <w:tc>
          <w:tcPr>
            <w:tcW w:w="5300" w:type="dxa"/>
            <w:vAlign w:val="bottom"/>
            <w:tcBorders>
              <w:left w:val="single" w:sz="8" w:color="3E3935"/>
            </w:tcBorders>
            <w:gridSpan w:val="3"/>
          </w:tcPr>
          <w:p>
            <w:pPr>
              <w:ind w:left="2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Grant  a  new  proxy  bearing  a  later  date  (which</w:t>
            </w:r>
          </w:p>
        </w:tc>
        <w:tc>
          <w:tcPr>
            <w:tcW w:w="160" w:type="dxa"/>
            <w:vAlign w:val="bottom"/>
            <w:tcBorders>
              <w:right w:val="single" w:sz="8" w:color="3E3935"/>
            </w:tcBorders>
          </w:tcPr>
          <w:p>
            <w:pPr>
              <w:spacing w:after="0"/>
              <w:rPr>
                <w:sz w:val="24"/>
                <w:szCs w:val="24"/>
                <w:color w:val="auto"/>
              </w:rPr>
            </w:pPr>
          </w:p>
        </w:tc>
        <w:tc>
          <w:tcPr>
            <w:tcW w:w="5360" w:type="dxa"/>
            <w:vAlign w:val="bottom"/>
            <w:tcBorders>
              <w:right w:val="single" w:sz="8" w:color="3E3935"/>
            </w:tcBorders>
          </w:tcPr>
          <w:p>
            <w:pPr>
              <w:ind w:left="1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Notify your broker, bank, or nominee in accordance with</w:t>
            </w:r>
          </w:p>
        </w:tc>
        <w:tc>
          <w:tcPr>
            <w:tcW w:w="0" w:type="dxa"/>
            <w:vAlign w:val="bottom"/>
          </w:tcPr>
          <w:p>
            <w:pPr>
              <w:spacing w:after="0"/>
              <w:rPr>
                <w:sz w:val="1"/>
                <w:szCs w:val="1"/>
                <w:color w:val="auto"/>
              </w:rPr>
            </w:pPr>
          </w:p>
        </w:tc>
      </w:tr>
      <w:tr>
        <w:trPr>
          <w:trHeight w:val="214"/>
        </w:trPr>
        <w:tc>
          <w:tcPr>
            <w:tcW w:w="4320" w:type="dxa"/>
            <w:vAlign w:val="bottom"/>
            <w:tcBorders>
              <w:left w:val="single" w:sz="8" w:color="3E3935"/>
            </w:tcBorders>
            <w:gridSpan w:val="2"/>
          </w:tcPr>
          <w:p>
            <w:pPr>
              <w:ind w:left="560"/>
              <w:spacing w:after="0" w:line="214" w:lineRule="exact"/>
              <w:rPr>
                <w:sz w:val="20"/>
                <w:szCs w:val="20"/>
                <w:color w:val="auto"/>
              </w:rPr>
            </w:pPr>
            <w:r>
              <w:rPr>
                <w:rFonts w:ascii="Arial" w:cs="Arial" w:eastAsia="Arial" w:hAnsi="Arial"/>
                <w:sz w:val="20"/>
                <w:szCs w:val="20"/>
                <w:color w:val="3E3935"/>
              </w:rPr>
              <w:t>automatically revokes the earlier proxy);</w:t>
            </w:r>
          </w:p>
        </w:tc>
        <w:tc>
          <w:tcPr>
            <w:tcW w:w="980" w:type="dxa"/>
            <w:vAlign w:val="bottom"/>
          </w:tcPr>
          <w:p>
            <w:pPr>
              <w:spacing w:after="0"/>
              <w:rPr>
                <w:sz w:val="18"/>
                <w:szCs w:val="18"/>
                <w:color w:val="auto"/>
              </w:rPr>
            </w:pPr>
          </w:p>
        </w:tc>
        <w:tc>
          <w:tcPr>
            <w:tcW w:w="160" w:type="dxa"/>
            <w:vAlign w:val="bottom"/>
            <w:tcBorders>
              <w:right w:val="single" w:sz="8" w:color="3E3935"/>
            </w:tcBorders>
          </w:tcPr>
          <w:p>
            <w:pPr>
              <w:spacing w:after="0"/>
              <w:rPr>
                <w:sz w:val="18"/>
                <w:szCs w:val="18"/>
                <w:color w:val="auto"/>
              </w:rPr>
            </w:pPr>
          </w:p>
        </w:tc>
        <w:tc>
          <w:tcPr>
            <w:tcW w:w="5360" w:type="dxa"/>
            <w:vAlign w:val="bottom"/>
            <w:tcBorders>
              <w:right w:val="single" w:sz="8" w:color="3E3935"/>
            </w:tcBorders>
          </w:tcPr>
          <w:p>
            <w:pPr>
              <w:ind w:left="440"/>
              <w:spacing w:after="0" w:line="214" w:lineRule="exact"/>
              <w:rPr>
                <w:sz w:val="20"/>
                <w:szCs w:val="20"/>
                <w:color w:val="auto"/>
              </w:rPr>
            </w:pPr>
            <w:r>
              <w:rPr>
                <w:rFonts w:ascii="Arial" w:cs="Arial" w:eastAsia="Arial" w:hAnsi="Arial"/>
                <w:sz w:val="20"/>
                <w:szCs w:val="20"/>
                <w:color w:val="3E3935"/>
              </w:rPr>
              <w:t>that  entity’s  procedures  for  revoking  your  voting</w:t>
            </w:r>
          </w:p>
        </w:tc>
        <w:tc>
          <w:tcPr>
            <w:tcW w:w="0" w:type="dxa"/>
            <w:vAlign w:val="bottom"/>
          </w:tcPr>
          <w:p>
            <w:pPr>
              <w:spacing w:after="0"/>
              <w:rPr>
                <w:sz w:val="1"/>
                <w:szCs w:val="1"/>
                <w:color w:val="auto"/>
              </w:rPr>
            </w:pPr>
          </w:p>
        </w:tc>
      </w:tr>
      <w:tr>
        <w:trPr>
          <w:trHeight w:val="257"/>
        </w:trPr>
        <w:tc>
          <w:tcPr>
            <w:tcW w:w="5300" w:type="dxa"/>
            <w:vAlign w:val="bottom"/>
            <w:tcBorders>
              <w:left w:val="single" w:sz="8" w:color="3E3935"/>
            </w:tcBorders>
            <w:gridSpan w:val="3"/>
            <w:vMerge w:val="restart"/>
          </w:tcPr>
          <w:p>
            <w:pPr>
              <w:ind w:left="2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Send a written notice of revocation to the General</w:t>
            </w:r>
          </w:p>
        </w:tc>
        <w:tc>
          <w:tcPr>
            <w:tcW w:w="160" w:type="dxa"/>
            <w:vAlign w:val="bottom"/>
            <w:tcBorders>
              <w:right w:val="single" w:sz="8" w:color="3E3935"/>
            </w:tcBorders>
          </w:tcPr>
          <w:p>
            <w:pPr>
              <w:spacing w:after="0"/>
              <w:rPr>
                <w:sz w:val="22"/>
                <w:szCs w:val="22"/>
                <w:color w:val="auto"/>
              </w:rPr>
            </w:pPr>
          </w:p>
        </w:tc>
        <w:tc>
          <w:tcPr>
            <w:tcW w:w="5360" w:type="dxa"/>
            <w:vAlign w:val="bottom"/>
            <w:tcBorders>
              <w:right w:val="single" w:sz="8" w:color="3E3935"/>
            </w:tcBorders>
          </w:tcPr>
          <w:p>
            <w:pPr>
              <w:ind w:left="440"/>
              <w:spacing w:after="0"/>
              <w:rPr>
                <w:sz w:val="20"/>
                <w:szCs w:val="20"/>
                <w:color w:val="auto"/>
              </w:rPr>
            </w:pPr>
            <w:r>
              <w:rPr>
                <w:rFonts w:ascii="Arial" w:cs="Arial" w:eastAsia="Arial" w:hAnsi="Arial"/>
                <w:sz w:val="20"/>
                <w:szCs w:val="20"/>
                <w:color w:val="3E3935"/>
              </w:rPr>
              <w:t>instructions; or</w:t>
            </w:r>
          </w:p>
        </w:tc>
        <w:tc>
          <w:tcPr>
            <w:tcW w:w="0" w:type="dxa"/>
            <w:vAlign w:val="bottom"/>
          </w:tcPr>
          <w:p>
            <w:pPr>
              <w:spacing w:after="0"/>
              <w:rPr>
                <w:sz w:val="1"/>
                <w:szCs w:val="1"/>
                <w:color w:val="auto"/>
              </w:rPr>
            </w:pPr>
          </w:p>
        </w:tc>
      </w:tr>
      <w:tr>
        <w:trPr>
          <w:trHeight w:val="130"/>
        </w:trPr>
        <w:tc>
          <w:tcPr>
            <w:tcW w:w="5300" w:type="dxa"/>
            <w:vAlign w:val="bottom"/>
            <w:tcBorders>
              <w:left w:val="single" w:sz="8" w:color="3E3935"/>
            </w:tcBorders>
            <w:gridSpan w:val="3"/>
            <w:vMerge w:val="continue"/>
          </w:tcPr>
          <w:p>
            <w:pPr>
              <w:spacing w:after="0"/>
              <w:rPr>
                <w:sz w:val="11"/>
                <w:szCs w:val="11"/>
                <w:color w:val="auto"/>
              </w:rPr>
            </w:pPr>
          </w:p>
        </w:tc>
        <w:tc>
          <w:tcPr>
            <w:tcW w:w="160" w:type="dxa"/>
            <w:vAlign w:val="bottom"/>
            <w:tcBorders>
              <w:right w:val="single" w:sz="8" w:color="3E3935"/>
            </w:tcBorders>
          </w:tcPr>
          <w:p>
            <w:pPr>
              <w:spacing w:after="0"/>
              <w:rPr>
                <w:sz w:val="11"/>
                <w:szCs w:val="11"/>
                <w:color w:val="auto"/>
              </w:rPr>
            </w:pPr>
          </w:p>
        </w:tc>
        <w:tc>
          <w:tcPr>
            <w:tcW w:w="5360" w:type="dxa"/>
            <w:vAlign w:val="bottom"/>
            <w:tcBorders>
              <w:right w:val="single" w:sz="8" w:color="3E3935"/>
            </w:tcBorders>
            <w:vMerge w:val="restart"/>
          </w:tcPr>
          <w:p>
            <w:pPr>
              <w:ind w:left="1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Participate in the Annual Meeting and vote your shares</w:t>
            </w:r>
          </w:p>
        </w:tc>
        <w:tc>
          <w:tcPr>
            <w:tcW w:w="0" w:type="dxa"/>
            <w:vAlign w:val="bottom"/>
          </w:tcPr>
          <w:p>
            <w:pPr>
              <w:spacing w:after="0"/>
              <w:rPr>
                <w:sz w:val="1"/>
                <w:szCs w:val="1"/>
                <w:color w:val="auto"/>
              </w:rPr>
            </w:pPr>
          </w:p>
        </w:tc>
      </w:tr>
      <w:tr>
        <w:trPr>
          <w:trHeight w:val="214"/>
        </w:trPr>
        <w:tc>
          <w:tcPr>
            <w:tcW w:w="5300" w:type="dxa"/>
            <w:vAlign w:val="bottom"/>
            <w:tcBorders>
              <w:left w:val="single" w:sz="8" w:color="3E3935"/>
            </w:tcBorders>
            <w:gridSpan w:val="3"/>
          </w:tcPr>
          <w:p>
            <w:pPr>
              <w:ind w:left="560"/>
              <w:spacing w:after="0" w:line="214" w:lineRule="exact"/>
              <w:rPr>
                <w:sz w:val="20"/>
                <w:szCs w:val="20"/>
                <w:color w:val="auto"/>
              </w:rPr>
            </w:pPr>
            <w:r>
              <w:rPr>
                <w:rFonts w:ascii="Arial" w:cs="Arial" w:eastAsia="Arial" w:hAnsi="Arial"/>
                <w:sz w:val="20"/>
                <w:szCs w:val="20"/>
                <w:color w:val="3E3935"/>
              </w:rPr>
              <w:t>Motors Company Corporate Secretary at Mail Code</w:t>
            </w:r>
          </w:p>
        </w:tc>
        <w:tc>
          <w:tcPr>
            <w:tcW w:w="160" w:type="dxa"/>
            <w:vAlign w:val="bottom"/>
            <w:tcBorders>
              <w:right w:val="single" w:sz="8" w:color="3E3935"/>
            </w:tcBorders>
          </w:tcPr>
          <w:p>
            <w:pPr>
              <w:spacing w:after="0"/>
              <w:rPr>
                <w:sz w:val="18"/>
                <w:szCs w:val="18"/>
                <w:color w:val="auto"/>
              </w:rPr>
            </w:pPr>
          </w:p>
        </w:tc>
        <w:tc>
          <w:tcPr>
            <w:tcW w:w="5360" w:type="dxa"/>
            <w:vAlign w:val="bottom"/>
            <w:tcBorders>
              <w:right w:val="single" w:sz="8" w:color="3E393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Borders>
              <w:left w:val="single" w:sz="8" w:color="3E3935"/>
            </w:tcBorders>
            <w:gridSpan w:val="3"/>
          </w:tcPr>
          <w:p>
            <w:pPr>
              <w:ind w:left="560"/>
              <w:spacing w:after="0" w:line="214" w:lineRule="exact"/>
              <w:rPr>
                <w:sz w:val="20"/>
                <w:szCs w:val="20"/>
                <w:color w:val="auto"/>
              </w:rPr>
            </w:pPr>
            <w:r>
              <w:rPr>
                <w:rFonts w:ascii="Arial" w:cs="Arial" w:eastAsia="Arial" w:hAnsi="Arial"/>
                <w:sz w:val="20"/>
                <w:szCs w:val="20"/>
                <w:color w:val="3E3935"/>
              </w:rPr>
              <w:t>482-C24-A68,  300  Renaissance  Center,  Detroit,</w:t>
            </w:r>
          </w:p>
        </w:tc>
        <w:tc>
          <w:tcPr>
            <w:tcW w:w="160" w:type="dxa"/>
            <w:vAlign w:val="bottom"/>
            <w:tcBorders>
              <w:right w:val="single" w:sz="8" w:color="3E3935"/>
            </w:tcBorders>
          </w:tcPr>
          <w:p>
            <w:pPr>
              <w:spacing w:after="0"/>
              <w:rPr>
                <w:sz w:val="18"/>
                <w:szCs w:val="18"/>
                <w:color w:val="auto"/>
              </w:rPr>
            </w:pPr>
          </w:p>
        </w:tc>
        <w:tc>
          <w:tcPr>
            <w:tcW w:w="5360" w:type="dxa"/>
            <w:vAlign w:val="bottom"/>
            <w:tcBorders>
              <w:right w:val="single" w:sz="8" w:color="3E3935"/>
            </w:tcBorders>
          </w:tcPr>
          <w:p>
            <w:pPr>
              <w:ind w:left="440"/>
              <w:spacing w:after="0" w:line="214" w:lineRule="exact"/>
              <w:rPr>
                <w:sz w:val="20"/>
                <w:szCs w:val="20"/>
                <w:color w:val="auto"/>
              </w:rPr>
            </w:pPr>
            <w:r>
              <w:rPr>
                <w:rFonts w:ascii="Arial" w:cs="Arial" w:eastAsia="Arial" w:hAnsi="Arial"/>
                <w:sz w:val="20"/>
                <w:szCs w:val="20"/>
                <w:color w:val="3E3935"/>
              </w:rPr>
              <w:t>electronically during the meeting.</w:t>
            </w:r>
          </w:p>
        </w:tc>
        <w:tc>
          <w:tcPr>
            <w:tcW w:w="0" w:type="dxa"/>
            <w:vAlign w:val="bottom"/>
          </w:tcPr>
          <w:p>
            <w:pPr>
              <w:spacing w:after="0"/>
              <w:rPr>
                <w:sz w:val="1"/>
                <w:szCs w:val="1"/>
                <w:color w:val="auto"/>
              </w:rPr>
            </w:pPr>
          </w:p>
        </w:tc>
      </w:tr>
      <w:tr>
        <w:trPr>
          <w:trHeight w:val="257"/>
        </w:trPr>
        <w:tc>
          <w:tcPr>
            <w:tcW w:w="4320" w:type="dxa"/>
            <w:vAlign w:val="bottom"/>
            <w:tcBorders>
              <w:left w:val="single" w:sz="8" w:color="3E3935"/>
            </w:tcBorders>
            <w:gridSpan w:val="2"/>
          </w:tcPr>
          <w:p>
            <w:pPr>
              <w:ind w:left="560"/>
              <w:spacing w:after="0"/>
              <w:rPr>
                <w:sz w:val="20"/>
                <w:szCs w:val="20"/>
                <w:color w:val="auto"/>
              </w:rPr>
            </w:pPr>
            <w:r>
              <w:rPr>
                <w:rFonts w:ascii="Arial" w:cs="Arial" w:eastAsia="Arial" w:hAnsi="Arial"/>
                <w:sz w:val="20"/>
                <w:szCs w:val="20"/>
                <w:color w:val="3E3935"/>
              </w:rPr>
              <w:t>Michigan 48265;</w:t>
            </w:r>
          </w:p>
        </w:tc>
        <w:tc>
          <w:tcPr>
            <w:tcW w:w="980" w:type="dxa"/>
            <w:vAlign w:val="bottom"/>
          </w:tcPr>
          <w:p>
            <w:pPr>
              <w:spacing w:after="0"/>
              <w:rPr>
                <w:sz w:val="22"/>
                <w:szCs w:val="22"/>
                <w:color w:val="auto"/>
              </w:rPr>
            </w:pPr>
          </w:p>
        </w:tc>
        <w:tc>
          <w:tcPr>
            <w:tcW w:w="160" w:type="dxa"/>
            <w:vAlign w:val="bottom"/>
            <w:tcBorders>
              <w:right w:val="single" w:sz="8" w:color="3E3935"/>
            </w:tcBorders>
          </w:tcPr>
          <w:p>
            <w:pPr>
              <w:spacing w:after="0"/>
              <w:rPr>
                <w:sz w:val="22"/>
                <w:szCs w:val="22"/>
                <w:color w:val="auto"/>
              </w:rPr>
            </w:pPr>
          </w:p>
        </w:tc>
        <w:tc>
          <w:tcPr>
            <w:tcW w:w="5360" w:type="dxa"/>
            <w:vAlign w:val="bottom"/>
            <w:tcBorders>
              <w:right w:val="single" w:sz="8" w:color="3E3935"/>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580" w:type="dxa"/>
            <w:vAlign w:val="bottom"/>
            <w:tcBorders>
              <w:left w:val="single" w:sz="8" w:color="3E3935"/>
            </w:tcBorders>
          </w:tcPr>
          <w:p>
            <w:pPr>
              <w:ind w:left="2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E-mail  the</w:t>
            </w:r>
          </w:p>
        </w:tc>
        <w:tc>
          <w:tcPr>
            <w:tcW w:w="2740" w:type="dxa"/>
            <w:vAlign w:val="bottom"/>
          </w:tcPr>
          <w:p>
            <w:pPr>
              <w:ind w:left="140"/>
              <w:spacing w:after="0"/>
              <w:rPr>
                <w:sz w:val="20"/>
                <w:szCs w:val="20"/>
                <w:color w:val="auto"/>
              </w:rPr>
            </w:pPr>
            <w:r>
              <w:rPr>
                <w:rFonts w:ascii="Arial" w:cs="Arial" w:eastAsia="Arial" w:hAnsi="Arial"/>
                <w:sz w:val="20"/>
                <w:szCs w:val="20"/>
                <w:color w:val="3E3935"/>
              </w:rPr>
              <w:t>General  Motors  Company</w:t>
            </w:r>
          </w:p>
        </w:tc>
        <w:tc>
          <w:tcPr>
            <w:tcW w:w="980" w:type="dxa"/>
            <w:vAlign w:val="bottom"/>
          </w:tcPr>
          <w:p>
            <w:pPr>
              <w:jc w:val="right"/>
              <w:spacing w:after="0"/>
              <w:rPr>
                <w:sz w:val="20"/>
                <w:szCs w:val="20"/>
                <w:color w:val="auto"/>
              </w:rPr>
            </w:pPr>
            <w:r>
              <w:rPr>
                <w:rFonts w:ascii="Arial" w:cs="Arial" w:eastAsia="Arial" w:hAnsi="Arial"/>
                <w:sz w:val="20"/>
                <w:szCs w:val="20"/>
                <w:color w:val="3E3935"/>
              </w:rPr>
              <w:t>Corporate</w:t>
            </w:r>
          </w:p>
        </w:tc>
        <w:tc>
          <w:tcPr>
            <w:tcW w:w="160" w:type="dxa"/>
            <w:vAlign w:val="bottom"/>
            <w:tcBorders>
              <w:right w:val="single" w:sz="8" w:color="3E3935"/>
            </w:tcBorders>
          </w:tcPr>
          <w:p>
            <w:pPr>
              <w:spacing w:after="0"/>
              <w:rPr>
                <w:sz w:val="24"/>
                <w:szCs w:val="24"/>
                <w:color w:val="auto"/>
              </w:rPr>
            </w:pPr>
          </w:p>
        </w:tc>
        <w:tc>
          <w:tcPr>
            <w:tcW w:w="5360" w:type="dxa"/>
            <w:vAlign w:val="bottom"/>
            <w:tcBorders>
              <w:right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00" w:type="dxa"/>
            <w:vAlign w:val="bottom"/>
            <w:tcBorders>
              <w:left w:val="single" w:sz="8" w:color="3E3935"/>
            </w:tcBorders>
            <w:gridSpan w:val="3"/>
          </w:tcPr>
          <w:p>
            <w:pPr>
              <w:ind w:left="560"/>
              <w:spacing w:after="0"/>
              <w:rPr>
                <w:sz w:val="20"/>
                <w:szCs w:val="20"/>
                <w:color w:val="auto"/>
              </w:rPr>
            </w:pPr>
            <w:r>
              <w:rPr>
                <w:rFonts w:ascii="Arial" w:cs="Arial" w:eastAsia="Arial" w:hAnsi="Arial"/>
                <w:sz w:val="20"/>
                <w:szCs w:val="20"/>
                <w:color w:val="3E3935"/>
              </w:rPr>
              <w:t xml:space="preserve">Secretary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or</w:t>
            </w:r>
          </w:p>
        </w:tc>
        <w:tc>
          <w:tcPr>
            <w:tcW w:w="160" w:type="dxa"/>
            <w:vAlign w:val="bottom"/>
            <w:tcBorders>
              <w:right w:val="single" w:sz="8" w:color="3E3935"/>
            </w:tcBorders>
          </w:tcPr>
          <w:p>
            <w:pPr>
              <w:spacing w:after="0"/>
              <w:rPr>
                <w:sz w:val="22"/>
                <w:szCs w:val="22"/>
                <w:color w:val="auto"/>
              </w:rPr>
            </w:pPr>
          </w:p>
        </w:tc>
        <w:tc>
          <w:tcPr>
            <w:tcW w:w="5360" w:type="dxa"/>
            <w:vAlign w:val="bottom"/>
            <w:tcBorders>
              <w:right w:val="single" w:sz="8" w:color="3E3935"/>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580" w:type="dxa"/>
            <w:vAlign w:val="bottom"/>
            <w:tcBorders>
              <w:left w:val="single" w:sz="8" w:color="3E3935"/>
            </w:tcBorders>
          </w:tcPr>
          <w:p>
            <w:pPr>
              <w:ind w:left="260"/>
              <w:spacing w:after="0"/>
              <w:rPr>
                <w:sz w:val="20"/>
                <w:szCs w:val="20"/>
                <w:color w:val="auto"/>
              </w:rPr>
            </w:pPr>
            <w:r>
              <w:rPr>
                <w:rFonts w:ascii="Arial" w:cs="Arial" w:eastAsia="Arial" w:hAnsi="Arial"/>
                <w:sz w:val="27"/>
                <w:szCs w:val="27"/>
                <w:color w:val="00C1DE"/>
              </w:rPr>
              <w:t>•</w:t>
            </w:r>
            <w:r>
              <w:rPr>
                <w:rFonts w:ascii="Arial" w:cs="Arial" w:eastAsia="Arial" w:hAnsi="Arial"/>
                <w:sz w:val="19"/>
                <w:szCs w:val="19"/>
                <w:color w:val="3E3935"/>
              </w:rPr>
              <w:t xml:space="preserve">    Participate</w:t>
            </w:r>
          </w:p>
        </w:tc>
        <w:tc>
          <w:tcPr>
            <w:tcW w:w="2740" w:type="dxa"/>
            <w:vAlign w:val="bottom"/>
          </w:tcPr>
          <w:p>
            <w:pPr>
              <w:ind w:left="20"/>
              <w:spacing w:after="0"/>
              <w:rPr>
                <w:sz w:val="20"/>
                <w:szCs w:val="20"/>
                <w:color w:val="auto"/>
              </w:rPr>
            </w:pPr>
            <w:r>
              <w:rPr>
                <w:rFonts w:ascii="Arial" w:cs="Arial" w:eastAsia="Arial" w:hAnsi="Arial"/>
                <w:sz w:val="20"/>
                <w:szCs w:val="20"/>
                <w:color w:val="3E3935"/>
              </w:rPr>
              <w:t>in  the  Annual  Meeting  and</w:t>
            </w:r>
          </w:p>
        </w:tc>
        <w:tc>
          <w:tcPr>
            <w:tcW w:w="980" w:type="dxa"/>
            <w:vAlign w:val="bottom"/>
          </w:tcPr>
          <w:p>
            <w:pPr>
              <w:jc w:val="right"/>
              <w:spacing w:after="0"/>
              <w:rPr>
                <w:sz w:val="20"/>
                <w:szCs w:val="20"/>
                <w:color w:val="auto"/>
              </w:rPr>
            </w:pPr>
            <w:r>
              <w:rPr>
                <w:rFonts w:ascii="Arial" w:cs="Arial" w:eastAsia="Arial" w:hAnsi="Arial"/>
                <w:sz w:val="20"/>
                <w:szCs w:val="20"/>
                <w:color w:val="3E3935"/>
              </w:rPr>
              <w:t>vote  your</w:t>
            </w:r>
          </w:p>
        </w:tc>
        <w:tc>
          <w:tcPr>
            <w:tcW w:w="160" w:type="dxa"/>
            <w:vAlign w:val="bottom"/>
            <w:tcBorders>
              <w:right w:val="single" w:sz="8" w:color="3E3935"/>
            </w:tcBorders>
          </w:tcPr>
          <w:p>
            <w:pPr>
              <w:spacing w:after="0"/>
              <w:rPr>
                <w:sz w:val="24"/>
                <w:szCs w:val="24"/>
                <w:color w:val="auto"/>
              </w:rPr>
            </w:pPr>
          </w:p>
        </w:tc>
        <w:tc>
          <w:tcPr>
            <w:tcW w:w="5360" w:type="dxa"/>
            <w:vAlign w:val="bottom"/>
            <w:tcBorders>
              <w:right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320" w:type="dxa"/>
            <w:vAlign w:val="bottom"/>
            <w:tcBorders>
              <w:left w:val="single" w:sz="8" w:color="3E3935"/>
              <w:bottom w:val="single" w:sz="8" w:color="3E3935"/>
            </w:tcBorders>
            <w:gridSpan w:val="2"/>
          </w:tcPr>
          <w:p>
            <w:pPr>
              <w:ind w:left="560"/>
              <w:spacing w:after="0"/>
              <w:rPr>
                <w:sz w:val="20"/>
                <w:szCs w:val="20"/>
                <w:color w:val="auto"/>
              </w:rPr>
            </w:pPr>
            <w:r>
              <w:rPr>
                <w:rFonts w:ascii="Arial" w:cs="Arial" w:eastAsia="Arial" w:hAnsi="Arial"/>
                <w:sz w:val="20"/>
                <w:szCs w:val="20"/>
                <w:color w:val="3E3935"/>
              </w:rPr>
              <w:t>shares electronically during the meeting.</w:t>
            </w:r>
          </w:p>
        </w:tc>
        <w:tc>
          <w:tcPr>
            <w:tcW w:w="980" w:type="dxa"/>
            <w:vAlign w:val="bottom"/>
            <w:tcBorders>
              <w:bottom w:val="single" w:sz="8" w:color="3E3935"/>
            </w:tcBorders>
          </w:tcPr>
          <w:p>
            <w:pPr>
              <w:spacing w:after="0"/>
              <w:rPr>
                <w:sz w:val="23"/>
                <w:szCs w:val="23"/>
                <w:color w:val="auto"/>
              </w:rPr>
            </w:pPr>
          </w:p>
        </w:tc>
        <w:tc>
          <w:tcPr>
            <w:tcW w:w="160" w:type="dxa"/>
            <w:vAlign w:val="bottom"/>
            <w:tcBorders>
              <w:bottom w:val="single" w:sz="8" w:color="3E3935"/>
              <w:right w:val="single" w:sz="8" w:color="3E3935"/>
            </w:tcBorders>
          </w:tcPr>
          <w:p>
            <w:pPr>
              <w:spacing w:after="0"/>
              <w:rPr>
                <w:sz w:val="23"/>
                <w:szCs w:val="23"/>
                <w:color w:val="auto"/>
              </w:rPr>
            </w:pPr>
          </w:p>
        </w:tc>
        <w:tc>
          <w:tcPr>
            <w:tcW w:w="5360" w:type="dxa"/>
            <w:vAlign w:val="bottom"/>
            <w:tcBorders>
              <w:bottom w:val="single" w:sz="8" w:color="3E3935"/>
              <w:right w:val="single" w:sz="8" w:color="3E3935"/>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700" w:hanging="533"/>
        <w:spacing w:after="0"/>
        <w:tabs>
          <w:tab w:leader="none" w:pos="700" w:val="left"/>
        </w:tabs>
        <w:numPr>
          <w:ilvl w:val="0"/>
          <w:numId w:val="158"/>
        </w:numPr>
        <w:rPr>
          <w:rFonts w:ascii="Times New Roman" w:cs="Times New Roman" w:eastAsia="Times New Roman" w:hAnsi="Times New Roman"/>
          <w:sz w:val="21"/>
          <w:szCs w:val="21"/>
          <w:color w:val="0071CE"/>
        </w:rPr>
      </w:pPr>
      <w:r>
        <w:rPr>
          <w:rFonts w:ascii="Arial" w:cs="Arial" w:eastAsia="Arial" w:hAnsi="Arial"/>
          <w:sz w:val="25"/>
          <w:szCs w:val="25"/>
          <w:color w:val="3E3935"/>
        </w:rPr>
        <w:t>Annual Meeting Voting Results</w:t>
      </w:r>
    </w:p>
    <w:p>
      <w:pPr>
        <w:spacing w:after="0" w:line="155" w:lineRule="exact"/>
        <w:rPr>
          <w:sz w:val="20"/>
          <w:szCs w:val="20"/>
          <w:color w:val="auto"/>
        </w:rPr>
      </w:pPr>
    </w:p>
    <w:p>
      <w:pPr>
        <w:ind w:left="160" w:right="20"/>
        <w:spacing w:after="0" w:line="251" w:lineRule="auto"/>
        <w:rPr>
          <w:sz w:val="20"/>
          <w:szCs w:val="20"/>
          <w:color w:val="auto"/>
        </w:rPr>
      </w:pPr>
      <w:r>
        <w:rPr>
          <w:rFonts w:ascii="Arial" w:cs="Arial" w:eastAsia="Arial" w:hAnsi="Arial"/>
          <w:sz w:val="20"/>
          <w:szCs w:val="20"/>
          <w:color w:val="3E3935"/>
        </w:rPr>
        <w:t>Our independent inspector of elections, Broadridge Financial Services, Inc., will tabulate the vote at the Annual Meeting. We will provide voting results on our website and in a Current Report on Form 8-K filed with the SEC.</w:t>
      </w:r>
    </w:p>
    <w:p>
      <w:pPr>
        <w:spacing w:after="0" w:line="280" w:lineRule="exact"/>
        <w:rPr>
          <w:sz w:val="20"/>
          <w:szCs w:val="20"/>
          <w:color w:val="auto"/>
        </w:rPr>
      </w:pPr>
    </w:p>
    <w:p>
      <w:pPr>
        <w:ind w:left="700" w:hanging="533"/>
        <w:spacing w:after="0"/>
        <w:tabs>
          <w:tab w:leader="none" w:pos="700" w:val="left"/>
        </w:tabs>
        <w:numPr>
          <w:ilvl w:val="0"/>
          <w:numId w:val="159"/>
        </w:numPr>
        <w:rPr>
          <w:rFonts w:ascii="Times New Roman" w:cs="Times New Roman" w:eastAsia="Times New Roman" w:hAnsi="Times New Roman"/>
          <w:sz w:val="21"/>
          <w:szCs w:val="21"/>
          <w:color w:val="0071CE"/>
        </w:rPr>
      </w:pPr>
      <w:r>
        <w:rPr>
          <w:rFonts w:ascii="Arial" w:cs="Arial" w:eastAsia="Arial" w:hAnsi="Arial"/>
          <w:sz w:val="25"/>
          <w:szCs w:val="25"/>
          <w:color w:val="3E3935"/>
        </w:rPr>
        <w:t>“Shareholder of Record” and “Beneficial Shareholder”</w:t>
      </w:r>
    </w:p>
    <w:p>
      <w:pPr>
        <w:spacing w:after="0" w:line="15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 xml:space="preserve">If your shares are owned directly in your name in an account with GM’s stock transfer agent, Computershare Trust Company, N.A., you are considered the “shareholder of record” of those shares in your account. 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cs="Arial" w:eastAsia="Arial" w:hAnsi="Arial"/>
          <w:sz w:val="20"/>
          <w:szCs w:val="20"/>
          <w:b w:val="1"/>
          <w:bCs w:val="1"/>
          <w:u w:val="single" w:color="auto"/>
          <w:color w:val="3E3935"/>
        </w:rPr>
        <w:t>must</w:t>
      </w:r>
      <w:r>
        <w:rPr>
          <w:rFonts w:ascii="Arial" w:cs="Arial" w:eastAsia="Arial" w:hAnsi="Arial"/>
          <w:sz w:val="20"/>
          <w:szCs w:val="20"/>
          <w:color w:val="3E3935"/>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3 (“Proposal to Ratify the Selection of Ernst &amp; Young LLP as the Company’s Independent Registered Public Accounting Firm for 2022”) even if you do not provide voting instructions because it is considered a routine matter. </w:t>
      </w:r>
      <w:r>
        <w:rPr>
          <w:rFonts w:ascii="Arial" w:cs="Arial" w:eastAsia="Arial" w:hAnsi="Arial"/>
          <w:sz w:val="20"/>
          <w:szCs w:val="20"/>
          <w:b w:val="1"/>
          <w:bCs w:val="1"/>
          <w:color w:val="3E3935"/>
        </w:rPr>
        <w:t>Your broker is not permitted to vote on the other</w:t>
      </w:r>
      <w:r>
        <w:rPr>
          <w:rFonts w:ascii="Arial" w:cs="Arial" w:eastAsia="Arial" w:hAnsi="Arial"/>
          <w:sz w:val="20"/>
          <w:szCs w:val="20"/>
          <w:color w:val="3E3935"/>
        </w:rPr>
        <w:t xml:space="preserve"> </w:t>
      </w:r>
      <w:r>
        <w:rPr>
          <w:rFonts w:ascii="Arial" w:cs="Arial" w:eastAsia="Arial" w:hAnsi="Arial"/>
          <w:sz w:val="20"/>
          <w:szCs w:val="20"/>
          <w:b w:val="1"/>
          <w:bCs w:val="1"/>
          <w:color w:val="3E3935"/>
        </w:rPr>
        <w:t>agenda items if you do not provide voting instructions because those items involve matters that are considered nonroutine.</w:t>
      </w:r>
    </w:p>
    <w:p>
      <w:pPr>
        <w:spacing w:after="0" w:line="284" w:lineRule="exact"/>
        <w:rPr>
          <w:sz w:val="20"/>
          <w:szCs w:val="20"/>
          <w:color w:val="auto"/>
        </w:rPr>
      </w:pPr>
    </w:p>
    <w:p>
      <w:pPr>
        <w:ind w:left="700" w:hanging="533"/>
        <w:spacing w:after="0"/>
        <w:tabs>
          <w:tab w:leader="none" w:pos="700" w:val="left"/>
        </w:tabs>
        <w:numPr>
          <w:ilvl w:val="0"/>
          <w:numId w:val="160"/>
        </w:numPr>
        <w:rPr>
          <w:rFonts w:ascii="Times New Roman" w:cs="Times New Roman" w:eastAsia="Times New Roman" w:hAnsi="Times New Roman"/>
          <w:sz w:val="21"/>
          <w:szCs w:val="21"/>
          <w:color w:val="0071CE"/>
        </w:rPr>
      </w:pPr>
      <w:r>
        <w:rPr>
          <w:rFonts w:ascii="Arial" w:cs="Arial" w:eastAsia="Arial" w:hAnsi="Arial"/>
          <w:sz w:val="25"/>
          <w:szCs w:val="25"/>
          <w:color w:val="3E3935"/>
        </w:rPr>
        <w:t>Householding</w:t>
      </w:r>
    </w:p>
    <w:p>
      <w:pPr>
        <w:spacing w:after="0" w:line="141"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105" w:lineRule="exact"/>
        <w:rPr>
          <w:sz w:val="20"/>
          <w:szCs w:val="20"/>
          <w:color w:val="auto"/>
        </w:rPr>
      </w:pPr>
    </w:p>
    <w:p>
      <w:pPr>
        <w:jc w:val="both"/>
        <w:ind w:left="160"/>
        <w:spacing w:after="0" w:line="238" w:lineRule="auto"/>
        <w:rPr>
          <w:sz w:val="20"/>
          <w:szCs w:val="20"/>
          <w:color w:val="auto"/>
        </w:rPr>
      </w:pPr>
      <w:r>
        <w:rPr>
          <w:rFonts w:ascii="Arial" w:cs="Arial" w:eastAsia="Arial" w:hAnsi="Arial"/>
          <w:sz w:val="20"/>
          <w:szCs w:val="20"/>
          <w:color w:val="3E3935"/>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w:t>
      </w:r>
    </w:p>
    <w:p>
      <w:pPr>
        <w:spacing w:after="0" w:line="117"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51" w:lineRule="auto"/>
        <w:rPr>
          <w:sz w:val="20"/>
          <w:szCs w:val="20"/>
          <w:color w:val="auto"/>
        </w:rPr>
      </w:pPr>
      <w:r>
        <w:rPr>
          <w:rFonts w:ascii="Arial" w:cs="Arial" w:eastAsia="Arial" w:hAnsi="Arial"/>
          <w:sz w:val="20"/>
          <w:szCs w:val="20"/>
          <w:color w:val="3E3935"/>
        </w:rPr>
        <w:t>Financial Solutions, Inc., by calling toll-free at (866) 540-7095 or by writing to Broadridge Financial Solutions, Inc., Householding Department, 51 Mercedes Way, Edgewood, New York 11717.</w:t>
      </w:r>
    </w:p>
    <w:p>
      <w:pPr>
        <w:spacing w:after="0" w:line="94" w:lineRule="exact"/>
        <w:rPr>
          <w:sz w:val="20"/>
          <w:szCs w:val="20"/>
          <w:color w:val="auto"/>
        </w:rPr>
      </w:pPr>
    </w:p>
    <w:p>
      <w:pPr>
        <w:jc w:val="both"/>
        <w:ind w:left="160" w:right="20"/>
        <w:spacing w:after="0" w:line="238" w:lineRule="auto"/>
        <w:rPr>
          <w:sz w:val="20"/>
          <w:szCs w:val="20"/>
          <w:color w:val="auto"/>
        </w:rPr>
      </w:pPr>
      <w:r>
        <w:rPr>
          <w:rFonts w:ascii="Arial" w:cs="Arial" w:eastAsia="Arial" w:hAnsi="Arial"/>
          <w:sz w:val="20"/>
          <w:szCs w:val="20"/>
          <w:color w:val="3E3935"/>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291" w:lineRule="exact"/>
        <w:rPr>
          <w:sz w:val="20"/>
          <w:szCs w:val="20"/>
          <w:color w:val="auto"/>
        </w:rPr>
      </w:pPr>
    </w:p>
    <w:p>
      <w:pPr>
        <w:ind w:left="700" w:hanging="533"/>
        <w:spacing w:after="0"/>
        <w:tabs>
          <w:tab w:leader="none" w:pos="700" w:val="left"/>
        </w:tabs>
        <w:numPr>
          <w:ilvl w:val="0"/>
          <w:numId w:val="161"/>
        </w:numPr>
        <w:rPr>
          <w:rFonts w:ascii="Times New Roman" w:cs="Times New Roman" w:eastAsia="Times New Roman" w:hAnsi="Times New Roman"/>
          <w:sz w:val="21"/>
          <w:szCs w:val="21"/>
          <w:color w:val="0071CE"/>
        </w:rPr>
      </w:pPr>
      <w:r>
        <w:rPr>
          <w:rFonts w:ascii="Arial" w:cs="Arial" w:eastAsia="Arial" w:hAnsi="Arial"/>
          <w:sz w:val="25"/>
          <w:szCs w:val="25"/>
          <w:color w:val="3E3935"/>
        </w:rPr>
        <w:t>Shareholder Proposals and Director Nominations for the 2023 Annual Meeting</w:t>
      </w:r>
    </w:p>
    <w:p>
      <w:pPr>
        <w:spacing w:after="0" w:line="223" w:lineRule="exact"/>
        <w:rPr>
          <w:sz w:val="20"/>
          <w:szCs w:val="20"/>
          <w:color w:val="auto"/>
        </w:rPr>
      </w:pPr>
    </w:p>
    <w:tbl>
      <w:tblPr>
        <w:tblLayout w:type="fixed"/>
        <w:tblInd w:w="170" w:type="dxa"/>
        <w:tblCellMar>
          <w:top w:w="0" w:type="dxa"/>
          <w:left w:w="0" w:type="dxa"/>
          <w:bottom w:w="0" w:type="dxa"/>
          <w:right w:w="0" w:type="dxa"/>
        </w:tblCellMar>
      </w:tblPr>
      <w:tr>
        <w:trPr>
          <w:trHeight w:val="259"/>
        </w:trPr>
        <w:tc>
          <w:tcPr>
            <w:tcW w:w="2480" w:type="dxa"/>
            <w:vAlign w:val="bottom"/>
            <w:tcBorders>
              <w:top w:val="single" w:sz="8" w:color="00C1DE"/>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Type of Proposal</w:t>
            </w:r>
          </w:p>
        </w:tc>
        <w:tc>
          <w:tcPr>
            <w:tcW w:w="2960" w:type="dxa"/>
            <w:vAlign w:val="bottom"/>
            <w:tcBorders>
              <w:top w:val="single" w:sz="8" w:color="00C1DE"/>
              <w:right w:val="single" w:sz="8" w:color="3E3935"/>
            </w:tcBorders>
          </w:tcPr>
          <w:p>
            <w:pPr>
              <w:spacing w:after="0"/>
              <w:rPr>
                <w:sz w:val="22"/>
                <w:szCs w:val="22"/>
                <w:color w:val="auto"/>
              </w:rPr>
            </w:pPr>
          </w:p>
        </w:tc>
        <w:tc>
          <w:tcPr>
            <w:tcW w:w="2820" w:type="dxa"/>
            <w:vAlign w:val="bottom"/>
            <w:tcBorders>
              <w:top w:val="single" w:sz="8" w:color="00C1DE"/>
              <w:right w:val="single" w:sz="8" w:color="3E3935"/>
            </w:tcBorders>
          </w:tcPr>
          <w:p>
            <w:pPr>
              <w:ind w:left="60"/>
              <w:spacing w:after="0"/>
              <w:rPr>
                <w:sz w:val="20"/>
                <w:szCs w:val="20"/>
                <w:color w:val="auto"/>
              </w:rPr>
            </w:pPr>
            <w:r>
              <w:rPr>
                <w:rFonts w:ascii="Arial" w:cs="Arial" w:eastAsia="Arial" w:hAnsi="Arial"/>
                <w:sz w:val="20"/>
                <w:szCs w:val="20"/>
                <w:color w:val="3E3935"/>
              </w:rPr>
              <w:t>Director Nominees for</w:t>
            </w:r>
          </w:p>
        </w:tc>
        <w:tc>
          <w:tcPr>
            <w:tcW w:w="2560" w:type="dxa"/>
            <w:vAlign w:val="bottom"/>
            <w:tcBorders>
              <w:top w:val="single" w:sz="8" w:color="00C1DE"/>
              <w:right w:val="single" w:sz="8" w:color="00C1DE"/>
            </w:tcBorders>
          </w:tcPr>
          <w:p>
            <w:pPr>
              <w:ind w:left="60"/>
              <w:spacing w:after="0"/>
              <w:rPr>
                <w:sz w:val="20"/>
                <w:szCs w:val="20"/>
                <w:color w:val="auto"/>
              </w:rPr>
            </w:pPr>
            <w:r>
              <w:rPr>
                <w:rFonts w:ascii="Arial" w:cs="Arial" w:eastAsia="Arial" w:hAnsi="Arial"/>
                <w:sz w:val="20"/>
                <w:szCs w:val="20"/>
                <w:color w:val="3E3935"/>
              </w:rPr>
              <w:t>Other Proposals or</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Rule 14a-8 Proposals by</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Inclusion in Next Year’s</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Nominees for Presentation</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Shareholders for Inclusion in</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Proxy Statement (Proxy</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at Next Year’s Annual</w:t>
            </w:r>
          </w:p>
        </w:tc>
      </w:tr>
      <w:tr>
        <w:trPr>
          <w:trHeight w:val="257"/>
        </w:trPr>
        <w:tc>
          <w:tcPr>
            <w:tcW w:w="2480" w:type="dxa"/>
            <w:vAlign w:val="bottom"/>
            <w:tcBorders>
              <w:left w:val="single" w:sz="8" w:color="00C1DE"/>
              <w:right w:val="single" w:sz="8" w:color="3E3935"/>
            </w:tcBorders>
          </w:tcPr>
          <w:p>
            <w:pPr>
              <w:spacing w:after="0"/>
              <w:rPr>
                <w:sz w:val="22"/>
                <w:szCs w:val="22"/>
                <w:color w:val="auto"/>
              </w:rPr>
            </w:pPr>
          </w:p>
        </w:tc>
        <w:tc>
          <w:tcPr>
            <w:tcW w:w="29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Next Year’s Proxy Statement</w:t>
            </w:r>
          </w:p>
        </w:tc>
        <w:tc>
          <w:tcPr>
            <w:tcW w:w="282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Access)</w:t>
            </w:r>
          </w:p>
        </w:tc>
        <w:tc>
          <w:tcPr>
            <w:tcW w:w="2560" w:type="dxa"/>
            <w:vAlign w:val="bottom"/>
            <w:tcBorders>
              <w:right w:val="single" w:sz="8" w:color="00C1DE"/>
            </w:tcBorders>
          </w:tcPr>
          <w:p>
            <w:pPr>
              <w:ind w:left="60"/>
              <w:spacing w:after="0"/>
              <w:rPr>
                <w:sz w:val="20"/>
                <w:szCs w:val="20"/>
                <w:color w:val="auto"/>
              </w:rPr>
            </w:pPr>
            <w:r>
              <w:rPr>
                <w:rFonts w:ascii="Arial" w:cs="Arial" w:eastAsia="Arial" w:hAnsi="Arial"/>
                <w:sz w:val="20"/>
                <w:szCs w:val="20"/>
                <w:color w:val="3E3935"/>
              </w:rPr>
              <w:t>Meeting</w:t>
            </w:r>
          </w:p>
        </w:tc>
      </w:tr>
      <w:tr>
        <w:trPr>
          <w:trHeight w:val="32"/>
        </w:trPr>
        <w:tc>
          <w:tcPr>
            <w:tcW w:w="2480" w:type="dxa"/>
            <w:vAlign w:val="bottom"/>
            <w:tcBorders>
              <w:left w:val="single" w:sz="8" w:color="00C1DE"/>
              <w:bottom w:val="single" w:sz="8" w:color="00C1DE"/>
              <w:right w:val="single" w:sz="8" w:color="3E3935"/>
            </w:tcBorders>
          </w:tcPr>
          <w:p>
            <w:pPr>
              <w:spacing w:after="0"/>
              <w:rPr>
                <w:sz w:val="2"/>
                <w:szCs w:val="2"/>
                <w:color w:val="auto"/>
              </w:rPr>
            </w:pPr>
          </w:p>
        </w:tc>
        <w:tc>
          <w:tcPr>
            <w:tcW w:w="2960" w:type="dxa"/>
            <w:vAlign w:val="bottom"/>
            <w:tcBorders>
              <w:bottom w:val="single" w:sz="8" w:color="00C1DE"/>
              <w:right w:val="single" w:sz="8" w:color="3E3935"/>
            </w:tcBorders>
          </w:tcPr>
          <w:p>
            <w:pPr>
              <w:spacing w:after="0"/>
              <w:rPr>
                <w:sz w:val="2"/>
                <w:szCs w:val="2"/>
                <w:color w:val="auto"/>
              </w:rPr>
            </w:pPr>
          </w:p>
        </w:tc>
        <w:tc>
          <w:tcPr>
            <w:tcW w:w="2820" w:type="dxa"/>
            <w:vAlign w:val="bottom"/>
            <w:tcBorders>
              <w:bottom w:val="single" w:sz="8" w:color="00C1DE"/>
              <w:right w:val="single" w:sz="8" w:color="3E3935"/>
            </w:tcBorders>
          </w:tcPr>
          <w:p>
            <w:pPr>
              <w:spacing w:after="0"/>
              <w:rPr>
                <w:sz w:val="2"/>
                <w:szCs w:val="2"/>
                <w:color w:val="auto"/>
              </w:rPr>
            </w:pPr>
          </w:p>
        </w:tc>
        <w:tc>
          <w:tcPr>
            <w:tcW w:w="2560" w:type="dxa"/>
            <w:vAlign w:val="bottom"/>
            <w:tcBorders>
              <w:bottom w:val="single" w:sz="8" w:color="00C1DE"/>
              <w:right w:val="single" w:sz="8" w:color="00C1DE"/>
            </w:tcBorders>
          </w:tcPr>
          <w:p>
            <w:pPr>
              <w:spacing w:after="0"/>
              <w:rPr>
                <w:sz w:val="2"/>
                <w:szCs w:val="2"/>
                <w:color w:val="auto"/>
              </w:rPr>
            </w:pPr>
          </w:p>
        </w:tc>
      </w:tr>
      <w:tr>
        <w:trPr>
          <w:trHeight w:val="239"/>
        </w:trPr>
        <w:tc>
          <w:tcPr>
            <w:tcW w:w="248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Rules/Provisions</w:t>
            </w:r>
          </w:p>
        </w:tc>
        <w:tc>
          <w:tcPr>
            <w:tcW w:w="29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SEC rules and our Bylaws</w:t>
            </w:r>
          </w:p>
        </w:tc>
        <w:tc>
          <w:tcPr>
            <w:tcW w:w="282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Our Bylaws permit a</w:t>
            </w:r>
          </w:p>
        </w:tc>
        <w:tc>
          <w:tcPr>
            <w:tcW w:w="2560" w:type="dxa"/>
            <w:vAlign w:val="bottom"/>
            <w:tcBorders>
              <w:right w:val="single" w:sz="8" w:color="00C1DE"/>
            </w:tcBorders>
          </w:tcPr>
          <w:p>
            <w:pPr>
              <w:ind w:left="60"/>
              <w:spacing w:after="0"/>
              <w:rPr>
                <w:sz w:val="20"/>
                <w:szCs w:val="20"/>
                <w:color w:val="auto"/>
              </w:rPr>
            </w:pPr>
            <w:r>
              <w:rPr>
                <w:rFonts w:ascii="Arial" w:cs="Arial" w:eastAsia="Arial" w:hAnsi="Arial"/>
                <w:sz w:val="20"/>
                <w:szCs w:val="20"/>
                <w:color w:val="3E3935"/>
                <w:w w:val="99"/>
              </w:rPr>
              <w:t>Our Bylaws require that any</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permit shareholders to submit</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 or group of</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shareholder proposal,</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proposals for inclusion in our</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shareholders (up to 20) who</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including a director</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Proxy Statement if the</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have owned a significant</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nomination, that is not</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 and the proposal</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amount of common stock (at</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submitted for inclusion in</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meet the requirements</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least 3%) for a significant</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next year’s Proxy</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specified in SEC Rule 14a-8.</w:t>
            </w: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amount of time (at least three</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Statement (either under</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years) to submit director</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SEC Rule 14a-8 or our</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nominees (up to 20% of the</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proxy access bylaw), but is</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Board or two directors,</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instead sought to be</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whichever is greater) for</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presented directly at next</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inclusion in our Proxy</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year’s annual meeting must</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Statement if the</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be received at our principal</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shareholder(s) and the</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executive offices no earlier</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nominee(s) satisfy the</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than 180 days and no later</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requirements specified in our</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than 120 days before the</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spacing w:after="0"/>
              <w:rPr>
                <w:sz w:val="18"/>
                <w:szCs w:val="18"/>
                <w:color w:val="auto"/>
              </w:rPr>
            </w:pPr>
          </w:p>
        </w:tc>
        <w:tc>
          <w:tcPr>
            <w:tcW w:w="282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Bylaws.</w:t>
            </w:r>
          </w:p>
        </w:tc>
        <w:tc>
          <w:tcPr>
            <w:tcW w:w="256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first anniversary of this</w:t>
            </w:r>
          </w:p>
        </w:tc>
      </w:tr>
      <w:tr>
        <w:trPr>
          <w:trHeight w:val="257"/>
        </w:trPr>
        <w:tc>
          <w:tcPr>
            <w:tcW w:w="2480" w:type="dxa"/>
            <w:vAlign w:val="bottom"/>
            <w:tcBorders>
              <w:left w:val="single" w:sz="8" w:color="00C1DE"/>
              <w:right w:val="single" w:sz="8" w:color="3E3935"/>
            </w:tcBorders>
          </w:tcPr>
          <w:p>
            <w:pPr>
              <w:spacing w:after="0"/>
              <w:rPr>
                <w:sz w:val="22"/>
                <w:szCs w:val="22"/>
                <w:color w:val="auto"/>
              </w:rPr>
            </w:pPr>
          </w:p>
        </w:tc>
        <w:tc>
          <w:tcPr>
            <w:tcW w:w="2960" w:type="dxa"/>
            <w:vAlign w:val="bottom"/>
            <w:tcBorders>
              <w:right w:val="single" w:sz="8" w:color="3E3935"/>
            </w:tcBorders>
          </w:tcPr>
          <w:p>
            <w:pPr>
              <w:spacing w:after="0"/>
              <w:rPr>
                <w:sz w:val="22"/>
                <w:szCs w:val="22"/>
                <w:color w:val="auto"/>
              </w:rPr>
            </w:pPr>
          </w:p>
        </w:tc>
        <w:tc>
          <w:tcPr>
            <w:tcW w:w="2820" w:type="dxa"/>
            <w:vAlign w:val="bottom"/>
            <w:tcBorders>
              <w:right w:val="single" w:sz="8" w:color="3E3935"/>
            </w:tcBorders>
          </w:tcPr>
          <w:p>
            <w:pPr>
              <w:spacing w:after="0"/>
              <w:rPr>
                <w:sz w:val="22"/>
                <w:szCs w:val="22"/>
                <w:color w:val="auto"/>
              </w:rPr>
            </w:pPr>
          </w:p>
        </w:tc>
        <w:tc>
          <w:tcPr>
            <w:tcW w:w="2560" w:type="dxa"/>
            <w:vAlign w:val="bottom"/>
            <w:tcBorders>
              <w:right w:val="single" w:sz="8" w:color="00C1DE"/>
            </w:tcBorders>
          </w:tcPr>
          <w:p>
            <w:pPr>
              <w:ind w:left="60"/>
              <w:spacing w:after="0"/>
              <w:rPr>
                <w:sz w:val="20"/>
                <w:szCs w:val="20"/>
                <w:color w:val="auto"/>
              </w:rPr>
            </w:pPr>
            <w:r>
              <w:rPr>
                <w:rFonts w:ascii="Arial" w:cs="Arial" w:eastAsia="Arial" w:hAnsi="Arial"/>
                <w:sz w:val="20"/>
                <w:szCs w:val="20"/>
                <w:color w:val="3E3935"/>
              </w:rPr>
              <w:t>year’s Annual Meeting.</w:t>
            </w:r>
          </w:p>
        </w:tc>
      </w:tr>
      <w:tr>
        <w:trPr>
          <w:trHeight w:val="32"/>
        </w:trPr>
        <w:tc>
          <w:tcPr>
            <w:tcW w:w="2480" w:type="dxa"/>
            <w:vAlign w:val="bottom"/>
            <w:tcBorders>
              <w:left w:val="single" w:sz="8" w:color="00C1DE"/>
              <w:bottom w:val="single" w:sz="8" w:color="3E3935"/>
              <w:right w:val="single" w:sz="8" w:color="3E3935"/>
            </w:tcBorders>
          </w:tcPr>
          <w:p>
            <w:pPr>
              <w:spacing w:after="0"/>
              <w:rPr>
                <w:sz w:val="2"/>
                <w:szCs w:val="2"/>
                <w:color w:val="auto"/>
              </w:rPr>
            </w:pPr>
          </w:p>
        </w:tc>
        <w:tc>
          <w:tcPr>
            <w:tcW w:w="2960" w:type="dxa"/>
            <w:vAlign w:val="bottom"/>
            <w:tcBorders>
              <w:bottom w:val="single" w:sz="8" w:color="3E3935"/>
              <w:right w:val="single" w:sz="8" w:color="3E3935"/>
            </w:tcBorders>
          </w:tcPr>
          <w:p>
            <w:pPr>
              <w:spacing w:after="0"/>
              <w:rPr>
                <w:sz w:val="2"/>
                <w:szCs w:val="2"/>
                <w:color w:val="auto"/>
              </w:rPr>
            </w:pPr>
          </w:p>
        </w:tc>
        <w:tc>
          <w:tcPr>
            <w:tcW w:w="2820" w:type="dxa"/>
            <w:vAlign w:val="bottom"/>
            <w:tcBorders>
              <w:bottom w:val="single" w:sz="8" w:color="3E3935"/>
              <w:right w:val="single" w:sz="8" w:color="3E3935"/>
            </w:tcBorders>
          </w:tcPr>
          <w:p>
            <w:pPr>
              <w:spacing w:after="0"/>
              <w:rPr>
                <w:sz w:val="2"/>
                <w:szCs w:val="2"/>
                <w:color w:val="auto"/>
              </w:rPr>
            </w:pPr>
          </w:p>
        </w:tc>
        <w:tc>
          <w:tcPr>
            <w:tcW w:w="2560" w:type="dxa"/>
            <w:vAlign w:val="bottom"/>
            <w:tcBorders>
              <w:bottom w:val="single" w:sz="8" w:color="3E3935"/>
              <w:right w:val="single" w:sz="8" w:color="00C1DE"/>
            </w:tcBorders>
          </w:tcPr>
          <w:p>
            <w:pPr>
              <w:spacing w:after="0"/>
              <w:rPr>
                <w:sz w:val="2"/>
                <w:szCs w:val="2"/>
                <w:color w:val="auto"/>
              </w:rPr>
            </w:pPr>
          </w:p>
        </w:tc>
      </w:tr>
      <w:tr>
        <w:trPr>
          <w:trHeight w:val="237"/>
        </w:trPr>
        <w:tc>
          <w:tcPr>
            <w:tcW w:w="248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w w:val="97"/>
              </w:rPr>
              <w:t>Deadline for Submitting</w:t>
            </w:r>
          </w:p>
        </w:tc>
        <w:tc>
          <w:tcPr>
            <w:tcW w:w="29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Proposals must be received at</w:t>
            </w:r>
          </w:p>
        </w:tc>
        <w:tc>
          <w:tcPr>
            <w:tcW w:w="5380" w:type="dxa"/>
            <w:vAlign w:val="bottom"/>
            <w:tcBorders>
              <w:right w:val="single" w:sz="8" w:color="00C1DE"/>
            </w:tcBorders>
            <w:gridSpan w:val="2"/>
          </w:tcPr>
          <w:p>
            <w:pPr>
              <w:ind w:left="60"/>
              <w:spacing w:after="0"/>
              <w:rPr>
                <w:sz w:val="20"/>
                <w:szCs w:val="20"/>
                <w:color w:val="auto"/>
              </w:rPr>
            </w:pPr>
            <w:r>
              <w:rPr>
                <w:rFonts w:ascii="Arial" w:cs="Arial" w:eastAsia="Arial" w:hAnsi="Arial"/>
                <w:sz w:val="20"/>
                <w:szCs w:val="20"/>
                <w:color w:val="3E3935"/>
                <w:w w:val="98"/>
              </w:rPr>
              <w:t>Proposals must be received at our principal executive offices</w:t>
            </w:r>
          </w:p>
        </w:tc>
      </w:tr>
      <w:tr>
        <w:trPr>
          <w:trHeight w:val="214"/>
        </w:trPr>
        <w:tc>
          <w:tcPr>
            <w:tcW w:w="2480" w:type="dxa"/>
            <w:vAlign w:val="bottom"/>
            <w:tcBorders>
              <w:left w:val="single" w:sz="8" w:color="00C1DE"/>
              <w:right w:val="single" w:sz="8" w:color="3E3935"/>
            </w:tcBorders>
          </w:tcPr>
          <w:p>
            <w:pPr>
              <w:ind w:left="240"/>
              <w:spacing w:after="0" w:line="214" w:lineRule="exact"/>
              <w:rPr>
                <w:sz w:val="20"/>
                <w:szCs w:val="20"/>
                <w:color w:val="auto"/>
              </w:rPr>
            </w:pPr>
            <w:r>
              <w:rPr>
                <w:rFonts w:ascii="Arial" w:cs="Arial" w:eastAsia="Arial" w:hAnsi="Arial"/>
                <w:sz w:val="20"/>
                <w:szCs w:val="20"/>
                <w:b w:val="1"/>
                <w:bCs w:val="1"/>
                <w:color w:val="00C1DE"/>
              </w:rPr>
              <w:t>These Proposals</w:t>
            </w: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our principal executive offices</w:t>
            </w:r>
          </w:p>
        </w:tc>
        <w:tc>
          <w:tcPr>
            <w:tcW w:w="5380" w:type="dxa"/>
            <w:vAlign w:val="bottom"/>
            <w:tcBorders>
              <w:right w:val="single" w:sz="8" w:color="00C1DE"/>
            </w:tcBorders>
            <w:gridSpan w:val="2"/>
          </w:tcPr>
          <w:p>
            <w:pPr>
              <w:ind w:left="60"/>
              <w:spacing w:after="0" w:line="214" w:lineRule="exact"/>
              <w:rPr>
                <w:sz w:val="20"/>
                <w:szCs w:val="20"/>
                <w:color w:val="auto"/>
              </w:rPr>
            </w:pPr>
            <w:r>
              <w:rPr>
                <w:rFonts w:ascii="Arial" w:cs="Arial" w:eastAsia="Arial" w:hAnsi="Arial"/>
                <w:sz w:val="20"/>
                <w:szCs w:val="20"/>
                <w:color w:val="3E3935"/>
                <w:w w:val="99"/>
              </w:rPr>
              <w:t xml:space="preserve">no earlier than </w:t>
            </w:r>
            <w:r>
              <w:rPr>
                <w:rFonts w:ascii="Arial" w:cs="Arial" w:eastAsia="Arial" w:hAnsi="Arial"/>
                <w:sz w:val="20"/>
                <w:szCs w:val="20"/>
                <w:b w:val="1"/>
                <w:bCs w:val="1"/>
                <w:color w:val="3E3935"/>
                <w:w w:val="99"/>
              </w:rPr>
              <w:t>December 15, 2022</w:t>
            </w:r>
            <w:r>
              <w:rPr>
                <w:rFonts w:ascii="Arial" w:cs="Arial" w:eastAsia="Arial" w:hAnsi="Arial"/>
                <w:sz w:val="20"/>
                <w:szCs w:val="20"/>
                <w:color w:val="3E3935"/>
                <w:w w:val="99"/>
              </w:rPr>
              <w:t>, and no later than 11:59</w:t>
            </w:r>
          </w:p>
        </w:tc>
      </w:tr>
      <w:tr>
        <w:trPr>
          <w:trHeight w:val="216"/>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no later than 11:59 p.m.</w:t>
            </w:r>
          </w:p>
        </w:tc>
        <w:tc>
          <w:tcPr>
            <w:tcW w:w="5380" w:type="dxa"/>
            <w:vAlign w:val="bottom"/>
            <w:tcBorders>
              <w:right w:val="single" w:sz="8" w:color="00C1DE"/>
            </w:tcBorders>
            <w:gridSpan w:val="2"/>
          </w:tcPr>
          <w:p>
            <w:pPr>
              <w:ind w:left="60"/>
              <w:spacing w:after="0" w:line="216" w:lineRule="exact"/>
              <w:rPr>
                <w:sz w:val="20"/>
                <w:szCs w:val="20"/>
                <w:color w:val="auto"/>
              </w:rPr>
            </w:pPr>
            <w:r>
              <w:rPr>
                <w:rFonts w:ascii="Arial" w:cs="Arial" w:eastAsia="Arial" w:hAnsi="Arial"/>
                <w:sz w:val="20"/>
                <w:szCs w:val="20"/>
                <w:color w:val="3E3935"/>
              </w:rPr>
              <w:t xml:space="preserve">p.m. Eastern Time on </w:t>
            </w:r>
            <w:r>
              <w:rPr>
                <w:rFonts w:ascii="Arial" w:cs="Arial" w:eastAsia="Arial" w:hAnsi="Arial"/>
                <w:sz w:val="20"/>
                <w:szCs w:val="20"/>
                <w:b w:val="1"/>
                <w:bCs w:val="1"/>
                <w:color w:val="3E3935"/>
              </w:rPr>
              <w:t>February 13, 2023.</w:t>
            </w:r>
          </w:p>
        </w:tc>
      </w:tr>
      <w:tr>
        <w:trPr>
          <w:trHeight w:val="212"/>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2" w:lineRule="exact"/>
              <w:rPr>
                <w:sz w:val="20"/>
                <w:szCs w:val="20"/>
                <w:color w:val="auto"/>
              </w:rPr>
            </w:pPr>
            <w:r>
              <w:rPr>
                <w:rFonts w:ascii="Arial" w:cs="Arial" w:eastAsia="Arial" w:hAnsi="Arial"/>
                <w:sz w:val="20"/>
                <w:szCs w:val="20"/>
                <w:color w:val="3E3935"/>
              </w:rPr>
              <w:t>Eastern Time on</w:t>
            </w:r>
          </w:p>
        </w:tc>
        <w:tc>
          <w:tcPr>
            <w:tcW w:w="2820" w:type="dxa"/>
            <w:vAlign w:val="bottom"/>
          </w:tcPr>
          <w:p>
            <w:pPr>
              <w:spacing w:after="0"/>
              <w:rPr>
                <w:sz w:val="18"/>
                <w:szCs w:val="18"/>
                <w:color w:val="auto"/>
              </w:rPr>
            </w:pPr>
          </w:p>
        </w:tc>
        <w:tc>
          <w:tcPr>
            <w:tcW w:w="2560" w:type="dxa"/>
            <w:vAlign w:val="bottom"/>
            <w:tcBorders>
              <w:right w:val="single" w:sz="8" w:color="00C1DE"/>
            </w:tcBorders>
          </w:tcPr>
          <w:p>
            <w:pPr>
              <w:spacing w:after="0"/>
              <w:rPr>
                <w:sz w:val="18"/>
                <w:szCs w:val="18"/>
                <w:color w:val="auto"/>
              </w:rPr>
            </w:pPr>
          </w:p>
        </w:tc>
      </w:tr>
      <w:tr>
        <w:trPr>
          <w:trHeight w:val="269"/>
        </w:trPr>
        <w:tc>
          <w:tcPr>
            <w:tcW w:w="2480" w:type="dxa"/>
            <w:vAlign w:val="bottom"/>
            <w:tcBorders>
              <w:left w:val="single" w:sz="8" w:color="00C1DE"/>
              <w:right w:val="single" w:sz="8" w:color="3E3935"/>
            </w:tcBorders>
          </w:tcPr>
          <w:p>
            <w:pPr>
              <w:spacing w:after="0"/>
              <w:rPr>
                <w:sz w:val="23"/>
                <w:szCs w:val="23"/>
                <w:color w:val="auto"/>
              </w:rPr>
            </w:pPr>
          </w:p>
        </w:tc>
        <w:tc>
          <w:tcPr>
            <w:tcW w:w="2960" w:type="dxa"/>
            <w:vAlign w:val="bottom"/>
            <w:tcBorders>
              <w:right w:val="single" w:sz="8" w:color="3E3935"/>
            </w:tcBorders>
          </w:tcPr>
          <w:p>
            <w:pPr>
              <w:ind w:left="60"/>
              <w:spacing w:after="0"/>
              <w:rPr>
                <w:sz w:val="20"/>
                <w:szCs w:val="20"/>
                <w:color w:val="auto"/>
              </w:rPr>
            </w:pPr>
            <w:r>
              <w:rPr>
                <w:rFonts w:ascii="Arial" w:cs="Arial" w:eastAsia="Arial" w:hAnsi="Arial"/>
                <w:sz w:val="20"/>
                <w:szCs w:val="20"/>
                <w:b w:val="1"/>
                <w:bCs w:val="1"/>
                <w:color w:val="3E3935"/>
              </w:rPr>
              <w:t>December 30, 2022</w:t>
            </w:r>
            <w:r>
              <w:rPr>
                <w:rFonts w:ascii="Arial" w:cs="Arial" w:eastAsia="Arial" w:hAnsi="Arial"/>
                <w:sz w:val="20"/>
                <w:szCs w:val="20"/>
                <w:color w:val="3E3935"/>
              </w:rPr>
              <w:t>.</w:t>
            </w:r>
          </w:p>
        </w:tc>
        <w:tc>
          <w:tcPr>
            <w:tcW w:w="2820" w:type="dxa"/>
            <w:vAlign w:val="bottom"/>
          </w:tcPr>
          <w:p>
            <w:pPr>
              <w:spacing w:after="0"/>
              <w:rPr>
                <w:sz w:val="23"/>
                <w:szCs w:val="23"/>
                <w:color w:val="auto"/>
              </w:rPr>
            </w:pPr>
          </w:p>
        </w:tc>
        <w:tc>
          <w:tcPr>
            <w:tcW w:w="2560" w:type="dxa"/>
            <w:vAlign w:val="bottom"/>
            <w:tcBorders>
              <w:right w:val="single" w:sz="8" w:color="00C1DE"/>
            </w:tcBorders>
          </w:tcPr>
          <w:p>
            <w:pPr>
              <w:spacing w:after="0"/>
              <w:rPr>
                <w:sz w:val="23"/>
                <w:szCs w:val="23"/>
                <w:color w:val="auto"/>
              </w:rPr>
            </w:pPr>
          </w:p>
        </w:tc>
      </w:tr>
      <w:tr>
        <w:trPr>
          <w:trHeight w:val="22"/>
        </w:trPr>
        <w:tc>
          <w:tcPr>
            <w:tcW w:w="2480" w:type="dxa"/>
            <w:vAlign w:val="bottom"/>
            <w:tcBorders>
              <w:left w:val="single" w:sz="8" w:color="00C1DE"/>
              <w:bottom w:val="single" w:sz="8" w:color="3E3935"/>
              <w:right w:val="single" w:sz="8" w:color="3E3935"/>
            </w:tcBorders>
          </w:tcPr>
          <w:p>
            <w:pPr>
              <w:spacing w:after="0" w:line="20" w:lineRule="exact"/>
              <w:rPr>
                <w:sz w:val="1"/>
                <w:szCs w:val="1"/>
                <w:color w:val="auto"/>
              </w:rPr>
            </w:pPr>
          </w:p>
        </w:tc>
        <w:tc>
          <w:tcPr>
            <w:tcW w:w="2960" w:type="dxa"/>
            <w:vAlign w:val="bottom"/>
            <w:tcBorders>
              <w:bottom w:val="single" w:sz="8" w:color="3E3935"/>
              <w:right w:val="single" w:sz="8" w:color="3E3935"/>
            </w:tcBorders>
          </w:tcPr>
          <w:p>
            <w:pPr>
              <w:spacing w:after="0" w:line="20" w:lineRule="exact"/>
              <w:rPr>
                <w:sz w:val="1"/>
                <w:szCs w:val="1"/>
                <w:color w:val="auto"/>
              </w:rPr>
            </w:pPr>
          </w:p>
        </w:tc>
        <w:tc>
          <w:tcPr>
            <w:tcW w:w="2820" w:type="dxa"/>
            <w:vAlign w:val="bottom"/>
            <w:tcBorders>
              <w:bottom w:val="single" w:sz="8" w:color="3E3935"/>
            </w:tcBorders>
          </w:tcPr>
          <w:p>
            <w:pPr>
              <w:spacing w:after="0" w:line="20" w:lineRule="exact"/>
              <w:rPr>
                <w:sz w:val="1"/>
                <w:szCs w:val="1"/>
                <w:color w:val="auto"/>
              </w:rPr>
            </w:pPr>
          </w:p>
        </w:tc>
        <w:tc>
          <w:tcPr>
            <w:tcW w:w="2560" w:type="dxa"/>
            <w:vAlign w:val="bottom"/>
            <w:tcBorders>
              <w:bottom w:val="single" w:sz="8" w:color="3E3935"/>
              <w:right w:val="single" w:sz="8" w:color="00C1DE"/>
            </w:tcBorders>
          </w:tcPr>
          <w:p>
            <w:pPr>
              <w:spacing w:after="0" w:line="20" w:lineRule="exact"/>
              <w:rPr>
                <w:sz w:val="1"/>
                <w:szCs w:val="1"/>
                <w:color w:val="auto"/>
              </w:rPr>
            </w:pPr>
          </w:p>
        </w:tc>
      </w:tr>
      <w:tr>
        <w:trPr>
          <w:trHeight w:val="237"/>
        </w:trPr>
        <w:tc>
          <w:tcPr>
            <w:tcW w:w="248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Where to Send These</w:t>
            </w:r>
          </w:p>
        </w:tc>
        <w:tc>
          <w:tcPr>
            <w:tcW w:w="8340" w:type="dxa"/>
            <w:vAlign w:val="bottom"/>
            <w:tcBorders>
              <w:right w:val="single" w:sz="8" w:color="00C1DE"/>
            </w:tcBorders>
            <w:gridSpan w:val="3"/>
          </w:tcPr>
          <w:p>
            <w:pPr>
              <w:ind w:left="60"/>
              <w:spacing w:after="0"/>
              <w:rPr>
                <w:sz w:val="20"/>
                <w:szCs w:val="20"/>
                <w:color w:val="auto"/>
              </w:rPr>
            </w:pPr>
            <w:r>
              <w:rPr>
                <w:rFonts w:ascii="Arial" w:cs="Arial" w:eastAsia="Arial" w:hAnsi="Arial"/>
                <w:sz w:val="20"/>
                <w:szCs w:val="20"/>
                <w:color w:val="3E3935"/>
              </w:rPr>
              <w:t>Mail proposals to our Corporate Secretary at Mail Code 482-C24-A68, 300 Renaissance</w:t>
            </w:r>
          </w:p>
        </w:tc>
      </w:tr>
      <w:tr>
        <w:trPr>
          <w:trHeight w:val="269"/>
        </w:trPr>
        <w:tc>
          <w:tcPr>
            <w:tcW w:w="248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Proposals</w:t>
            </w:r>
          </w:p>
        </w:tc>
        <w:tc>
          <w:tcPr>
            <w:tcW w:w="8340" w:type="dxa"/>
            <w:vAlign w:val="bottom"/>
            <w:tcBorders>
              <w:right w:val="single" w:sz="8" w:color="00C1DE"/>
            </w:tcBorders>
            <w:gridSpan w:val="3"/>
          </w:tcPr>
          <w:p>
            <w:pPr>
              <w:ind w:left="60"/>
              <w:spacing w:after="0"/>
              <w:rPr>
                <w:sz w:val="20"/>
                <w:szCs w:val="20"/>
                <w:color w:val="auto"/>
              </w:rPr>
            </w:pPr>
            <w:r>
              <w:rPr>
                <w:rFonts w:ascii="Arial" w:cs="Arial" w:eastAsia="Arial" w:hAnsi="Arial"/>
                <w:sz w:val="20"/>
                <w:szCs w:val="20"/>
                <w:color w:val="3E3935"/>
              </w:rPr>
              <w:t xml:space="preserve">Center, Detroit, Michigan 48265 or send proposals by e-mail to </w:t>
            </w:r>
            <w:r>
              <w:rPr>
                <w:rFonts w:ascii="Arial" w:cs="Arial" w:eastAsia="Arial" w:hAnsi="Arial"/>
                <w:sz w:val="15"/>
                <w:szCs w:val="15"/>
                <w:i w:val="1"/>
                <w:iCs w:val="1"/>
                <w:color w:val="00C1DE"/>
              </w:rPr>
              <w:t>shareholder.relations@gm.com.</w:t>
            </w:r>
          </w:p>
        </w:tc>
      </w:tr>
      <w:tr>
        <w:trPr>
          <w:trHeight w:val="22"/>
        </w:trPr>
        <w:tc>
          <w:tcPr>
            <w:tcW w:w="2480" w:type="dxa"/>
            <w:vAlign w:val="bottom"/>
            <w:tcBorders>
              <w:left w:val="single" w:sz="8" w:color="00C1DE"/>
              <w:bottom w:val="single" w:sz="8" w:color="3E3935"/>
              <w:right w:val="single" w:sz="8" w:color="3E3935"/>
            </w:tcBorders>
          </w:tcPr>
          <w:p>
            <w:pPr>
              <w:spacing w:after="0" w:line="20" w:lineRule="exact"/>
              <w:rPr>
                <w:sz w:val="1"/>
                <w:szCs w:val="1"/>
                <w:color w:val="auto"/>
              </w:rPr>
            </w:pPr>
          </w:p>
        </w:tc>
        <w:tc>
          <w:tcPr>
            <w:tcW w:w="2960" w:type="dxa"/>
            <w:vAlign w:val="bottom"/>
            <w:tcBorders>
              <w:bottom w:val="single" w:sz="8" w:color="3E3935"/>
            </w:tcBorders>
          </w:tcPr>
          <w:p>
            <w:pPr>
              <w:spacing w:after="0" w:line="20" w:lineRule="exact"/>
              <w:rPr>
                <w:sz w:val="1"/>
                <w:szCs w:val="1"/>
                <w:color w:val="auto"/>
              </w:rPr>
            </w:pPr>
          </w:p>
        </w:tc>
        <w:tc>
          <w:tcPr>
            <w:tcW w:w="2820" w:type="dxa"/>
            <w:vAlign w:val="bottom"/>
            <w:tcBorders>
              <w:bottom w:val="single" w:sz="8" w:color="3E3935"/>
            </w:tcBorders>
          </w:tcPr>
          <w:p>
            <w:pPr>
              <w:spacing w:after="0" w:line="20" w:lineRule="exact"/>
              <w:rPr>
                <w:sz w:val="1"/>
                <w:szCs w:val="1"/>
                <w:color w:val="auto"/>
              </w:rPr>
            </w:pPr>
          </w:p>
        </w:tc>
        <w:tc>
          <w:tcPr>
            <w:tcW w:w="2560" w:type="dxa"/>
            <w:vAlign w:val="bottom"/>
            <w:tcBorders>
              <w:bottom w:val="single" w:sz="8" w:color="3E3935"/>
              <w:right w:val="single" w:sz="8" w:color="00C1DE"/>
            </w:tcBorders>
          </w:tcPr>
          <w:p>
            <w:pPr>
              <w:spacing w:after="0" w:line="20" w:lineRule="exact"/>
              <w:rPr>
                <w:sz w:val="1"/>
                <w:szCs w:val="1"/>
                <w:color w:val="auto"/>
              </w:rPr>
            </w:pPr>
          </w:p>
        </w:tc>
      </w:tr>
      <w:tr>
        <w:trPr>
          <w:trHeight w:val="239"/>
        </w:trPr>
        <w:tc>
          <w:tcPr>
            <w:tcW w:w="248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What to Include</w:t>
            </w:r>
          </w:p>
        </w:tc>
        <w:tc>
          <w:tcPr>
            <w:tcW w:w="29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Proposals must conform to</w:t>
            </w:r>
          </w:p>
        </w:tc>
        <w:tc>
          <w:tcPr>
            <w:tcW w:w="5380" w:type="dxa"/>
            <w:vAlign w:val="bottom"/>
            <w:tcBorders>
              <w:right w:val="single" w:sz="8" w:color="00C1DE"/>
            </w:tcBorders>
            <w:gridSpan w:val="2"/>
          </w:tcPr>
          <w:p>
            <w:pPr>
              <w:ind w:left="60"/>
              <w:spacing w:after="0"/>
              <w:rPr>
                <w:sz w:val="20"/>
                <w:szCs w:val="20"/>
                <w:color w:val="auto"/>
              </w:rPr>
            </w:pPr>
            <w:r>
              <w:rPr>
                <w:rFonts w:ascii="Arial" w:cs="Arial" w:eastAsia="Arial" w:hAnsi="Arial"/>
                <w:sz w:val="20"/>
                <w:szCs w:val="20"/>
                <w:color w:val="3E3935"/>
              </w:rPr>
              <w:t>Proposals must include information required by our Bylaws,</w:t>
            </w:r>
          </w:p>
        </w:tc>
      </w:tr>
      <w:tr>
        <w:trPr>
          <w:trHeight w:val="214"/>
        </w:trPr>
        <w:tc>
          <w:tcPr>
            <w:tcW w:w="2480" w:type="dxa"/>
            <w:vAlign w:val="bottom"/>
            <w:tcBorders>
              <w:left w:val="single" w:sz="8" w:color="00C1DE"/>
              <w:right w:val="single" w:sz="8" w:color="3E3935"/>
            </w:tcBorders>
          </w:tcPr>
          <w:p>
            <w:pPr>
              <w:spacing w:after="0"/>
              <w:rPr>
                <w:sz w:val="18"/>
                <w:szCs w:val="18"/>
                <w:color w:val="auto"/>
              </w:rPr>
            </w:pPr>
          </w:p>
        </w:tc>
        <w:tc>
          <w:tcPr>
            <w:tcW w:w="29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and include the information</w:t>
            </w:r>
          </w:p>
        </w:tc>
        <w:tc>
          <w:tcPr>
            <w:tcW w:w="5380" w:type="dxa"/>
            <w:vAlign w:val="bottom"/>
            <w:tcBorders>
              <w:right w:val="single" w:sz="8" w:color="00C1DE"/>
            </w:tcBorders>
            <w:gridSpan w:val="2"/>
          </w:tcPr>
          <w:p>
            <w:pPr>
              <w:ind w:left="60"/>
              <w:spacing w:after="0" w:line="214" w:lineRule="exact"/>
              <w:rPr>
                <w:sz w:val="20"/>
                <w:szCs w:val="20"/>
                <w:color w:val="auto"/>
              </w:rPr>
            </w:pPr>
            <w:r>
              <w:rPr>
                <w:rFonts w:ascii="Arial" w:cs="Arial" w:eastAsia="Arial" w:hAnsi="Arial"/>
                <w:sz w:val="20"/>
                <w:szCs w:val="20"/>
                <w:color w:val="3E3935"/>
              </w:rPr>
              <w:t>which are available on our website at</w:t>
            </w:r>
          </w:p>
        </w:tc>
      </w:tr>
      <w:tr>
        <w:trPr>
          <w:trHeight w:val="257"/>
        </w:trPr>
        <w:tc>
          <w:tcPr>
            <w:tcW w:w="2480" w:type="dxa"/>
            <w:vAlign w:val="bottom"/>
            <w:tcBorders>
              <w:left w:val="single" w:sz="8" w:color="00C1DE"/>
              <w:right w:val="single" w:sz="8" w:color="3E3935"/>
            </w:tcBorders>
          </w:tcPr>
          <w:p>
            <w:pPr>
              <w:spacing w:after="0"/>
              <w:rPr>
                <w:sz w:val="22"/>
                <w:szCs w:val="22"/>
                <w:color w:val="auto"/>
              </w:rPr>
            </w:pPr>
          </w:p>
        </w:tc>
        <w:tc>
          <w:tcPr>
            <w:tcW w:w="29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required by SEC Rule 14a-8.</w:t>
            </w:r>
          </w:p>
        </w:tc>
        <w:tc>
          <w:tcPr>
            <w:tcW w:w="2820" w:type="dxa"/>
            <w:vAlign w:val="bottom"/>
          </w:tcPr>
          <w:p>
            <w:pPr>
              <w:ind w:left="60"/>
              <w:spacing w:after="0"/>
              <w:rPr>
                <w:sz w:val="20"/>
                <w:szCs w:val="20"/>
                <w:color w:val="auto"/>
              </w:rPr>
            </w:pPr>
            <w:r>
              <w:rPr>
                <w:rFonts w:ascii="Arial" w:cs="Arial" w:eastAsia="Arial" w:hAnsi="Arial"/>
                <w:sz w:val="20"/>
                <w:szCs w:val="20"/>
                <w:color w:val="00C1DE"/>
              </w:rPr>
              <w:t>investor.gm.com/resources</w:t>
            </w:r>
            <w:r>
              <w:rPr>
                <w:rFonts w:ascii="Arial" w:cs="Arial" w:eastAsia="Arial" w:hAnsi="Arial"/>
                <w:sz w:val="20"/>
                <w:szCs w:val="20"/>
                <w:color w:val="3E3935"/>
              </w:rPr>
              <w:t>.</w:t>
            </w:r>
          </w:p>
        </w:tc>
        <w:tc>
          <w:tcPr>
            <w:tcW w:w="2560" w:type="dxa"/>
            <w:vAlign w:val="bottom"/>
            <w:tcBorders>
              <w:right w:val="single" w:sz="8" w:color="00C1DE"/>
            </w:tcBorders>
          </w:tcPr>
          <w:p>
            <w:pPr>
              <w:spacing w:after="0"/>
              <w:rPr>
                <w:sz w:val="22"/>
                <w:szCs w:val="22"/>
                <w:color w:val="auto"/>
              </w:rPr>
            </w:pPr>
          </w:p>
        </w:tc>
      </w:tr>
      <w:tr>
        <w:trPr>
          <w:trHeight w:val="45"/>
        </w:trPr>
        <w:tc>
          <w:tcPr>
            <w:tcW w:w="2480" w:type="dxa"/>
            <w:vAlign w:val="bottom"/>
            <w:tcBorders>
              <w:left w:val="single" w:sz="8" w:color="00C1DE"/>
              <w:bottom w:val="single" w:sz="8" w:color="00C1DE"/>
              <w:right w:val="single" w:sz="8" w:color="3E3935"/>
            </w:tcBorders>
          </w:tcPr>
          <w:p>
            <w:pPr>
              <w:spacing w:after="0"/>
              <w:rPr>
                <w:sz w:val="3"/>
                <w:szCs w:val="3"/>
                <w:color w:val="auto"/>
              </w:rPr>
            </w:pPr>
          </w:p>
        </w:tc>
        <w:tc>
          <w:tcPr>
            <w:tcW w:w="2960" w:type="dxa"/>
            <w:vAlign w:val="bottom"/>
            <w:tcBorders>
              <w:bottom w:val="single" w:sz="8" w:color="00C1DE"/>
              <w:right w:val="single" w:sz="8" w:color="3E3935"/>
            </w:tcBorders>
          </w:tcPr>
          <w:p>
            <w:pPr>
              <w:spacing w:after="0"/>
              <w:rPr>
                <w:sz w:val="3"/>
                <w:szCs w:val="3"/>
                <w:color w:val="auto"/>
              </w:rPr>
            </w:pPr>
          </w:p>
        </w:tc>
        <w:tc>
          <w:tcPr>
            <w:tcW w:w="2820" w:type="dxa"/>
            <w:vAlign w:val="bottom"/>
            <w:tcBorders>
              <w:bottom w:val="single" w:sz="8" w:color="00C1DE"/>
            </w:tcBorders>
          </w:tcPr>
          <w:p>
            <w:pPr>
              <w:spacing w:after="0"/>
              <w:rPr>
                <w:sz w:val="3"/>
                <w:szCs w:val="3"/>
                <w:color w:val="auto"/>
              </w:rPr>
            </w:pPr>
          </w:p>
        </w:tc>
        <w:tc>
          <w:tcPr>
            <w:tcW w:w="2560" w:type="dxa"/>
            <w:vAlign w:val="bottom"/>
            <w:tcBorders>
              <w:bottom w:val="single" w:sz="8" w:color="00C1DE"/>
              <w:right w:val="single" w:sz="8" w:color="00C1DE"/>
            </w:tcBorders>
          </w:tcPr>
          <w:p>
            <w:pPr>
              <w:spacing w:after="0"/>
              <w:rPr>
                <w:sz w:val="3"/>
                <w:szCs w:val="3"/>
                <w:color w:val="auto"/>
              </w:rPr>
            </w:pPr>
          </w:p>
        </w:tc>
      </w:tr>
    </w:tbl>
    <w:p>
      <w:pPr>
        <w:spacing w:after="0" w:line="13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700" w:hanging="533"/>
        <w:spacing w:after="0"/>
        <w:tabs>
          <w:tab w:leader="none" w:pos="700" w:val="left"/>
        </w:tabs>
        <w:numPr>
          <w:ilvl w:val="0"/>
          <w:numId w:val="162"/>
        </w:numPr>
        <w:rPr>
          <w:rFonts w:ascii="Times New Roman" w:cs="Times New Roman" w:eastAsia="Times New Roman" w:hAnsi="Times New Roman"/>
          <w:sz w:val="21"/>
          <w:szCs w:val="21"/>
          <w:color w:val="0071CE"/>
        </w:rPr>
      </w:pPr>
      <w:r>
        <w:rPr>
          <w:rFonts w:ascii="Arial" w:cs="Arial" w:eastAsia="Arial" w:hAnsi="Arial"/>
          <w:sz w:val="25"/>
          <w:szCs w:val="25"/>
          <w:color w:val="3E3935"/>
        </w:rPr>
        <w:t>Annual Report and Other Investor Materials</w:t>
      </w:r>
    </w:p>
    <w:p>
      <w:pPr>
        <w:spacing w:after="0" w:line="15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 xml:space="preserve">You may download a copy of our 2021 Annual Report and 2022 Proxy Statement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xml:space="preserve">. Our other SEC filings are available at </w:t>
      </w:r>
      <w:r>
        <w:rPr>
          <w:rFonts w:ascii="Arial" w:cs="Arial" w:eastAsia="Arial" w:hAnsi="Arial"/>
          <w:sz w:val="20"/>
          <w:szCs w:val="20"/>
          <w:i w:val="1"/>
          <w:iCs w:val="1"/>
          <w:color w:val="00C1DE"/>
        </w:rPr>
        <w:t>investor.gm.com/sec-filings</w:t>
      </w:r>
      <w:r>
        <w:rPr>
          <w:rFonts w:ascii="Arial" w:cs="Arial" w:eastAsia="Arial" w:hAnsi="Arial"/>
          <w:sz w:val="20"/>
          <w:szCs w:val="20"/>
          <w:color w:val="3E3935"/>
        </w:rPr>
        <w:t xml:space="preserve">. Alternatively, you may request a printed copy of these publications by writing to Shareholder Relations at General Motors Company, Mail Code 482-C24-A68, 300 Renaissance Center, Detroit, Michigan 48265 or by e-mail to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w:t>
      </w:r>
    </w:p>
    <w:p>
      <w:pPr>
        <w:spacing w:after="0" w:line="292" w:lineRule="exact"/>
        <w:rPr>
          <w:sz w:val="20"/>
          <w:szCs w:val="20"/>
          <w:color w:val="auto"/>
        </w:rPr>
      </w:pPr>
    </w:p>
    <w:p>
      <w:pPr>
        <w:ind w:left="700" w:hanging="533"/>
        <w:spacing w:after="0"/>
        <w:tabs>
          <w:tab w:leader="none" w:pos="700" w:val="left"/>
        </w:tabs>
        <w:numPr>
          <w:ilvl w:val="0"/>
          <w:numId w:val="163"/>
        </w:numPr>
        <w:rPr>
          <w:rFonts w:ascii="Times New Roman" w:cs="Times New Roman" w:eastAsia="Times New Roman" w:hAnsi="Times New Roman"/>
          <w:sz w:val="21"/>
          <w:szCs w:val="21"/>
          <w:color w:val="0071CE"/>
        </w:rPr>
      </w:pPr>
      <w:r>
        <w:rPr>
          <w:rFonts w:ascii="Arial" w:cs="Arial" w:eastAsia="Arial" w:hAnsi="Arial"/>
          <w:sz w:val="25"/>
          <w:szCs w:val="25"/>
          <w:color w:val="3E3935"/>
        </w:rPr>
        <w:t>Cost of Proxy Solicitation</w:t>
      </w:r>
    </w:p>
    <w:p>
      <w:pPr>
        <w:spacing w:after="0" w:line="155"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color w:val="3E3935"/>
        </w:rPr>
        <w:t>We will pay our cost for soliciting proxies for the Annual Meeting. The Company will distribute proxy materials and follow-up reminders, if any, by mail and electronic means. We have engaged Innisfree M&amp;A Incorporated (“Innisfree”), a professional proxy solicitation firm located at 501 Madison Avenue, 20th Floor, New York, New York 10022, to assist with the solicitation of proxies and to provide related advice and informational support for a service fee, plus customary disbursements. We expect to pay Innisfree a base fee of $20,000, plus expenses, and up to approximately $2 million, depending on level of services actually provided.” GM directors, officers, and employees may also solicit proxies by mail, telephone, or personal visits. They will not receive any additional compensation for their services.</w:t>
      </w:r>
    </w:p>
    <w:p>
      <w:pPr>
        <w:spacing w:after="0" w:line="96"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-95885</wp:posOffset>
            </wp:positionV>
            <wp:extent cx="5927725" cy="1016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54"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00C1DE"/>
        </w:rPr>
        <w:t xml:space="preserve">APPENDIX A: </w:t>
      </w:r>
      <w:r>
        <w:rPr>
          <w:rFonts w:ascii="Arial" w:cs="Arial" w:eastAsia="Arial" w:hAnsi="Arial"/>
          <w:sz w:val="32"/>
          <w:szCs w:val="32"/>
          <w:b w:val="1"/>
          <w:bCs w:val="1"/>
          <w:color w:val="0071CE"/>
        </w:rPr>
        <w:t>NON-GAAP FINANCIAL MEASURES</w:t>
      </w:r>
    </w:p>
    <w:p>
      <w:pPr>
        <w:sectPr>
          <w:pgSz w:w="11900" w:h="16838" w:orient="portrait"/>
          <w:cols w:equalWidth="0" w:num="1">
            <w:col w:w="11080"/>
          </w:cols>
          <w:pgMar w:left="320" w:top="454" w:right="499" w:bottom="1440" w:gutter="0" w:footer="0" w:header="0"/>
        </w:sect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Non-GAAP Reconciliations</w:t>
      </w:r>
    </w:p>
    <w:p>
      <w:pPr>
        <w:spacing w:after="0" w:line="39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Our Company reports its financial results in accordance with GAAP. However, management believes that certain non-GAAP financial measures provide users with additional meaningful financial information.</w:t>
      </w:r>
    </w:p>
    <w:p>
      <w:pPr>
        <w:spacing w:after="0" w:line="93"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Our non-GAAP measures presented in this Proxy Statement include: (i) EBIT-adjusted, presented net of noncontrolling interests, (ii) EPS-diluted-adjusted, and (iii) ROIC-adjusted. Our calculation of these non-GAAP measures may not be comparable with similarly titled measures of other companies due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potential differences between companies in the method of calculation. As a result, the use of these non-GAAP measures has limitations and should not be considered superior to, in isolation from, or as a substitute for related GAAP measures. See our 2021 Form 10-K and our subsequent filings with the SEC for additional information about the non-GAAP measures presented herein, including a description of the use of such measures. The numbers in the tables below may not sum due to rounding.</w:t>
      </w:r>
    </w:p>
    <w:p>
      <w:pPr>
        <w:spacing w:after="0" w:line="545" w:lineRule="exact"/>
        <w:rPr>
          <w:sz w:val="20"/>
          <w:szCs w:val="20"/>
          <w:color w:val="auto"/>
        </w:rPr>
      </w:pPr>
    </w:p>
    <w:p>
      <w:pPr>
        <w:sectPr>
          <w:pgSz w:w="11900" w:h="16838" w:orient="portrait"/>
          <w:cols w:equalWidth="0" w:num="2">
            <w:col w:w="5400" w:space="340"/>
            <w:col w:w="5340"/>
          </w:cols>
          <w:pgMar w:left="320" w:top="454" w:right="499" w:bottom="1440" w:gutter="0" w:footer="0" w:header="0"/>
          <w:type w:val="continuous"/>
        </w:sect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following table reconciles Net Income Attributable to Stockholders under GAAP to EBIT-adjusted: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156210</wp:posOffset>
            </wp:positionV>
            <wp:extent cx="69297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269"/>
        </w:trPr>
        <w:tc>
          <w:tcPr>
            <w:tcW w:w="7060" w:type="dxa"/>
            <w:vAlign w:val="bottom"/>
          </w:tcPr>
          <w:p>
            <w:pPr>
              <w:spacing w:after="0"/>
              <w:rPr>
                <w:sz w:val="20"/>
                <w:szCs w:val="20"/>
                <w:color w:val="auto"/>
              </w:rPr>
            </w:pPr>
            <w:r>
              <w:rPr>
                <w:rFonts w:ascii="Arial" w:cs="Arial" w:eastAsia="Arial" w:hAnsi="Arial"/>
                <w:sz w:val="20"/>
                <w:szCs w:val="20"/>
                <w:b w:val="1"/>
                <w:bCs w:val="1"/>
                <w:color w:val="00C1DE"/>
              </w:rPr>
              <w:t>($B)</w:t>
            </w:r>
          </w:p>
        </w:tc>
        <w:tc>
          <w:tcPr>
            <w:tcW w:w="3860" w:type="dxa"/>
            <w:vAlign w:val="bottom"/>
          </w:tcPr>
          <w:p>
            <w:pPr>
              <w:jc w:val="right"/>
              <w:ind w:right="22"/>
              <w:spacing w:after="0"/>
              <w:rPr>
                <w:sz w:val="20"/>
                <w:szCs w:val="20"/>
                <w:color w:val="auto"/>
              </w:rPr>
            </w:pPr>
            <w:r>
              <w:rPr>
                <w:rFonts w:ascii="Arial" w:cs="Arial" w:eastAsia="Arial" w:hAnsi="Arial"/>
                <w:sz w:val="20"/>
                <w:szCs w:val="20"/>
                <w:b w:val="1"/>
                <w:bCs w:val="1"/>
                <w:color w:val="00C1DE"/>
              </w:rPr>
              <w:t>2021</w:t>
            </w:r>
          </w:p>
        </w:tc>
      </w:tr>
      <w:tr>
        <w:trPr>
          <w:trHeight w:val="22"/>
        </w:trPr>
        <w:tc>
          <w:tcPr>
            <w:tcW w:w="7060" w:type="dxa"/>
            <w:vAlign w:val="bottom"/>
            <w:tcBorders>
              <w:bottom w:val="single" w:sz="8" w:color="00C1DE"/>
            </w:tcBorders>
          </w:tcPr>
          <w:p>
            <w:pPr>
              <w:spacing w:after="0" w:line="20" w:lineRule="exact"/>
              <w:rPr>
                <w:sz w:val="1"/>
                <w:szCs w:val="1"/>
                <w:color w:val="auto"/>
              </w:rPr>
            </w:pPr>
          </w:p>
        </w:tc>
        <w:tc>
          <w:tcPr>
            <w:tcW w:w="3860" w:type="dxa"/>
            <w:vAlign w:val="bottom"/>
            <w:tcBorders>
              <w:bottom w:val="single" w:sz="8" w:color="00C1DE"/>
            </w:tcBorders>
          </w:tcPr>
          <w:p>
            <w:pPr>
              <w:spacing w:after="0" w:line="20" w:lineRule="exact"/>
              <w:rPr>
                <w:sz w:val="1"/>
                <w:szCs w:val="1"/>
                <w:color w:val="auto"/>
              </w:rPr>
            </w:pPr>
          </w:p>
        </w:tc>
      </w:tr>
      <w:tr>
        <w:trPr>
          <w:trHeight w:val="306"/>
        </w:trPr>
        <w:tc>
          <w:tcPr>
            <w:tcW w:w="7060" w:type="dxa"/>
            <w:vAlign w:val="bottom"/>
          </w:tcPr>
          <w:p>
            <w:pPr>
              <w:ind w:left="80"/>
              <w:spacing w:after="0"/>
              <w:rPr>
                <w:sz w:val="20"/>
                <w:szCs w:val="20"/>
                <w:color w:val="auto"/>
              </w:rPr>
            </w:pPr>
            <w:r>
              <w:rPr>
                <w:rFonts w:ascii="Arial" w:cs="Arial" w:eastAsia="Arial" w:hAnsi="Arial"/>
                <w:sz w:val="20"/>
                <w:szCs w:val="20"/>
                <w:b w:val="1"/>
                <w:bCs w:val="1"/>
                <w:color w:val="3E3935"/>
              </w:rPr>
              <w:t>Net Income Attributable to Stockholders</w:t>
            </w:r>
          </w:p>
        </w:tc>
        <w:tc>
          <w:tcPr>
            <w:tcW w:w="3860" w:type="dxa"/>
            <w:vAlign w:val="bottom"/>
          </w:tcPr>
          <w:p>
            <w:pPr>
              <w:jc w:val="right"/>
              <w:ind w:right="22"/>
              <w:spacing w:after="0"/>
              <w:rPr>
                <w:sz w:val="20"/>
                <w:szCs w:val="20"/>
                <w:color w:val="auto"/>
              </w:rPr>
            </w:pPr>
            <w:r>
              <w:rPr>
                <w:rFonts w:ascii="Arial" w:cs="Arial" w:eastAsia="Arial" w:hAnsi="Arial"/>
                <w:sz w:val="20"/>
                <w:szCs w:val="20"/>
                <w:b w:val="1"/>
                <w:bCs w:val="1"/>
                <w:color w:val="3E3935"/>
              </w:rPr>
              <w:t>$10.0</w:t>
            </w:r>
          </w:p>
        </w:tc>
      </w:tr>
      <w:tr>
        <w:trPr>
          <w:trHeight w:val="22"/>
        </w:trPr>
        <w:tc>
          <w:tcPr>
            <w:tcW w:w="7060" w:type="dxa"/>
            <w:vAlign w:val="bottom"/>
            <w:tcBorders>
              <w:bottom w:val="single" w:sz="8" w:color="3E3935"/>
            </w:tcBorders>
          </w:tcPr>
          <w:p>
            <w:pPr>
              <w:spacing w:after="0" w:line="20" w:lineRule="exact"/>
              <w:rPr>
                <w:sz w:val="1"/>
                <w:szCs w:val="1"/>
                <w:color w:val="auto"/>
              </w:rPr>
            </w:pPr>
          </w:p>
        </w:tc>
        <w:tc>
          <w:tcPr>
            <w:tcW w:w="3860" w:type="dxa"/>
            <w:vAlign w:val="bottom"/>
            <w:tcBorders>
              <w:bottom w:val="single" w:sz="8" w:color="3E3935"/>
            </w:tcBorders>
          </w:tcPr>
          <w:p>
            <w:pPr>
              <w:spacing w:after="0" w:line="20" w:lineRule="exact"/>
              <w:rPr>
                <w:sz w:val="1"/>
                <w:szCs w:val="1"/>
                <w:color w:val="auto"/>
              </w:rPr>
            </w:pPr>
          </w:p>
        </w:tc>
      </w:tr>
      <w:tr>
        <w:trPr>
          <w:trHeight w:val="296"/>
        </w:trPr>
        <w:tc>
          <w:tcPr>
            <w:tcW w:w="7060" w:type="dxa"/>
            <w:vAlign w:val="bottom"/>
          </w:tcPr>
          <w:p>
            <w:pPr>
              <w:ind w:left="80"/>
              <w:spacing w:after="0"/>
              <w:rPr>
                <w:sz w:val="20"/>
                <w:szCs w:val="20"/>
                <w:color w:val="auto"/>
              </w:rPr>
            </w:pPr>
            <w:r>
              <w:rPr>
                <w:rFonts w:ascii="Arial" w:cs="Arial" w:eastAsia="Arial" w:hAnsi="Arial"/>
                <w:sz w:val="20"/>
                <w:szCs w:val="20"/>
                <w:color w:val="3E3935"/>
              </w:rPr>
              <w:t>Income Tax Expense</w:t>
            </w:r>
          </w:p>
        </w:tc>
        <w:tc>
          <w:tcPr>
            <w:tcW w:w="3860" w:type="dxa"/>
            <w:vAlign w:val="bottom"/>
          </w:tcPr>
          <w:p>
            <w:pPr>
              <w:jc w:val="right"/>
              <w:ind w:right="22"/>
              <w:spacing w:after="0"/>
              <w:rPr>
                <w:sz w:val="20"/>
                <w:szCs w:val="20"/>
                <w:color w:val="auto"/>
              </w:rPr>
            </w:pPr>
            <w:r>
              <w:rPr>
                <w:rFonts w:ascii="Arial" w:cs="Arial" w:eastAsia="Arial" w:hAnsi="Arial"/>
                <w:sz w:val="20"/>
                <w:szCs w:val="20"/>
                <w:color w:val="3E3935"/>
              </w:rPr>
              <w:t>2.8</w:t>
            </w:r>
          </w:p>
        </w:tc>
      </w:tr>
      <w:tr>
        <w:trPr>
          <w:trHeight w:val="32"/>
        </w:trPr>
        <w:tc>
          <w:tcPr>
            <w:tcW w:w="7060" w:type="dxa"/>
            <w:vAlign w:val="bottom"/>
            <w:tcBorders>
              <w:bottom w:val="single" w:sz="8" w:color="3E3935"/>
            </w:tcBorders>
          </w:tcPr>
          <w:p>
            <w:pPr>
              <w:spacing w:after="0"/>
              <w:rPr>
                <w:sz w:val="2"/>
                <w:szCs w:val="2"/>
                <w:color w:val="auto"/>
              </w:rPr>
            </w:pPr>
          </w:p>
        </w:tc>
        <w:tc>
          <w:tcPr>
            <w:tcW w:w="3860" w:type="dxa"/>
            <w:vAlign w:val="bottom"/>
            <w:tcBorders>
              <w:bottom w:val="single" w:sz="8" w:color="3E3935"/>
            </w:tcBorders>
          </w:tcPr>
          <w:p>
            <w:pPr>
              <w:spacing w:after="0"/>
              <w:rPr>
                <w:sz w:val="2"/>
                <w:szCs w:val="2"/>
                <w:color w:val="auto"/>
              </w:rPr>
            </w:pPr>
          </w:p>
        </w:tc>
      </w:tr>
      <w:tr>
        <w:trPr>
          <w:trHeight w:val="296"/>
        </w:trPr>
        <w:tc>
          <w:tcPr>
            <w:tcW w:w="7060" w:type="dxa"/>
            <w:vAlign w:val="bottom"/>
          </w:tcPr>
          <w:p>
            <w:pPr>
              <w:ind w:left="80"/>
              <w:spacing w:after="0"/>
              <w:rPr>
                <w:sz w:val="20"/>
                <w:szCs w:val="20"/>
                <w:color w:val="auto"/>
              </w:rPr>
            </w:pPr>
            <w:r>
              <w:rPr>
                <w:rFonts w:ascii="Arial" w:cs="Arial" w:eastAsia="Arial" w:hAnsi="Arial"/>
                <w:sz w:val="20"/>
                <w:szCs w:val="20"/>
                <w:color w:val="3E3935"/>
              </w:rPr>
              <w:t>Automotive Interest Expense</w:t>
            </w:r>
          </w:p>
        </w:tc>
        <w:tc>
          <w:tcPr>
            <w:tcW w:w="3860" w:type="dxa"/>
            <w:vAlign w:val="bottom"/>
          </w:tcPr>
          <w:p>
            <w:pPr>
              <w:jc w:val="right"/>
              <w:ind w:right="22"/>
              <w:spacing w:after="0"/>
              <w:rPr>
                <w:sz w:val="20"/>
                <w:szCs w:val="20"/>
                <w:color w:val="auto"/>
              </w:rPr>
            </w:pPr>
            <w:r>
              <w:rPr>
                <w:rFonts w:ascii="Arial" w:cs="Arial" w:eastAsia="Arial" w:hAnsi="Arial"/>
                <w:sz w:val="20"/>
                <w:szCs w:val="20"/>
                <w:color w:val="3E3935"/>
              </w:rPr>
              <w:t>1.0</w:t>
            </w:r>
          </w:p>
        </w:tc>
      </w:tr>
      <w:tr>
        <w:trPr>
          <w:trHeight w:val="32"/>
        </w:trPr>
        <w:tc>
          <w:tcPr>
            <w:tcW w:w="7060" w:type="dxa"/>
            <w:vAlign w:val="bottom"/>
            <w:tcBorders>
              <w:bottom w:val="single" w:sz="8" w:color="3E3935"/>
            </w:tcBorders>
          </w:tcPr>
          <w:p>
            <w:pPr>
              <w:spacing w:after="0"/>
              <w:rPr>
                <w:sz w:val="2"/>
                <w:szCs w:val="2"/>
                <w:color w:val="auto"/>
              </w:rPr>
            </w:pPr>
          </w:p>
        </w:tc>
        <w:tc>
          <w:tcPr>
            <w:tcW w:w="3860" w:type="dxa"/>
            <w:vAlign w:val="bottom"/>
            <w:tcBorders>
              <w:bottom w:val="single" w:sz="8" w:color="3E3935"/>
            </w:tcBorders>
          </w:tcPr>
          <w:p>
            <w:pPr>
              <w:spacing w:after="0"/>
              <w:rPr>
                <w:sz w:val="2"/>
                <w:szCs w:val="2"/>
                <w:color w:val="auto"/>
              </w:rPr>
            </w:pPr>
          </w:p>
        </w:tc>
      </w:tr>
      <w:tr>
        <w:trPr>
          <w:trHeight w:val="296"/>
        </w:trPr>
        <w:tc>
          <w:tcPr>
            <w:tcW w:w="7060" w:type="dxa"/>
            <w:vAlign w:val="bottom"/>
          </w:tcPr>
          <w:p>
            <w:pPr>
              <w:ind w:left="80"/>
              <w:spacing w:after="0"/>
              <w:rPr>
                <w:sz w:val="20"/>
                <w:szCs w:val="20"/>
                <w:color w:val="auto"/>
              </w:rPr>
            </w:pPr>
            <w:r>
              <w:rPr>
                <w:rFonts w:ascii="Arial" w:cs="Arial" w:eastAsia="Arial" w:hAnsi="Arial"/>
                <w:sz w:val="20"/>
                <w:szCs w:val="20"/>
                <w:color w:val="3E3935"/>
              </w:rPr>
              <w:t>Automotive Interest Income</w:t>
            </w:r>
          </w:p>
        </w:tc>
        <w:tc>
          <w:tcPr>
            <w:tcW w:w="3860" w:type="dxa"/>
            <w:vAlign w:val="bottom"/>
          </w:tcPr>
          <w:p>
            <w:pPr>
              <w:jc w:val="right"/>
              <w:spacing w:after="0"/>
              <w:rPr>
                <w:sz w:val="20"/>
                <w:szCs w:val="20"/>
                <w:color w:val="auto"/>
              </w:rPr>
            </w:pPr>
            <w:r>
              <w:rPr>
                <w:rFonts w:ascii="Arial" w:cs="Arial" w:eastAsia="Arial" w:hAnsi="Arial"/>
                <w:sz w:val="20"/>
                <w:szCs w:val="20"/>
                <w:color w:val="3E3935"/>
              </w:rPr>
              <w:t>(0.1)</w:t>
            </w:r>
          </w:p>
        </w:tc>
      </w:tr>
      <w:tr>
        <w:trPr>
          <w:trHeight w:val="32"/>
        </w:trPr>
        <w:tc>
          <w:tcPr>
            <w:tcW w:w="7060" w:type="dxa"/>
            <w:vAlign w:val="bottom"/>
            <w:tcBorders>
              <w:bottom w:val="single" w:sz="8" w:color="3E3935"/>
            </w:tcBorders>
          </w:tcPr>
          <w:p>
            <w:pPr>
              <w:spacing w:after="0"/>
              <w:rPr>
                <w:sz w:val="2"/>
                <w:szCs w:val="2"/>
                <w:color w:val="auto"/>
              </w:rPr>
            </w:pPr>
          </w:p>
        </w:tc>
        <w:tc>
          <w:tcPr>
            <w:tcW w:w="3860" w:type="dxa"/>
            <w:vAlign w:val="bottom"/>
            <w:tcBorders>
              <w:bottom w:val="single" w:sz="8" w:color="3E3935"/>
            </w:tcBorders>
          </w:tcPr>
          <w:p>
            <w:pPr>
              <w:spacing w:after="0"/>
              <w:rPr>
                <w:sz w:val="2"/>
                <w:szCs w:val="2"/>
                <w:color w:val="auto"/>
              </w:rPr>
            </w:pPr>
          </w:p>
        </w:tc>
      </w:tr>
      <w:tr>
        <w:trPr>
          <w:trHeight w:val="296"/>
        </w:trPr>
        <w:tc>
          <w:tcPr>
            <w:tcW w:w="7060" w:type="dxa"/>
            <w:vAlign w:val="bottom"/>
          </w:tcPr>
          <w:p>
            <w:pPr>
              <w:ind w:left="80"/>
              <w:spacing w:after="0"/>
              <w:rPr>
                <w:sz w:val="20"/>
                <w:szCs w:val="20"/>
                <w:color w:val="auto"/>
              </w:rPr>
            </w:pPr>
            <w:r>
              <w:rPr>
                <w:rFonts w:ascii="Arial" w:cs="Arial" w:eastAsia="Arial" w:hAnsi="Arial"/>
                <w:sz w:val="20"/>
                <w:szCs w:val="20"/>
                <w:color w:val="3E3935"/>
              </w:rPr>
              <w:t>Adjustments:</w:t>
            </w:r>
          </w:p>
        </w:tc>
        <w:tc>
          <w:tcPr>
            <w:tcW w:w="3860" w:type="dxa"/>
            <w:vAlign w:val="bottom"/>
          </w:tcPr>
          <w:p>
            <w:pPr>
              <w:spacing w:after="0"/>
              <w:rPr>
                <w:sz w:val="24"/>
                <w:szCs w:val="24"/>
                <w:color w:val="auto"/>
              </w:rPr>
            </w:pPr>
          </w:p>
        </w:tc>
      </w:tr>
      <w:tr>
        <w:trPr>
          <w:trHeight w:val="32"/>
        </w:trPr>
        <w:tc>
          <w:tcPr>
            <w:tcW w:w="7060" w:type="dxa"/>
            <w:vAlign w:val="bottom"/>
            <w:tcBorders>
              <w:bottom w:val="single" w:sz="8" w:color="3E3935"/>
            </w:tcBorders>
          </w:tcPr>
          <w:p>
            <w:pPr>
              <w:spacing w:after="0"/>
              <w:rPr>
                <w:sz w:val="2"/>
                <w:szCs w:val="2"/>
                <w:color w:val="auto"/>
              </w:rPr>
            </w:pPr>
          </w:p>
        </w:tc>
        <w:tc>
          <w:tcPr>
            <w:tcW w:w="3860" w:type="dxa"/>
            <w:vAlign w:val="bottom"/>
            <w:tcBorders>
              <w:bottom w:val="single" w:sz="8" w:color="3E3935"/>
            </w:tcBorders>
          </w:tcPr>
          <w:p>
            <w:pPr>
              <w:spacing w:after="0"/>
              <w:rPr>
                <w:sz w:val="2"/>
                <w:szCs w:val="2"/>
                <w:color w:val="auto"/>
              </w:rPr>
            </w:pPr>
          </w:p>
        </w:tc>
      </w:tr>
      <w:tr>
        <w:trPr>
          <w:trHeight w:val="328"/>
        </w:trPr>
        <w:tc>
          <w:tcPr>
            <w:tcW w:w="7060" w:type="dxa"/>
            <w:vAlign w:val="bottom"/>
            <w:tcBorders>
              <w:bottom w:val="single" w:sz="8" w:color="3E3935"/>
            </w:tcBorders>
          </w:tcPr>
          <w:p>
            <w:pPr>
              <w:ind w:left="400"/>
              <w:spacing w:after="0" w:line="328" w:lineRule="exact"/>
              <w:rPr>
                <w:sz w:val="20"/>
                <w:szCs w:val="20"/>
                <w:color w:val="auto"/>
              </w:rPr>
            </w:pPr>
            <w:r>
              <w:rPr>
                <w:rFonts w:ascii="Arial" w:cs="Arial" w:eastAsia="Arial" w:hAnsi="Arial"/>
                <w:sz w:val="20"/>
                <w:szCs w:val="20"/>
                <w:color w:val="3E3935"/>
              </w:rPr>
              <w:t>Patent royalty matters</w:t>
            </w:r>
            <w:r>
              <w:rPr>
                <w:rFonts w:ascii="Arial" w:cs="Arial" w:eastAsia="Arial" w:hAnsi="Arial"/>
                <w:sz w:val="33"/>
                <w:szCs w:val="33"/>
                <w:color w:val="3E3935"/>
                <w:vertAlign w:val="superscript"/>
              </w:rPr>
              <w:t>(1)</w:t>
            </w:r>
          </w:p>
        </w:tc>
        <w:tc>
          <w:tcPr>
            <w:tcW w:w="38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0.3</w:t>
            </w:r>
          </w:p>
        </w:tc>
      </w:tr>
      <w:tr>
        <w:trPr>
          <w:trHeight w:val="328"/>
        </w:trPr>
        <w:tc>
          <w:tcPr>
            <w:tcW w:w="7060" w:type="dxa"/>
            <w:vAlign w:val="bottom"/>
            <w:tcBorders>
              <w:bottom w:val="single" w:sz="8" w:color="3E3935"/>
            </w:tcBorders>
          </w:tcPr>
          <w:p>
            <w:pPr>
              <w:ind w:left="400"/>
              <w:spacing w:after="0" w:line="328" w:lineRule="exact"/>
              <w:rPr>
                <w:sz w:val="20"/>
                <w:szCs w:val="20"/>
                <w:color w:val="auto"/>
              </w:rPr>
            </w:pPr>
            <w:r>
              <w:rPr>
                <w:rFonts w:ascii="Arial" w:cs="Arial" w:eastAsia="Arial" w:hAnsi="Arial"/>
                <w:sz w:val="20"/>
                <w:szCs w:val="20"/>
                <w:color w:val="3E3935"/>
              </w:rPr>
              <w:t>GM Brazil indirect tax matters</w:t>
            </w:r>
            <w:r>
              <w:rPr>
                <w:rFonts w:ascii="Arial" w:cs="Arial" w:eastAsia="Arial" w:hAnsi="Arial"/>
                <w:sz w:val="33"/>
                <w:szCs w:val="33"/>
                <w:color w:val="3E3935"/>
                <w:vertAlign w:val="superscript"/>
              </w:rPr>
              <w:t>(2)</w:t>
            </w:r>
          </w:p>
        </w:tc>
        <w:tc>
          <w:tcPr>
            <w:tcW w:w="38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0.2</w:t>
            </w:r>
          </w:p>
        </w:tc>
      </w:tr>
      <w:tr>
        <w:trPr>
          <w:trHeight w:val="328"/>
        </w:trPr>
        <w:tc>
          <w:tcPr>
            <w:tcW w:w="7060" w:type="dxa"/>
            <w:vAlign w:val="bottom"/>
            <w:tcBorders>
              <w:bottom w:val="single" w:sz="8" w:color="3E3935"/>
            </w:tcBorders>
          </w:tcPr>
          <w:p>
            <w:pPr>
              <w:ind w:left="400"/>
              <w:spacing w:after="0" w:line="328" w:lineRule="exact"/>
              <w:rPr>
                <w:sz w:val="20"/>
                <w:szCs w:val="20"/>
                <w:color w:val="auto"/>
              </w:rPr>
            </w:pPr>
            <w:r>
              <w:rPr>
                <w:rFonts w:ascii="Arial" w:cs="Arial" w:eastAsia="Arial" w:hAnsi="Arial"/>
                <w:sz w:val="20"/>
                <w:szCs w:val="20"/>
                <w:color w:val="3E3935"/>
              </w:rPr>
              <w:t>Cadillac dealer strategy</w:t>
            </w:r>
            <w:r>
              <w:rPr>
                <w:rFonts w:ascii="Arial" w:cs="Arial" w:eastAsia="Arial" w:hAnsi="Arial"/>
                <w:sz w:val="33"/>
                <w:szCs w:val="33"/>
                <w:color w:val="3E3935"/>
                <w:vertAlign w:val="superscript"/>
              </w:rPr>
              <w:t>(3)</w:t>
            </w:r>
          </w:p>
        </w:tc>
        <w:tc>
          <w:tcPr>
            <w:tcW w:w="38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0.2</w:t>
            </w:r>
          </w:p>
        </w:tc>
      </w:tr>
      <w:tr>
        <w:trPr>
          <w:trHeight w:val="328"/>
        </w:trPr>
        <w:tc>
          <w:tcPr>
            <w:tcW w:w="7060" w:type="dxa"/>
            <w:vAlign w:val="bottom"/>
            <w:tcBorders>
              <w:bottom w:val="single" w:sz="8" w:color="3E3935"/>
            </w:tcBorders>
          </w:tcPr>
          <w:p>
            <w:pPr>
              <w:ind w:left="400"/>
              <w:spacing w:after="0" w:line="328" w:lineRule="exact"/>
              <w:rPr>
                <w:sz w:val="20"/>
                <w:szCs w:val="20"/>
                <w:color w:val="auto"/>
              </w:rPr>
            </w:pPr>
            <w:r>
              <w:rPr>
                <w:rFonts w:ascii="Arial" w:cs="Arial" w:eastAsia="Arial" w:hAnsi="Arial"/>
                <w:sz w:val="20"/>
                <w:szCs w:val="20"/>
                <w:color w:val="3E3935"/>
              </w:rPr>
              <w:t>GM Korea wage litigation</w:t>
            </w:r>
            <w:r>
              <w:rPr>
                <w:rFonts w:ascii="Arial" w:cs="Arial" w:eastAsia="Arial" w:hAnsi="Arial"/>
                <w:sz w:val="33"/>
                <w:szCs w:val="33"/>
                <w:color w:val="3E3935"/>
                <w:vertAlign w:val="superscript"/>
              </w:rPr>
              <w:t>(4)</w:t>
            </w:r>
          </w:p>
        </w:tc>
        <w:tc>
          <w:tcPr>
            <w:tcW w:w="38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0.1</w:t>
            </w:r>
          </w:p>
        </w:tc>
      </w:tr>
      <w:tr>
        <w:trPr>
          <w:trHeight w:val="296"/>
        </w:trPr>
        <w:tc>
          <w:tcPr>
            <w:tcW w:w="7060" w:type="dxa"/>
            <w:vAlign w:val="bottom"/>
          </w:tcPr>
          <w:p>
            <w:pPr>
              <w:ind w:left="80"/>
              <w:spacing w:after="0"/>
              <w:rPr>
                <w:sz w:val="20"/>
                <w:szCs w:val="20"/>
                <w:color w:val="auto"/>
              </w:rPr>
            </w:pPr>
            <w:r>
              <w:rPr>
                <w:rFonts w:ascii="Arial" w:cs="Arial" w:eastAsia="Arial" w:hAnsi="Arial"/>
                <w:sz w:val="20"/>
                <w:szCs w:val="20"/>
                <w:color w:val="3E3935"/>
              </w:rPr>
              <w:t>Total Special items</w:t>
            </w:r>
          </w:p>
        </w:tc>
        <w:tc>
          <w:tcPr>
            <w:tcW w:w="3860" w:type="dxa"/>
            <w:vAlign w:val="bottom"/>
          </w:tcPr>
          <w:p>
            <w:pPr>
              <w:jc w:val="right"/>
              <w:ind w:right="22"/>
              <w:spacing w:after="0"/>
              <w:rPr>
                <w:sz w:val="20"/>
                <w:szCs w:val="20"/>
                <w:color w:val="auto"/>
              </w:rPr>
            </w:pPr>
            <w:r>
              <w:rPr>
                <w:rFonts w:ascii="Arial" w:cs="Arial" w:eastAsia="Arial" w:hAnsi="Arial"/>
                <w:sz w:val="20"/>
                <w:szCs w:val="20"/>
                <w:color w:val="3E3935"/>
              </w:rPr>
              <w:t>0.7</w:t>
            </w:r>
          </w:p>
        </w:tc>
      </w:tr>
      <w:tr>
        <w:trPr>
          <w:trHeight w:val="32"/>
        </w:trPr>
        <w:tc>
          <w:tcPr>
            <w:tcW w:w="7060" w:type="dxa"/>
            <w:vAlign w:val="bottom"/>
            <w:tcBorders>
              <w:bottom w:val="single" w:sz="8" w:color="3E3935"/>
            </w:tcBorders>
          </w:tcPr>
          <w:p>
            <w:pPr>
              <w:spacing w:after="0"/>
              <w:rPr>
                <w:sz w:val="2"/>
                <w:szCs w:val="2"/>
                <w:color w:val="auto"/>
              </w:rPr>
            </w:pPr>
          </w:p>
        </w:tc>
        <w:tc>
          <w:tcPr>
            <w:tcW w:w="3860" w:type="dxa"/>
            <w:vAlign w:val="bottom"/>
            <w:tcBorders>
              <w:bottom w:val="single" w:sz="8" w:color="3E3935"/>
            </w:tcBorders>
          </w:tcPr>
          <w:p>
            <w:pPr>
              <w:spacing w:after="0"/>
              <w:rPr>
                <w:sz w:val="2"/>
                <w:szCs w:val="2"/>
                <w:color w:val="auto"/>
              </w:rPr>
            </w:pPr>
          </w:p>
        </w:tc>
      </w:tr>
      <w:tr>
        <w:trPr>
          <w:trHeight w:val="306"/>
        </w:trPr>
        <w:tc>
          <w:tcPr>
            <w:tcW w:w="7060" w:type="dxa"/>
            <w:vAlign w:val="bottom"/>
          </w:tcPr>
          <w:p>
            <w:pPr>
              <w:ind w:left="80"/>
              <w:spacing w:after="0"/>
              <w:rPr>
                <w:sz w:val="20"/>
                <w:szCs w:val="20"/>
                <w:color w:val="auto"/>
              </w:rPr>
            </w:pPr>
            <w:r>
              <w:rPr>
                <w:rFonts w:ascii="Arial" w:cs="Arial" w:eastAsia="Arial" w:hAnsi="Arial"/>
                <w:sz w:val="20"/>
                <w:szCs w:val="20"/>
                <w:b w:val="1"/>
                <w:bCs w:val="1"/>
                <w:color w:val="00C1DE"/>
              </w:rPr>
              <w:t>EBIT-adjusted</w:t>
            </w:r>
          </w:p>
        </w:tc>
        <w:tc>
          <w:tcPr>
            <w:tcW w:w="3860" w:type="dxa"/>
            <w:vAlign w:val="bottom"/>
          </w:tcPr>
          <w:p>
            <w:pPr>
              <w:jc w:val="right"/>
              <w:ind w:right="22"/>
              <w:spacing w:after="0"/>
              <w:rPr>
                <w:sz w:val="20"/>
                <w:szCs w:val="20"/>
                <w:color w:val="auto"/>
              </w:rPr>
            </w:pPr>
            <w:r>
              <w:rPr>
                <w:rFonts w:ascii="Arial" w:cs="Arial" w:eastAsia="Arial" w:hAnsi="Arial"/>
                <w:sz w:val="20"/>
                <w:szCs w:val="20"/>
                <w:b w:val="1"/>
                <w:bCs w:val="1"/>
                <w:color w:val="00C1DE"/>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13970</wp:posOffset>
            </wp:positionV>
            <wp:extent cx="69297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5" w:lineRule="exact"/>
        <w:rPr>
          <w:sz w:val="20"/>
          <w:szCs w:val="20"/>
          <w:color w:val="auto"/>
        </w:rPr>
      </w:pPr>
    </w:p>
    <w:p>
      <w:pPr>
        <w:ind w:left="600" w:hanging="433"/>
        <w:spacing w:after="0"/>
        <w:tabs>
          <w:tab w:leader="none" w:pos="600" w:val="left"/>
        </w:tabs>
        <w:numPr>
          <w:ilvl w:val="0"/>
          <w:numId w:val="164"/>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potential royalties accrued with respect to past-year sales.</w:t>
      </w:r>
    </w:p>
    <w:p>
      <w:pPr>
        <w:spacing w:after="0" w:line="60"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164"/>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a potential settlement with certain third parties relating to retrospective recoveries of indirect taxes in Brazil.</w:t>
      </w:r>
    </w:p>
    <w:p>
      <w:pPr>
        <w:spacing w:after="0" w:line="14"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164"/>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strategic activities to transition certain Cadillac dealers from the network as part of Cadillac’s electric vehicle strategy.</w:t>
      </w:r>
    </w:p>
    <w:p>
      <w:pPr>
        <w:spacing w:after="0" w:line="14" w:lineRule="exact"/>
        <w:rPr>
          <w:rFonts w:ascii="Arial" w:cs="Arial" w:eastAsia="Arial" w:hAnsi="Arial"/>
          <w:sz w:val="18"/>
          <w:szCs w:val="18"/>
          <w:i w:val="1"/>
          <w:iCs w:val="1"/>
          <w:color w:val="3E3935"/>
        </w:rPr>
      </w:pPr>
    </w:p>
    <w:p>
      <w:pPr>
        <w:ind w:left="600" w:hanging="433"/>
        <w:spacing w:after="0" w:line="263" w:lineRule="auto"/>
        <w:tabs>
          <w:tab w:leader="none" w:pos="600" w:val="left"/>
        </w:tabs>
        <w:numPr>
          <w:ilvl w:val="0"/>
          <w:numId w:val="164"/>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of the unique events associated with recent Supreme Court of the Republic of Korea decisions related to our salaried workers.</w:t>
      </w:r>
    </w:p>
    <w:p>
      <w:pPr>
        <w:spacing w:after="0" w:line="102" w:lineRule="exact"/>
        <w:rPr>
          <w:sz w:val="20"/>
          <w:szCs w:val="20"/>
          <w:color w:val="auto"/>
        </w:rPr>
      </w:pPr>
    </w:p>
    <w:p>
      <w:pPr>
        <w:ind w:left="10540"/>
        <w:spacing w:after="0"/>
        <w:rPr>
          <w:sz w:val="20"/>
          <w:szCs w:val="20"/>
          <w:color w:val="auto"/>
        </w:rPr>
      </w:pPr>
      <w:r>
        <w:rPr>
          <w:rFonts w:ascii="Arial" w:cs="Arial" w:eastAsia="Arial" w:hAnsi="Arial"/>
          <w:sz w:val="14"/>
          <w:szCs w:val="14"/>
          <w:color w:val="0071CE"/>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-95885</wp:posOffset>
            </wp:positionV>
            <wp:extent cx="5927725" cy="1016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following table reconciles Diluted Earnings per Common Share under GAAP to EPS-diluted-adjusted: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156210</wp:posOffset>
            </wp:positionV>
            <wp:extent cx="69297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686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 per Share</w:t>
            </w:r>
          </w:p>
        </w:tc>
        <w:tc>
          <w:tcPr>
            <w:tcW w:w="4060" w:type="dxa"/>
            <w:vAlign w:val="bottom"/>
            <w:tcBorders>
              <w:bottom w:val="single" w:sz="8" w:color="00C1DE"/>
            </w:tcBorders>
          </w:tcPr>
          <w:p>
            <w:pPr>
              <w:jc w:val="right"/>
              <w:ind w:right="22"/>
              <w:spacing w:after="0"/>
              <w:rPr>
                <w:sz w:val="20"/>
                <w:szCs w:val="20"/>
                <w:color w:val="auto"/>
              </w:rPr>
            </w:pPr>
            <w:r>
              <w:rPr>
                <w:rFonts w:ascii="Arial" w:cs="Arial" w:eastAsia="Arial" w:hAnsi="Arial"/>
                <w:sz w:val="20"/>
                <w:szCs w:val="20"/>
                <w:b w:val="1"/>
                <w:bCs w:val="1"/>
                <w:color w:val="00C1DE"/>
              </w:rPr>
              <w:t>2021</w:t>
            </w:r>
          </w:p>
        </w:tc>
      </w:tr>
      <w:tr>
        <w:trPr>
          <w:trHeight w:val="247"/>
        </w:trPr>
        <w:tc>
          <w:tcPr>
            <w:tcW w:w="686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Diluted Earnings per Common Share</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b w:val="1"/>
                <w:bCs w:val="1"/>
                <w:color w:val="3E3935"/>
              </w:rPr>
              <w:t>$ 6.70</w:t>
            </w:r>
          </w:p>
        </w:tc>
      </w:tr>
      <w:tr>
        <w:trPr>
          <w:trHeight w:val="247"/>
        </w:trPr>
        <w:tc>
          <w:tcPr>
            <w:tcW w:w="6860" w:type="dxa"/>
            <w:vAlign w:val="bottom"/>
            <w:tcBorders>
              <w:bottom w:val="single" w:sz="8" w:color="3E3935"/>
            </w:tcBorders>
          </w:tcPr>
          <w:p>
            <w:pPr>
              <w:ind w:left="80"/>
              <w:spacing w:after="0" w:line="247" w:lineRule="exact"/>
              <w:rPr>
                <w:sz w:val="20"/>
                <w:szCs w:val="20"/>
                <w:color w:val="auto"/>
              </w:rPr>
            </w:pPr>
            <w:r>
              <w:rPr>
                <w:rFonts w:ascii="Arial" w:cs="Arial" w:eastAsia="Arial" w:hAnsi="Arial"/>
                <w:sz w:val="17"/>
                <w:szCs w:val="17"/>
                <w:color w:val="3E3935"/>
              </w:rPr>
              <w:t>Adjustments</w:t>
            </w:r>
            <w:r>
              <w:rPr>
                <w:rFonts w:ascii="Arial" w:cs="Arial" w:eastAsia="Arial" w:hAnsi="Arial"/>
                <w:sz w:val="28"/>
                <w:szCs w:val="28"/>
                <w:color w:val="3E3935"/>
                <w:vertAlign w:val="superscript"/>
              </w:rPr>
              <w:t>(1)</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0.47</w:t>
            </w:r>
          </w:p>
        </w:tc>
      </w:tr>
      <w:tr>
        <w:trPr>
          <w:trHeight w:val="247"/>
        </w:trPr>
        <w:tc>
          <w:tcPr>
            <w:tcW w:w="6860" w:type="dxa"/>
            <w:vAlign w:val="bottom"/>
            <w:tcBorders>
              <w:bottom w:val="single" w:sz="8" w:color="3E3935"/>
            </w:tcBorders>
          </w:tcPr>
          <w:p>
            <w:pPr>
              <w:ind w:left="80"/>
              <w:spacing w:after="0" w:line="247" w:lineRule="exact"/>
              <w:rPr>
                <w:sz w:val="20"/>
                <w:szCs w:val="20"/>
                <w:color w:val="auto"/>
              </w:rPr>
            </w:pPr>
            <w:r>
              <w:rPr>
                <w:rFonts w:ascii="Arial" w:cs="Arial" w:eastAsia="Arial" w:hAnsi="Arial"/>
                <w:sz w:val="17"/>
                <w:szCs w:val="17"/>
                <w:color w:val="3E3935"/>
              </w:rPr>
              <w:t>Tax effect of adjustments</w:t>
            </w:r>
            <w:r>
              <w:rPr>
                <w:rFonts w:ascii="Arial" w:cs="Arial" w:eastAsia="Arial" w:hAnsi="Arial"/>
                <w:sz w:val="28"/>
                <w:szCs w:val="28"/>
                <w:color w:val="3E3935"/>
                <w:vertAlign w:val="superscript"/>
              </w:rPr>
              <w:t>(2)</w:t>
            </w:r>
          </w:p>
        </w:tc>
        <w:tc>
          <w:tcPr>
            <w:tcW w:w="40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(0.07)</w:t>
            </w:r>
          </w:p>
        </w:tc>
      </w:tr>
      <w:tr>
        <w:trPr>
          <w:trHeight w:val="247"/>
        </w:trPr>
        <w:tc>
          <w:tcPr>
            <w:tcW w:w="6860" w:type="dxa"/>
            <w:vAlign w:val="bottom"/>
            <w:tcBorders>
              <w:bottom w:val="single" w:sz="8" w:color="3E3935"/>
            </w:tcBorders>
          </w:tcPr>
          <w:p>
            <w:pPr>
              <w:ind w:left="80"/>
              <w:spacing w:after="0" w:line="247" w:lineRule="exact"/>
              <w:rPr>
                <w:sz w:val="20"/>
                <w:szCs w:val="20"/>
                <w:color w:val="auto"/>
              </w:rPr>
            </w:pPr>
            <w:r>
              <w:rPr>
                <w:rFonts w:ascii="Arial" w:cs="Arial" w:eastAsia="Arial" w:hAnsi="Arial"/>
                <w:sz w:val="17"/>
                <w:szCs w:val="17"/>
                <w:color w:val="3E3935"/>
              </w:rPr>
              <w:t>Tax adjustments</w:t>
            </w:r>
            <w:r>
              <w:rPr>
                <w:rFonts w:ascii="Arial" w:cs="Arial" w:eastAsia="Arial" w:hAnsi="Arial"/>
                <w:sz w:val="28"/>
                <w:szCs w:val="28"/>
                <w:color w:val="3E3935"/>
                <w:vertAlign w:val="superscript"/>
              </w:rPr>
              <w:t>(3)</w:t>
            </w:r>
          </w:p>
        </w:tc>
        <w:tc>
          <w:tcPr>
            <w:tcW w:w="40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(0.03)</w:t>
            </w:r>
          </w:p>
        </w:tc>
      </w:tr>
      <w:tr>
        <w:trPr>
          <w:trHeight w:val="247"/>
        </w:trPr>
        <w:tc>
          <w:tcPr>
            <w:tcW w:w="686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EPS-diluted-adjusted</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b w:val="1"/>
                <w:bCs w:val="1"/>
                <w:color w:val="00C1DE"/>
              </w:rPr>
              <w:t>$ 7.07</w:t>
            </w:r>
          </w:p>
        </w:tc>
      </w:tr>
    </w:tbl>
    <w:p>
      <w:pPr>
        <w:spacing w:after="0" w:line="50" w:lineRule="exact"/>
        <w:rPr>
          <w:sz w:val="20"/>
          <w:szCs w:val="20"/>
          <w:color w:val="auto"/>
        </w:rPr>
      </w:pPr>
    </w:p>
    <w:p>
      <w:pPr>
        <w:ind w:left="600" w:hanging="433"/>
        <w:spacing w:after="0"/>
        <w:tabs>
          <w:tab w:leader="none" w:pos="600" w:val="left"/>
        </w:tabs>
        <w:numPr>
          <w:ilvl w:val="0"/>
          <w:numId w:val="165"/>
        </w:numPr>
        <w:rPr>
          <w:rFonts w:ascii="Arial" w:cs="Arial" w:eastAsia="Arial" w:hAnsi="Arial"/>
          <w:sz w:val="18"/>
          <w:szCs w:val="18"/>
          <w:i w:val="1"/>
          <w:iCs w:val="1"/>
          <w:color w:val="3E3935"/>
        </w:rPr>
      </w:pPr>
      <w:r>
        <w:rPr>
          <w:rFonts w:ascii="Arial" w:cs="Arial" w:eastAsia="Arial" w:hAnsi="Arial"/>
          <w:sz w:val="18"/>
          <w:szCs w:val="18"/>
          <w:i w:val="1"/>
          <w:iCs w:val="1"/>
          <w:color w:val="3E3935"/>
        </w:rPr>
        <w:t>Refer to the reconciliation of Net Income Attributable to Stockholders under GAAP to EBIT-adjusted above for adjustment details.</w:t>
      </w:r>
    </w:p>
    <w:p>
      <w:pPr>
        <w:spacing w:after="0" w:line="60" w:lineRule="exact"/>
        <w:rPr>
          <w:rFonts w:ascii="Arial" w:cs="Arial" w:eastAsia="Arial" w:hAnsi="Arial"/>
          <w:sz w:val="18"/>
          <w:szCs w:val="18"/>
          <w:i w:val="1"/>
          <w:iCs w:val="1"/>
          <w:color w:val="3E3935"/>
        </w:rPr>
      </w:pPr>
    </w:p>
    <w:p>
      <w:pPr>
        <w:ind w:left="600" w:right="20" w:hanging="433"/>
        <w:spacing w:after="0" w:line="263" w:lineRule="auto"/>
        <w:tabs>
          <w:tab w:leader="none" w:pos="600" w:val="left"/>
        </w:tabs>
        <w:numPr>
          <w:ilvl w:val="0"/>
          <w:numId w:val="165"/>
        </w:numPr>
        <w:rPr>
          <w:rFonts w:ascii="Arial" w:cs="Arial" w:eastAsia="Arial" w:hAnsi="Arial"/>
          <w:sz w:val="18"/>
          <w:szCs w:val="18"/>
          <w:i w:val="1"/>
          <w:iCs w:val="1"/>
          <w:color w:val="3E3935"/>
        </w:rPr>
      </w:pPr>
      <w:r>
        <w:rPr>
          <w:rFonts w:ascii="Arial" w:cs="Arial" w:eastAsia="Arial" w:hAnsi="Arial"/>
          <w:sz w:val="18"/>
          <w:szCs w:val="18"/>
          <w:i w:val="1"/>
          <w:iCs w:val="1"/>
          <w:color w:val="3E3935"/>
        </w:rPr>
        <w:t>The tax effect of each adjustment is determined based on the tax laws and valuation allowance status of the jurisdiction to which the adjustment relates.</w:t>
      </w:r>
    </w:p>
    <w:p>
      <w:pPr>
        <w:spacing w:after="0" w:line="14"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165"/>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consists of tax benefits related to a deduction for an investment in a subsidiary and resolution of uncertainty relating to an indirect tax refund claim in Brazil, partially offset by tax expense related to the establishment of a valuation allowance against Cruise deferred tax assets. This adjustment was excluded because of the unique nature of these events and significant impacts of valuation allowances are not considered part of our core operations.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following table summarizes the calculation of ROIC-adjusted: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156210</wp:posOffset>
            </wp:positionV>
            <wp:extent cx="69297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878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2140" w:type="dxa"/>
            <w:vAlign w:val="bottom"/>
            <w:tcBorders>
              <w:bottom w:val="single" w:sz="8" w:color="00C1DE"/>
            </w:tcBorders>
          </w:tcPr>
          <w:p>
            <w:pPr>
              <w:jc w:val="right"/>
              <w:ind w:right="142"/>
              <w:spacing w:after="0"/>
              <w:rPr>
                <w:sz w:val="20"/>
                <w:szCs w:val="20"/>
                <w:color w:val="auto"/>
              </w:rPr>
            </w:pPr>
            <w:r>
              <w:rPr>
                <w:rFonts w:ascii="Arial" w:cs="Arial" w:eastAsia="Arial" w:hAnsi="Arial"/>
                <w:sz w:val="20"/>
                <w:szCs w:val="20"/>
                <w:b w:val="1"/>
                <w:bCs w:val="1"/>
                <w:color w:val="00C1DE"/>
              </w:rPr>
              <w:t>2021</w:t>
            </w:r>
          </w:p>
        </w:tc>
      </w:tr>
      <w:tr>
        <w:trPr>
          <w:trHeight w:val="247"/>
        </w:trPr>
        <w:tc>
          <w:tcPr>
            <w:tcW w:w="8780" w:type="dxa"/>
            <w:vAlign w:val="bottom"/>
            <w:tcBorders>
              <w:bottom w:val="single" w:sz="8" w:color="3E3935"/>
            </w:tcBorders>
          </w:tcPr>
          <w:p>
            <w:pPr>
              <w:ind w:left="80"/>
              <w:spacing w:after="0" w:line="247" w:lineRule="exact"/>
              <w:rPr>
                <w:sz w:val="20"/>
                <w:szCs w:val="20"/>
                <w:color w:val="auto"/>
              </w:rPr>
            </w:pPr>
            <w:r>
              <w:rPr>
                <w:rFonts w:ascii="Arial" w:cs="Arial" w:eastAsia="Arial" w:hAnsi="Arial"/>
                <w:sz w:val="17"/>
                <w:szCs w:val="17"/>
                <w:b w:val="1"/>
                <w:bCs w:val="1"/>
                <w:color w:val="3E3935"/>
              </w:rPr>
              <w:t>EBIT-adjusted</w:t>
            </w:r>
            <w:r>
              <w:rPr>
                <w:rFonts w:ascii="Arial" w:cs="Arial" w:eastAsia="Arial" w:hAnsi="Arial"/>
                <w:sz w:val="28"/>
                <w:szCs w:val="28"/>
                <w:b w:val="1"/>
                <w:bCs w:val="1"/>
                <w:color w:val="3E3935"/>
                <w:vertAlign w:val="superscript"/>
              </w:rPr>
              <w:t>(1)</w:t>
            </w:r>
          </w:p>
        </w:tc>
        <w:tc>
          <w:tcPr>
            <w:tcW w:w="2140" w:type="dxa"/>
            <w:vAlign w:val="bottom"/>
            <w:tcBorders>
              <w:bottom w:val="single" w:sz="8" w:color="3E3935"/>
            </w:tcBorders>
          </w:tcPr>
          <w:p>
            <w:pPr>
              <w:jc w:val="right"/>
              <w:ind w:right="142"/>
              <w:spacing w:after="0"/>
              <w:rPr>
                <w:sz w:val="20"/>
                <w:szCs w:val="20"/>
                <w:color w:val="auto"/>
              </w:rPr>
            </w:pPr>
            <w:r>
              <w:rPr>
                <w:rFonts w:ascii="Arial" w:cs="Arial" w:eastAsia="Arial" w:hAnsi="Arial"/>
                <w:sz w:val="20"/>
                <w:szCs w:val="20"/>
                <w:b w:val="1"/>
                <w:bCs w:val="1"/>
                <w:color w:val="3E3935"/>
              </w:rPr>
              <w:t>$ 14.3</w:t>
            </w:r>
          </w:p>
        </w:tc>
      </w:tr>
      <w:tr>
        <w:trPr>
          <w:trHeight w:val="247"/>
        </w:trPr>
        <w:tc>
          <w:tcPr>
            <w:tcW w:w="8780" w:type="dxa"/>
            <w:vAlign w:val="bottom"/>
            <w:tcBorders>
              <w:bottom w:val="single" w:sz="8" w:color="3E3935"/>
            </w:tcBorders>
          </w:tcPr>
          <w:p>
            <w:pPr>
              <w:ind w:left="400"/>
              <w:spacing w:after="0" w:line="247" w:lineRule="exact"/>
              <w:rPr>
                <w:sz w:val="20"/>
                <w:szCs w:val="20"/>
                <w:color w:val="auto"/>
              </w:rPr>
            </w:pPr>
            <w:r>
              <w:rPr>
                <w:rFonts w:ascii="Arial" w:cs="Arial" w:eastAsia="Arial" w:hAnsi="Arial"/>
                <w:sz w:val="17"/>
                <w:szCs w:val="17"/>
                <w:color w:val="3E3935"/>
              </w:rPr>
              <w:t>Average equity</w:t>
            </w:r>
            <w:r>
              <w:rPr>
                <w:rFonts w:ascii="Arial" w:cs="Arial" w:eastAsia="Arial" w:hAnsi="Arial"/>
                <w:sz w:val="28"/>
                <w:szCs w:val="28"/>
                <w:color w:val="3E3935"/>
                <w:vertAlign w:val="superscript"/>
              </w:rPr>
              <w:t>(2)</w:t>
            </w:r>
          </w:p>
        </w:tc>
        <w:tc>
          <w:tcPr>
            <w:tcW w:w="2140" w:type="dxa"/>
            <w:vAlign w:val="bottom"/>
            <w:tcBorders>
              <w:bottom w:val="single" w:sz="8" w:color="3E3935"/>
            </w:tcBorders>
          </w:tcPr>
          <w:p>
            <w:pPr>
              <w:jc w:val="right"/>
              <w:ind w:right="142"/>
              <w:spacing w:after="0"/>
              <w:rPr>
                <w:sz w:val="20"/>
                <w:szCs w:val="20"/>
                <w:color w:val="auto"/>
              </w:rPr>
            </w:pPr>
            <w:r>
              <w:rPr>
                <w:rFonts w:ascii="Arial" w:cs="Arial" w:eastAsia="Arial" w:hAnsi="Arial"/>
                <w:sz w:val="20"/>
                <w:szCs w:val="20"/>
                <w:color w:val="3E3935"/>
              </w:rPr>
              <w:t>56.5</w:t>
            </w:r>
          </w:p>
        </w:tc>
      </w:tr>
      <w:tr>
        <w:trPr>
          <w:trHeight w:val="247"/>
        </w:trPr>
        <w:tc>
          <w:tcPr>
            <w:tcW w:w="87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Average automotive debt and interest liabilities (excluding finance leases)</w:t>
            </w:r>
          </w:p>
        </w:tc>
        <w:tc>
          <w:tcPr>
            <w:tcW w:w="2140" w:type="dxa"/>
            <w:vAlign w:val="bottom"/>
            <w:tcBorders>
              <w:bottom w:val="single" w:sz="8" w:color="3E3935"/>
            </w:tcBorders>
          </w:tcPr>
          <w:p>
            <w:pPr>
              <w:jc w:val="right"/>
              <w:ind w:right="142"/>
              <w:spacing w:after="0"/>
              <w:rPr>
                <w:sz w:val="20"/>
                <w:szCs w:val="20"/>
                <w:color w:val="auto"/>
              </w:rPr>
            </w:pPr>
            <w:r>
              <w:rPr>
                <w:rFonts w:ascii="Arial" w:cs="Arial" w:eastAsia="Arial" w:hAnsi="Arial"/>
                <w:sz w:val="20"/>
                <w:szCs w:val="20"/>
                <w:color w:val="3E3935"/>
              </w:rPr>
              <w:t>17.1</w:t>
            </w:r>
          </w:p>
        </w:tc>
      </w:tr>
      <w:tr>
        <w:trPr>
          <w:trHeight w:val="247"/>
        </w:trPr>
        <w:tc>
          <w:tcPr>
            <w:tcW w:w="87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Average automotive net pension and other post-retirement benefits liabilities</w:t>
            </w:r>
          </w:p>
        </w:tc>
        <w:tc>
          <w:tcPr>
            <w:tcW w:w="2140" w:type="dxa"/>
            <w:vAlign w:val="bottom"/>
            <w:tcBorders>
              <w:bottom w:val="single" w:sz="8" w:color="3E3935"/>
            </w:tcBorders>
          </w:tcPr>
          <w:p>
            <w:pPr>
              <w:jc w:val="right"/>
              <w:ind w:right="142"/>
              <w:spacing w:after="0"/>
              <w:rPr>
                <w:sz w:val="20"/>
                <w:szCs w:val="20"/>
                <w:color w:val="auto"/>
              </w:rPr>
            </w:pPr>
            <w:r>
              <w:rPr>
                <w:rFonts w:ascii="Arial" w:cs="Arial" w:eastAsia="Arial" w:hAnsi="Arial"/>
                <w:sz w:val="20"/>
                <w:szCs w:val="20"/>
                <w:color w:val="3E3935"/>
              </w:rPr>
              <w:t>15.8</w:t>
            </w:r>
          </w:p>
        </w:tc>
      </w:tr>
      <w:tr>
        <w:trPr>
          <w:trHeight w:val="247"/>
        </w:trPr>
        <w:tc>
          <w:tcPr>
            <w:tcW w:w="87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Less: Average automotive net income tax asset</w:t>
            </w:r>
          </w:p>
        </w:tc>
        <w:tc>
          <w:tcPr>
            <w:tcW w:w="2140" w:type="dxa"/>
            <w:vAlign w:val="bottom"/>
            <w:tcBorders>
              <w:bottom w:val="single" w:sz="8" w:color="3E3935"/>
            </w:tcBorders>
          </w:tcPr>
          <w:p>
            <w:pPr>
              <w:jc w:val="right"/>
              <w:ind w:right="82"/>
              <w:spacing w:after="0"/>
              <w:rPr>
                <w:sz w:val="20"/>
                <w:szCs w:val="20"/>
                <w:color w:val="auto"/>
              </w:rPr>
            </w:pPr>
            <w:r>
              <w:rPr>
                <w:rFonts w:ascii="Arial" w:cs="Arial" w:eastAsia="Arial" w:hAnsi="Arial"/>
                <w:sz w:val="20"/>
                <w:szCs w:val="20"/>
                <w:color w:val="3E3935"/>
              </w:rPr>
              <w:t>(22.2)</w:t>
            </w:r>
          </w:p>
        </w:tc>
      </w:tr>
      <w:tr>
        <w:trPr>
          <w:trHeight w:val="247"/>
        </w:trPr>
        <w:tc>
          <w:tcPr>
            <w:tcW w:w="878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ROIC-adjusted average net assets</w:t>
            </w:r>
          </w:p>
        </w:tc>
        <w:tc>
          <w:tcPr>
            <w:tcW w:w="2140" w:type="dxa"/>
            <w:vAlign w:val="bottom"/>
            <w:tcBorders>
              <w:bottom w:val="single" w:sz="8" w:color="3E3935"/>
            </w:tcBorders>
          </w:tcPr>
          <w:p>
            <w:pPr>
              <w:jc w:val="right"/>
              <w:ind w:right="142"/>
              <w:spacing w:after="0"/>
              <w:rPr>
                <w:sz w:val="20"/>
                <w:szCs w:val="20"/>
                <w:color w:val="auto"/>
              </w:rPr>
            </w:pPr>
            <w:r>
              <w:rPr>
                <w:rFonts w:ascii="Arial" w:cs="Arial" w:eastAsia="Arial" w:hAnsi="Arial"/>
                <w:sz w:val="20"/>
                <w:szCs w:val="20"/>
                <w:b w:val="1"/>
                <w:bCs w:val="1"/>
                <w:color w:val="3E3935"/>
              </w:rPr>
              <w:t>67.2</w:t>
            </w:r>
          </w:p>
        </w:tc>
      </w:tr>
      <w:tr>
        <w:trPr>
          <w:trHeight w:val="247"/>
        </w:trPr>
        <w:tc>
          <w:tcPr>
            <w:tcW w:w="878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ROIC-adjusted</w:t>
            </w:r>
          </w:p>
        </w:tc>
        <w:tc>
          <w:tcPr>
            <w:tcW w:w="2140" w:type="dxa"/>
            <w:vAlign w:val="bottom"/>
            <w:tcBorders>
              <w:bottom w:val="single" w:sz="8" w:color="3E3935"/>
            </w:tcBorders>
          </w:tcPr>
          <w:p>
            <w:pPr>
              <w:jc w:val="right"/>
              <w:spacing w:after="0"/>
              <w:rPr>
                <w:sz w:val="20"/>
                <w:szCs w:val="20"/>
                <w:color w:val="auto"/>
              </w:rPr>
            </w:pPr>
            <w:r>
              <w:rPr>
                <w:rFonts w:ascii="Arial" w:cs="Arial" w:eastAsia="Arial" w:hAnsi="Arial"/>
                <w:sz w:val="20"/>
                <w:szCs w:val="20"/>
                <w:b w:val="1"/>
                <w:bCs w:val="1"/>
                <w:color w:val="00C1DE"/>
              </w:rPr>
              <w:t>21.3%</w:t>
            </w:r>
          </w:p>
        </w:tc>
      </w:tr>
    </w:tbl>
    <w:p>
      <w:pPr>
        <w:spacing w:after="0" w:line="50" w:lineRule="exact"/>
        <w:rPr>
          <w:sz w:val="20"/>
          <w:szCs w:val="20"/>
          <w:color w:val="auto"/>
        </w:rPr>
      </w:pPr>
    </w:p>
    <w:p>
      <w:pPr>
        <w:ind w:left="600" w:hanging="433"/>
        <w:spacing w:after="0"/>
        <w:tabs>
          <w:tab w:leader="none" w:pos="600" w:val="left"/>
        </w:tabs>
        <w:numPr>
          <w:ilvl w:val="0"/>
          <w:numId w:val="166"/>
        </w:numPr>
        <w:rPr>
          <w:rFonts w:ascii="Arial" w:cs="Arial" w:eastAsia="Arial" w:hAnsi="Arial"/>
          <w:sz w:val="18"/>
          <w:szCs w:val="18"/>
          <w:i w:val="1"/>
          <w:iCs w:val="1"/>
          <w:color w:val="3E3935"/>
        </w:rPr>
      </w:pPr>
      <w:r>
        <w:rPr>
          <w:rFonts w:ascii="Arial" w:cs="Arial" w:eastAsia="Arial" w:hAnsi="Arial"/>
          <w:sz w:val="18"/>
          <w:szCs w:val="18"/>
          <w:i w:val="1"/>
          <w:iCs w:val="1"/>
          <w:color w:val="3E3935"/>
        </w:rPr>
        <w:t>Refer to the reconciliation of Net Income Attributable to Stockholders under GAAP to EBIT-adjusted above.</w:t>
      </w:r>
    </w:p>
    <w:p>
      <w:pPr>
        <w:spacing w:after="0" w:line="60"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66"/>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equity of noncontrolling interests where the corresponding earnings are included in EBIT-adjusted.</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-95885</wp:posOffset>
            </wp:positionV>
            <wp:extent cx="5927725" cy="1016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Adjusted Automotive Free Cash Flow</w:t>
      </w:r>
    </w:p>
    <w:p>
      <w:pPr>
        <w:spacing w:after="0" w:line="21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color w:val="3E3935"/>
        </w:rPr>
        <w:t>In the section titled “Executive Compensation,” we present one of our incentive compensation measures, adjusted automotive free cash flow, which is not prepared in accordance with GAAP. Below is a reconciliation of adjusted automotive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free cash flow (as calculated for incentive compensation purposes) to Net Automotive Cash Provided by Operating Activities, its nearest GAAP measure. The numbers in the table below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-1430020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369570</wp:posOffset>
            </wp:positionV>
            <wp:extent cx="69297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5400" w:space="340"/>
            <w:col w:w="5340"/>
          </w:cols>
          <w:pgMar w:left="320" w:top="454" w:right="499" w:bottom="1440" w:gutter="0" w:footer="0" w:header="0"/>
        </w:sectPr>
      </w:pP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874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2180" w:type="dxa"/>
            <w:vAlign w:val="bottom"/>
            <w:tcBorders>
              <w:bottom w:val="single" w:sz="8" w:color="00C1DE"/>
            </w:tcBorders>
          </w:tcPr>
          <w:p>
            <w:pPr>
              <w:jc w:val="right"/>
              <w:ind w:right="122"/>
              <w:spacing w:after="0"/>
              <w:rPr>
                <w:sz w:val="20"/>
                <w:szCs w:val="20"/>
                <w:color w:val="auto"/>
              </w:rPr>
            </w:pPr>
            <w:r>
              <w:rPr>
                <w:rFonts w:ascii="Arial" w:cs="Arial" w:eastAsia="Arial" w:hAnsi="Arial"/>
                <w:sz w:val="20"/>
                <w:szCs w:val="20"/>
                <w:b w:val="1"/>
                <w:bCs w:val="1"/>
                <w:color w:val="00C1DE"/>
              </w:rPr>
              <w:t>2021</w:t>
            </w:r>
          </w:p>
        </w:tc>
      </w:tr>
      <w:tr>
        <w:trPr>
          <w:trHeight w:val="247"/>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Net Automotive Cash Provided by Operating Activities</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b w:val="1"/>
                <w:bCs w:val="1"/>
                <w:color w:val="3E3935"/>
              </w:rPr>
              <w:t>$ 9.7</w:t>
            </w:r>
          </w:p>
        </w:tc>
      </w:tr>
      <w:tr>
        <w:trPr>
          <w:trHeight w:val="247"/>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Less: Capital expenditures</w:t>
            </w:r>
          </w:p>
        </w:tc>
        <w:tc>
          <w:tcPr>
            <w:tcW w:w="2180" w:type="dxa"/>
            <w:vAlign w:val="bottom"/>
            <w:tcBorders>
              <w:bottom w:val="single" w:sz="8" w:color="3E3935"/>
            </w:tcBorders>
          </w:tcPr>
          <w:p>
            <w:pPr>
              <w:jc w:val="right"/>
              <w:ind w:right="42"/>
              <w:spacing w:after="0"/>
              <w:rPr>
                <w:sz w:val="20"/>
                <w:szCs w:val="20"/>
                <w:color w:val="auto"/>
              </w:rPr>
            </w:pPr>
            <w:r>
              <w:rPr>
                <w:rFonts w:ascii="Arial" w:cs="Arial" w:eastAsia="Arial" w:hAnsi="Arial"/>
                <w:sz w:val="20"/>
                <w:szCs w:val="20"/>
                <w:color w:val="3E3935"/>
              </w:rPr>
              <w:t>(7.4)</w:t>
            </w:r>
          </w:p>
        </w:tc>
      </w:tr>
      <w:tr>
        <w:trPr>
          <w:trHeight w:val="247"/>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Adjustments:</w:t>
            </w:r>
          </w:p>
        </w:tc>
        <w:tc>
          <w:tcPr>
            <w:tcW w:w="2180" w:type="dxa"/>
            <w:vAlign w:val="bottom"/>
            <w:tcBorders>
              <w:bottom w:val="single" w:sz="8" w:color="3E3935"/>
            </w:tcBorders>
          </w:tcPr>
          <w:p>
            <w:pPr>
              <w:spacing w:after="0"/>
              <w:rPr>
                <w:sz w:val="21"/>
                <w:szCs w:val="21"/>
                <w:color w:val="auto"/>
              </w:rPr>
            </w:pPr>
          </w:p>
        </w:tc>
      </w:tr>
      <w:tr>
        <w:trPr>
          <w:trHeight w:val="247"/>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Cadillac dealer strategy</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0.1</w:t>
            </w:r>
          </w:p>
        </w:tc>
      </w:tr>
      <w:tr>
        <w:trPr>
          <w:trHeight w:val="247"/>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GM Korea Wage Litigation</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0.1</w:t>
            </w:r>
          </w:p>
        </w:tc>
      </w:tr>
      <w:tr>
        <w:trPr>
          <w:trHeight w:val="247"/>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GMI restructuring</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color w:val="3E3935"/>
              </w:rPr>
              <w:t>—</w:t>
            </w:r>
          </w:p>
        </w:tc>
      </w:tr>
      <w:tr>
        <w:trPr>
          <w:trHeight w:val="247"/>
        </w:trPr>
        <w:tc>
          <w:tcPr>
            <w:tcW w:w="8740" w:type="dxa"/>
            <w:vAlign w:val="bottom"/>
            <w:tcBorders>
              <w:bottom w:val="single" w:sz="8" w:color="3E3935"/>
            </w:tcBorders>
          </w:tcPr>
          <w:p>
            <w:pPr>
              <w:ind w:left="400"/>
              <w:spacing w:after="0" w:line="247" w:lineRule="exact"/>
              <w:rPr>
                <w:sz w:val="20"/>
                <w:szCs w:val="20"/>
                <w:color w:val="auto"/>
              </w:rPr>
            </w:pPr>
            <w:r>
              <w:rPr>
                <w:rFonts w:ascii="Arial" w:cs="Arial" w:eastAsia="Arial" w:hAnsi="Arial"/>
                <w:sz w:val="17"/>
                <w:szCs w:val="17"/>
                <w:color w:val="3E3935"/>
              </w:rPr>
              <w:t>Add: Incentive compensation adjustments</w:t>
            </w:r>
            <w:r>
              <w:rPr>
                <w:rFonts w:ascii="Arial" w:cs="Arial" w:eastAsia="Arial" w:hAnsi="Arial"/>
                <w:sz w:val="28"/>
                <w:szCs w:val="28"/>
                <w:color w:val="3E3935"/>
                <w:vertAlign w:val="superscript"/>
              </w:rPr>
              <w:t>(1)</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0.2</w:t>
            </w:r>
          </w:p>
        </w:tc>
      </w:tr>
      <w:tr>
        <w:trPr>
          <w:trHeight w:val="247"/>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Total adjustments</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0.4</w:t>
            </w:r>
          </w:p>
        </w:tc>
      </w:tr>
      <w:tr>
        <w:trPr>
          <w:trHeight w:val="247"/>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Adjusted Automotive Free Cash Flow (for incentive compensation purposes)</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b w:val="1"/>
                <w:bCs w:val="1"/>
                <w:color w:val="00C1DE"/>
              </w:rPr>
              <w:t>$ 2.8</w:t>
            </w:r>
          </w:p>
        </w:tc>
      </w:tr>
    </w:tbl>
    <w:p>
      <w:pPr>
        <w:spacing w:after="0" w:line="50" w:lineRule="exact"/>
        <w:rPr>
          <w:sz w:val="20"/>
          <w:szCs w:val="20"/>
          <w:color w:val="auto"/>
        </w:rPr>
      </w:pPr>
    </w:p>
    <w:p>
      <w:pPr>
        <w:ind w:left="600" w:hanging="433"/>
        <w:spacing w:after="0"/>
        <w:tabs>
          <w:tab w:leader="none" w:pos="600" w:val="left"/>
        </w:tabs>
        <w:numPr>
          <w:ilvl w:val="0"/>
          <w:numId w:val="167"/>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certain recall-related expenses attributable to events occurring in 2014.</w:t>
      </w:r>
    </w:p>
    <w:p>
      <w:pPr>
        <w:spacing w:after="0" w:line="147" w:lineRule="exact"/>
        <w:rPr>
          <w:rFonts w:ascii="Arial" w:cs="Arial" w:eastAsia="Arial" w:hAnsi="Arial"/>
          <w:sz w:val="18"/>
          <w:szCs w:val="18"/>
          <w:i w:val="1"/>
          <w:iCs w:val="1"/>
          <w:color w:val="3E3935"/>
        </w:rPr>
      </w:pPr>
    </w:p>
    <w:p>
      <w:pPr>
        <w:ind w:left="1080"/>
        <w:spacing w:after="0"/>
        <w:rPr>
          <w:rFonts w:ascii="Arial" w:cs="Arial" w:eastAsia="Arial" w:hAnsi="Arial"/>
          <w:sz w:val="18"/>
          <w:szCs w:val="18"/>
          <w:i w:val="1"/>
          <w:iCs w:val="1"/>
          <w:color w:val="3E3935"/>
        </w:rPr>
      </w:pPr>
      <w:r>
        <w:rPr>
          <w:rFonts w:ascii="Arial" w:cs="Arial" w:eastAsia="Arial" w:hAnsi="Arial"/>
          <w:sz w:val="1"/>
          <w:szCs w:val="1"/>
          <w:i w:val="1"/>
          <w:iCs w:val="1"/>
          <w:color w:val="3E3935"/>
        </w:rPr>
        <w:drawing>
          <wp:inline distT="0" distB="0" distL="0" distR="0">
            <wp:extent cx="5927725" cy="10160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927725" cy="101600"/>
                    </a:xfrm>
                    <a:prstGeom prst="rect">
                      <a:avLst/>
                    </a:prstGeom>
                    <a:noFill/>
                    <a:ln>
                      <a:noFill/>
                    </a:ln>
                  </pic:spPr>
                </pic:pic>
              </a:graphicData>
            </a:graphic>
          </wp:inline>
        </w:drawing>
      </w:r>
      <w:r>
        <w:rPr>
          <w:rFonts w:ascii="Arial" w:cs="Arial" w:eastAsia="Arial" w:hAnsi="Arial"/>
          <w:sz w:val="14"/>
          <w:szCs w:val="14"/>
          <w:color w:val="0071CE"/>
        </w:rPr>
        <w:t xml:space="preserve">  A-3</w:t>
      </w:r>
    </w:p>
    <w:p>
      <w:pPr>
        <w:sectPr>
          <w:pgSz w:w="11900" w:h="16838" w:orient="portrait"/>
          <w:cols w:equalWidth="0" w:num="1">
            <w:col w:w="11080"/>
          </w:cols>
          <w:pgMar w:left="320" w:top="454" w:right="4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5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7094855" cy="9171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7094855" cy="9171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211455</wp:posOffset>
            </wp:positionV>
            <wp:extent cx="6301105" cy="81527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210820</wp:posOffset>
            </wp:positionV>
            <wp:extent cx="6301105" cy="81527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1)"/>
      <w:numFmt w:val="decimal"/>
      <w:start w:val="1"/>
    </w:lvl>
  </w:abstractNum>
  <w:abstractNum w:abstractNumId="6">
    <w:nsid w:val="76272110"/>
    <w:multiLevelType w:val="hybridMultilevel"/>
    <w:lvl w:ilvl="0">
      <w:lvlJc w:val="left"/>
      <w:lvlText w:val="u"/>
      <w:numFmt w:val="bullet"/>
      <w:start w:val="1"/>
    </w:lvl>
  </w:abstractNum>
  <w:abstractNum w:abstractNumId="7">
    <w:nsid w:val="4C04A8AF"/>
    <w:multiLevelType w:val="hybridMultilevel"/>
    <w:lvl w:ilvl="0">
      <w:lvlJc w:val="left"/>
      <w:lvlText w:val="u"/>
      <w:numFmt w:val="bullet"/>
      <w:start w:val="1"/>
    </w:lvl>
  </w:abstractNum>
  <w:abstractNum w:abstractNumId="8">
    <w:nsid w:val="1716703B"/>
    <w:multiLevelType w:val="hybridMultilevel"/>
    <w:lvl w:ilvl="0">
      <w:lvlJc w:val="left"/>
      <w:lvlText w:val="u"/>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u"/>
      <w:numFmt w:val="bullet"/>
      <w:start w:val="1"/>
    </w:lvl>
  </w:abstractNum>
  <w:abstractNum w:abstractNumId="11">
    <w:nsid w:val="74DE0EE3"/>
    <w:multiLevelType w:val="hybridMultilevel"/>
    <w:lvl w:ilvl="0">
      <w:lvlJc w:val="left"/>
      <w:lvlText w:val="u"/>
      <w:numFmt w:val="bullet"/>
      <w:start w:val="1"/>
    </w:lvl>
  </w:abstractNum>
  <w:abstractNum w:abstractNumId="12">
    <w:nsid w:val="68EBC550"/>
    <w:multiLevelType w:val="hybridMultilevel"/>
    <w:lvl w:ilvl="0">
      <w:lvlJc w:val="left"/>
      <w:lvlText w:val="u"/>
      <w:numFmt w:val="bullet"/>
      <w:start w:val="1"/>
    </w:lvl>
  </w:abstractNum>
  <w:abstractNum w:abstractNumId="13">
    <w:nsid w:val="2DF6D648"/>
    <w:multiLevelType w:val="hybridMultilevel"/>
    <w:lvl w:ilvl="0">
      <w:lvlJc w:val="left"/>
      <w:lvlText w:val="u"/>
      <w:numFmt w:val="bullet"/>
      <w:start w:val="1"/>
    </w:lvl>
  </w:abstractNum>
  <w:abstractNum w:abstractNumId="14">
    <w:nsid w:val="46B7D447"/>
    <w:multiLevelType w:val="hybridMultilevel"/>
    <w:lvl w:ilvl="0">
      <w:lvlJc w:val="left"/>
      <w:lvlText w:val="u"/>
      <w:numFmt w:val="bullet"/>
      <w:start w:val="1"/>
    </w:lvl>
  </w:abstractNum>
  <w:abstractNum w:abstractNumId="15">
    <w:nsid w:val="4A2AC315"/>
    <w:multiLevelType w:val="hybridMultilevel"/>
    <w:lvl w:ilvl="0">
      <w:lvlJc w:val="left"/>
      <w:lvlText w:val="(%1)"/>
      <w:numFmt w:val="decimal"/>
      <w:start w:val="1"/>
    </w:lvl>
  </w:abstractNum>
  <w:abstractNum w:abstractNumId="16">
    <w:nsid w:val="39EE015C"/>
    <w:multiLevelType w:val="hybridMultilevel"/>
    <w:lvl w:ilvl="0">
      <w:lvlJc w:val="left"/>
      <w:lvlText w:val="(%1)"/>
      <w:numFmt w:val="decimal"/>
      <w:start w:val="1"/>
    </w:lvl>
  </w:abstractNum>
  <w:abstractNum w:abstractNumId="17">
    <w:nsid w:val="57FC4FBB"/>
    <w:multiLevelType w:val="hybridMultilevel"/>
    <w:lvl w:ilvl="0">
      <w:lvlJc w:val="left"/>
      <w:lvlText w:val="(%1)"/>
      <w:numFmt w:val="decimal"/>
      <w:start w:val="3"/>
    </w:lvl>
  </w:abstractNum>
  <w:abstractNum w:abstractNumId="18">
    <w:nsid w:val="CC1016F"/>
    <w:multiLevelType w:val="hybridMultilevel"/>
    <w:lvl w:ilvl="0">
      <w:lvlJc w:val="left"/>
      <w:lvlText w:val="%1"/>
      <w:numFmt w:val="decimal"/>
      <w:start w:val="1"/>
    </w:lvl>
    <w:lvl w:ilvl="1">
      <w:lvlJc w:val="left"/>
      <w:lvlText w:val="(%2)"/>
      <w:numFmt w:val="lowerLetter"/>
      <w:start w:val="1"/>
    </w:lvl>
  </w:abstractNum>
  <w:abstractNum w:abstractNumId="19">
    <w:nsid w:val="43F18422"/>
    <w:multiLevelType w:val="hybridMultilevel"/>
    <w:lvl w:ilvl="0">
      <w:lvlJc w:val="left"/>
      <w:lvlText w:val="(%1)"/>
      <w:numFmt w:val="decimal"/>
      <w:start w:val="4"/>
    </w:lvl>
    <w:lvl w:ilvl="1">
      <w:lvlJc w:val="left"/>
      <w:lvlText w:val="%2"/>
      <w:numFmt w:val="lowerLetter"/>
      <w:start w:val="1"/>
    </w:lvl>
  </w:abstractNum>
  <w:abstractNum w:abstractNumId="20">
    <w:nsid w:val="60EF0119"/>
    <w:multiLevelType w:val="hybridMultilevel"/>
    <w:lvl w:ilvl="0">
      <w:lvlJc w:val="left"/>
      <w:lvlText w:val="u"/>
      <w:numFmt w:val="bullet"/>
      <w:start w:val="1"/>
    </w:lvl>
  </w:abstractNum>
  <w:abstractNum w:abstractNumId="21">
    <w:nsid w:val="26F324BA"/>
    <w:multiLevelType w:val="hybridMultilevel"/>
    <w:lvl w:ilvl="0">
      <w:lvlJc w:val="left"/>
      <w:lvlText w:val="u"/>
      <w:numFmt w:val="bullet"/>
      <w:start w:val="1"/>
    </w:lvl>
  </w:abstractNum>
  <w:abstractNum w:abstractNumId="22">
    <w:nsid w:val="7F01579B"/>
    <w:multiLevelType w:val="hybridMultilevel"/>
    <w:lvl w:ilvl="0">
      <w:lvlJc w:val="left"/>
      <w:lvlText w:val="u"/>
      <w:numFmt w:val="bullet"/>
      <w:start w:val="1"/>
    </w:lvl>
  </w:abstractNum>
  <w:abstractNum w:abstractNumId="23">
    <w:nsid w:val="49DA307D"/>
    <w:multiLevelType w:val="hybridMultilevel"/>
    <w:lvl w:ilvl="0">
      <w:lvlJc w:val="left"/>
      <w:lvlText w:val="u"/>
      <w:numFmt w:val="bullet"/>
      <w:start w:val="1"/>
    </w:lvl>
  </w:abstractNum>
  <w:abstractNum w:abstractNumId="24">
    <w:nsid w:val="7055A5F5"/>
    <w:multiLevelType w:val="hybridMultilevel"/>
    <w:lvl w:ilvl="0">
      <w:lvlJc w:val="left"/>
      <w:lvlText w:val="u"/>
      <w:numFmt w:val="bullet"/>
      <w:start w:val="1"/>
    </w:lvl>
  </w:abstractNum>
  <w:abstractNum w:abstractNumId="25">
    <w:nsid w:val="5FB8370B"/>
    <w:multiLevelType w:val="hybridMultilevel"/>
    <w:lvl w:ilvl="0">
      <w:lvlJc w:val="left"/>
      <w:lvlText w:val="u"/>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u"/>
      <w:numFmt w:val="bullet"/>
      <w:start w:val="1"/>
    </w:lvl>
  </w:abstractNum>
  <w:abstractNum w:abstractNumId="34">
    <w:nsid w:val="5F3534A4"/>
    <w:multiLevelType w:val="hybridMultilevel"/>
    <w:lvl w:ilvl="0">
      <w:lvlJc w:val="left"/>
      <w:lvlText w:val="u"/>
      <w:numFmt w:val="bullet"/>
      <w:start w:val="1"/>
    </w:lvl>
  </w:abstractNum>
  <w:abstractNum w:abstractNumId="35">
    <w:nsid w:val="73A1821B"/>
    <w:multiLevelType w:val="hybridMultilevel"/>
    <w:lvl w:ilvl="0">
      <w:lvlJc w:val="left"/>
      <w:lvlText w:val="•"/>
      <w:numFmt w:val="bullet"/>
      <w:start w:val="1"/>
    </w:lvl>
    <w:lvl w:ilvl="1">
      <w:lvlJc w:val="left"/>
      <w:lvlText w:val="(%2)"/>
      <w:numFmt w:val="lowerRoman"/>
      <w:start w:val="2"/>
    </w:lvl>
  </w:abstractNum>
  <w:abstractNum w:abstractNumId="36">
    <w:nsid w:val="7DE67713"/>
    <w:multiLevelType w:val="hybridMultilevel"/>
    <w:lvl w:ilvl="0">
      <w:lvlJc w:val="left"/>
      <w:lvlText w:val="•"/>
      <w:numFmt w:val="bullet"/>
      <w:start w:val="1"/>
    </w:lvl>
    <w:lvl w:ilvl="1">
      <w:lvlJc w:val="left"/>
      <w:lvlText w:val="(%2)"/>
      <w:numFmt w:val="lowerRoman"/>
      <w:start w:val="4"/>
    </w:lvl>
  </w:abstractNum>
  <w:abstractNum w:abstractNumId="37">
    <w:nsid w:val="555C55B5"/>
    <w:multiLevelType w:val="hybridMultilevel"/>
    <w:lvl w:ilvl="0">
      <w:lvlJc w:val="left"/>
      <w:lvlText w:val="u"/>
      <w:numFmt w:val="bullet"/>
      <w:start w:val="1"/>
    </w:lvl>
  </w:abstractNum>
  <w:abstractNum w:abstractNumId="38">
    <w:nsid w:val="3FA62ACA"/>
    <w:multiLevelType w:val="hybridMultilevel"/>
    <w:lvl w:ilvl="0">
      <w:lvlJc w:val="left"/>
      <w:lvlText w:val="u"/>
      <w:numFmt w:val="bullet"/>
      <w:start w:val="1"/>
    </w:lvl>
  </w:abstractNum>
  <w:abstractNum w:abstractNumId="39">
    <w:nsid w:val="14FCE74E"/>
    <w:multiLevelType w:val="hybridMultilevel"/>
    <w:lvl w:ilvl="0">
      <w:lvlJc w:val="left"/>
      <w:lvlText w:val="u"/>
      <w:numFmt w:val="bullet"/>
      <w:start w:val="1"/>
    </w:lvl>
  </w:abstractNum>
  <w:abstractNum w:abstractNumId="40">
    <w:nsid w:val="6A3DD3E8"/>
    <w:multiLevelType w:val="hybridMultilevel"/>
    <w:lvl w:ilvl="0">
      <w:lvlJc w:val="left"/>
      <w:lvlText w:val="u"/>
      <w:numFmt w:val="bullet"/>
      <w:start w:val="1"/>
    </w:lvl>
  </w:abstractNum>
  <w:abstractNum w:abstractNumId="41">
    <w:nsid w:val="71C91298"/>
    <w:multiLevelType w:val="hybridMultilevel"/>
    <w:lvl w:ilvl="0">
      <w:lvlJc w:val="left"/>
      <w:lvlText w:val="u"/>
      <w:numFmt w:val="bullet"/>
      <w:start w:val="1"/>
    </w:lvl>
  </w:abstractNum>
  <w:abstractNum w:abstractNumId="42">
    <w:nsid w:val="9DAF632"/>
    <w:multiLevelType w:val="hybridMultilevel"/>
    <w:lvl w:ilvl="0">
      <w:lvlJc w:val="left"/>
      <w:lvlText w:val="u"/>
      <w:numFmt w:val="bullet"/>
      <w:start w:val="1"/>
    </w:lvl>
  </w:abstractNum>
  <w:abstractNum w:abstractNumId="43">
    <w:nsid w:val="53299938"/>
    <w:multiLevelType w:val="hybridMultilevel"/>
    <w:lvl w:ilvl="0">
      <w:lvlJc w:val="left"/>
      <w:lvlText w:val="u"/>
      <w:numFmt w:val="bullet"/>
      <w:start w:val="1"/>
    </w:lvl>
  </w:abstractNum>
  <w:abstractNum w:abstractNumId="44">
    <w:nsid w:val="1FBFE8E0"/>
    <w:multiLevelType w:val="hybridMultilevel"/>
    <w:lvl w:ilvl="0">
      <w:lvlJc w:val="left"/>
      <w:lvlText w:val="u"/>
      <w:numFmt w:val="bullet"/>
      <w:start w:val="1"/>
    </w:lvl>
  </w:abstractNum>
  <w:abstractNum w:abstractNumId="45">
    <w:nsid w:val="5092CA79"/>
    <w:multiLevelType w:val="hybridMultilevel"/>
    <w:lvl w:ilvl="0">
      <w:lvlJc w:val="left"/>
      <w:lvlText w:val="u"/>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u"/>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u"/>
      <w:numFmt w:val="bullet"/>
      <w:start w:val="1"/>
    </w:lvl>
  </w:abstractNum>
  <w:abstractNum w:abstractNumId="52">
    <w:nsid w:val="51088277"/>
    <w:multiLevelType w:val="hybridMultilevel"/>
    <w:lvl w:ilvl="0">
      <w:lvlJc w:val="left"/>
      <w:lvlText w:val="u"/>
      <w:numFmt w:val="bullet"/>
      <w:start w:val="1"/>
    </w:lvl>
  </w:abstractNum>
  <w:abstractNum w:abstractNumId="53">
    <w:nsid w:val="1CA0C5FA"/>
    <w:multiLevelType w:val="hybridMultilevel"/>
    <w:lvl w:ilvl="0">
      <w:lvlJc w:val="left"/>
      <w:lvlText w:val="u"/>
      <w:numFmt w:val="bullet"/>
      <w:start w:val="1"/>
    </w:lvl>
  </w:abstractNum>
  <w:abstractNum w:abstractNumId="54">
    <w:nsid w:val="53584BCB"/>
    <w:multiLevelType w:val="hybridMultilevel"/>
    <w:lvl w:ilvl="0">
      <w:lvlJc w:val="left"/>
      <w:lvlText w:val="u"/>
      <w:numFmt w:val="bullet"/>
      <w:start w:val="1"/>
    </w:lvl>
  </w:abstractNum>
  <w:abstractNum w:abstractNumId="55">
    <w:nsid w:val="415E286C"/>
    <w:multiLevelType w:val="hybridMultilevel"/>
    <w:lvl w:ilvl="0">
      <w:lvlJc w:val="left"/>
      <w:lvlText w:val="u"/>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u"/>
      <w:numFmt w:val="bullet"/>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1)"/>
      <w:numFmt w:val="decimal"/>
      <w:start w:val="1"/>
    </w:lvl>
  </w:abstractNum>
  <w:abstractNum w:abstractNumId="69">
    <w:nsid w:val="2C27173B"/>
    <w:multiLevelType w:val="hybridMultilevel"/>
    <w:lvl w:ilvl="0">
      <w:lvlJc w:val="left"/>
      <w:lvlText w:val="(%1)"/>
      <w:numFmt w:val="decimal"/>
      <w:start w:val="2"/>
    </w:lvl>
  </w:abstractNum>
  <w:abstractNum w:abstractNumId="70">
    <w:nsid w:val="4C9B0904"/>
    <w:multiLevelType w:val="hybridMultilevel"/>
    <w:lvl w:ilvl="0">
      <w:lvlJc w:val="left"/>
      <w:lvlText w:val="(%1)"/>
      <w:numFmt w:val="decimal"/>
      <w:start w:val="1"/>
    </w:lvl>
  </w:abstractNum>
  <w:abstractNum w:abstractNumId="71">
    <w:nsid w:val="6AA7B75C"/>
    <w:multiLevelType w:val="hybridMultilevel"/>
    <w:lvl w:ilvl="0">
      <w:lvlJc w:val="left"/>
      <w:lvlText w:val="u"/>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u"/>
      <w:numFmt w:val="bullet"/>
      <w:start w:val="1"/>
    </w:lvl>
  </w:abstractNum>
  <w:abstractNum w:abstractNumId="75">
    <w:nsid w:val="3DB012B3"/>
    <w:multiLevelType w:val="hybridMultilevel"/>
    <w:lvl w:ilvl="0">
      <w:lvlJc w:val="left"/>
      <w:lvlText w:val="u"/>
      <w:numFmt w:val="bullet"/>
      <w:start w:val="1"/>
    </w:lvl>
  </w:abstractNum>
  <w:abstractNum w:abstractNumId="76">
    <w:nsid w:val="2708C9AF"/>
    <w:multiLevelType w:val="hybridMultilevel"/>
    <w:lvl w:ilvl="0">
      <w:lvlJc w:val="left"/>
      <w:lvlText w:val="u"/>
      <w:numFmt w:val="bullet"/>
      <w:start w:val="1"/>
    </w:lvl>
  </w:abstractNum>
  <w:abstractNum w:abstractNumId="77">
    <w:nsid w:val="5B25ACE2"/>
    <w:multiLevelType w:val="hybridMultilevel"/>
    <w:lvl w:ilvl="0">
      <w:lvlJc w:val="left"/>
      <w:lvlText w:val="u"/>
      <w:numFmt w:val="bullet"/>
      <w:start w:val="1"/>
    </w:lvl>
  </w:abstractNum>
  <w:abstractNum w:abstractNumId="78">
    <w:nsid w:val="175DFCF0"/>
    <w:multiLevelType w:val="hybridMultilevel"/>
    <w:lvl w:ilvl="0">
      <w:lvlJc w:val="left"/>
      <w:lvlText w:val="u"/>
      <w:numFmt w:val="bullet"/>
      <w:start w:val="1"/>
    </w:lvl>
  </w:abstractNum>
  <w:abstractNum w:abstractNumId="79">
    <w:nsid w:val="4F97E3E4"/>
    <w:multiLevelType w:val="hybridMultilevel"/>
    <w:lvl w:ilvl="0">
      <w:lvlJc w:val="left"/>
      <w:lvlText w:val="(%1)"/>
      <w:numFmt w:val="decimal"/>
      <w:start w:val="1"/>
    </w:lvl>
  </w:abstractNum>
  <w:abstractNum w:abstractNumId="80">
    <w:nsid w:val="53B0A9E"/>
    <w:multiLevelType w:val="hybridMultilevel"/>
    <w:lvl w:ilvl="0">
      <w:lvlJc w:val="left"/>
      <w:lvlText w:val="u"/>
      <w:numFmt w:val="bullet"/>
      <w:start w:val="1"/>
    </w:lvl>
  </w:abstractNum>
  <w:abstractNum w:abstractNumId="81">
    <w:nsid w:val="34FD6B4F"/>
    <w:multiLevelType w:val="hybridMultilevel"/>
    <w:lvl w:ilvl="0">
      <w:lvlJc w:val="left"/>
      <w:lvlText w:val="u"/>
      <w:numFmt w:val="bullet"/>
      <w:start w:val="1"/>
    </w:lvl>
  </w:abstractNum>
  <w:abstractNum w:abstractNumId="82">
    <w:nsid w:val="5915FF32"/>
    <w:multiLevelType w:val="hybridMultilevel"/>
    <w:lvl w:ilvl="0">
      <w:lvlJc w:val="left"/>
      <w:lvlText w:val="u"/>
      <w:numFmt w:val="bullet"/>
      <w:start w:val="1"/>
    </w:lvl>
  </w:abstractNum>
  <w:abstractNum w:abstractNumId="83">
    <w:nsid w:val="56438D15"/>
    <w:multiLevelType w:val="hybridMultilevel"/>
    <w:lvl w:ilvl="0">
      <w:lvlJc w:val="left"/>
      <w:lvlText w:val="u"/>
      <w:numFmt w:val="bullet"/>
      <w:start w:val="1"/>
    </w:lvl>
  </w:abstractNum>
  <w:abstractNum w:abstractNumId="84">
    <w:nsid w:val="519E3149"/>
    <w:multiLevelType w:val="hybridMultilevel"/>
    <w:lvl w:ilvl="0">
      <w:lvlJc w:val="left"/>
      <w:lvlText w:val="u"/>
      <w:numFmt w:val="bullet"/>
      <w:start w:val="1"/>
    </w:lvl>
  </w:abstractNum>
  <w:abstractNum w:abstractNumId="85">
    <w:nsid w:val="2C6E4AFD"/>
    <w:multiLevelType w:val="hybridMultilevel"/>
    <w:lvl w:ilvl="0">
      <w:lvlJc w:val="left"/>
      <w:lvlText w:val="(%1)"/>
      <w:numFmt w:val="decimal"/>
      <w:start w:val="1"/>
    </w:lvl>
  </w:abstractNum>
  <w:abstractNum w:abstractNumId="86">
    <w:nsid w:val="17A1B582"/>
    <w:multiLevelType w:val="hybridMultilevel"/>
    <w:lvl w:ilvl="0">
      <w:lvlJc w:val="left"/>
      <w:lvlText w:val="u"/>
      <w:numFmt w:val="bullet"/>
      <w:start w:val="1"/>
    </w:lvl>
  </w:abstractNum>
  <w:abstractNum w:abstractNumId="87">
    <w:nsid w:val="4DF72E4E"/>
    <w:multiLevelType w:val="hybridMultilevel"/>
    <w:lvl w:ilvl="0">
      <w:lvlJc w:val="left"/>
      <w:lvlText w:val="u"/>
      <w:numFmt w:val="bullet"/>
      <w:start w:val="1"/>
    </w:lvl>
  </w:abstractNum>
  <w:abstractNum w:abstractNumId="88">
    <w:nsid w:val="5046B5A9"/>
    <w:multiLevelType w:val="hybridMultilevel"/>
    <w:lvl w:ilvl="0">
      <w:lvlJc w:val="left"/>
      <w:lvlText w:val="(%1)"/>
      <w:numFmt w:val="decimal"/>
      <w:start w:val="1"/>
    </w:lvl>
  </w:abstractNum>
  <w:abstractNum w:abstractNumId="89">
    <w:nsid w:val="5D888A08"/>
    <w:multiLevelType w:val="hybridMultilevel"/>
    <w:lvl w:ilvl="0">
      <w:lvlJc w:val="left"/>
      <w:lvlText w:val="u"/>
      <w:numFmt w:val="bullet"/>
      <w:start w:val="1"/>
    </w:lvl>
  </w:abstractNum>
  <w:abstractNum w:abstractNumId="90">
    <w:nsid w:val="2A082C70"/>
    <w:multiLevelType w:val="hybridMultilevel"/>
    <w:lvl w:ilvl="0">
      <w:lvlJc w:val="left"/>
      <w:lvlText w:val="u"/>
      <w:numFmt w:val="bullet"/>
      <w:start w:val="1"/>
    </w:lvl>
  </w:abstractNum>
  <w:abstractNum w:abstractNumId="91">
    <w:nsid w:val="5EC6AFD4"/>
    <w:multiLevelType w:val="hybridMultilevel"/>
    <w:lvl w:ilvl="0">
      <w:lvlJc w:val="left"/>
      <w:lvlText w:val="(%1)"/>
      <w:numFmt w:val="decimal"/>
      <w:start w:val="1"/>
    </w:lvl>
  </w:abstractNum>
  <w:abstractNum w:abstractNumId="92">
    <w:nsid w:val="19E21BB2"/>
    <w:multiLevelType w:val="hybridMultilevel"/>
    <w:lvl w:ilvl="0">
      <w:lvlJc w:val="left"/>
      <w:lvlText w:val="u"/>
      <w:numFmt w:val="bullet"/>
      <w:start w:val="1"/>
    </w:lvl>
  </w:abstractNum>
  <w:abstractNum w:abstractNumId="93">
    <w:nsid w:val="75E0858A"/>
    <w:multiLevelType w:val="hybridMultilevel"/>
    <w:lvl w:ilvl="0">
      <w:lvlJc w:val="left"/>
      <w:lvlText w:val="(%1)"/>
      <w:numFmt w:val="decimal"/>
      <w:start w:val="1"/>
    </w:lvl>
  </w:abstractNum>
  <w:abstractNum w:abstractNumId="94">
    <w:nsid w:val="57A61A29"/>
    <w:multiLevelType w:val="hybridMultilevel"/>
    <w:lvl w:ilvl="0">
      <w:lvlJc w:val="left"/>
      <w:lvlText w:val="u"/>
      <w:numFmt w:val="bullet"/>
      <w:start w:val="1"/>
    </w:lvl>
  </w:abstractNum>
  <w:abstractNum w:abstractNumId="95">
    <w:nsid w:val="5399C654"/>
    <w:multiLevelType w:val="hybridMultilevel"/>
    <w:lvl w:ilvl="0">
      <w:lvlJc w:val="left"/>
      <w:lvlText w:val="(%1)"/>
      <w:numFmt w:val="decimal"/>
      <w:start w:val="1"/>
    </w:lvl>
  </w:abstractNum>
  <w:abstractNum w:abstractNumId="96">
    <w:nsid w:val="20EE1348"/>
    <w:multiLevelType w:val="hybridMultilevel"/>
    <w:lvl w:ilvl="0">
      <w:lvlJc w:val="left"/>
      <w:lvlText w:val="u"/>
      <w:numFmt w:val="bullet"/>
      <w:start w:val="1"/>
    </w:lvl>
  </w:abstractNum>
  <w:abstractNum w:abstractNumId="97">
    <w:nsid w:val="4427069A"/>
    <w:multiLevelType w:val="hybridMultilevel"/>
    <w:lvl w:ilvl="0">
      <w:lvlJc w:val="left"/>
      <w:lvlText w:val="(%1)"/>
      <w:numFmt w:val="decimal"/>
      <w:start w:val="1"/>
    </w:lvl>
  </w:abstractNum>
  <w:abstractNum w:abstractNumId="98">
    <w:nsid w:val="B37E80A"/>
    <w:multiLevelType w:val="hybridMultilevel"/>
    <w:lvl w:ilvl="0">
      <w:lvlJc w:val="left"/>
      <w:lvlText w:val="u"/>
      <w:numFmt w:val="bullet"/>
      <w:start w:val="1"/>
    </w:lvl>
  </w:abstractNum>
  <w:abstractNum w:abstractNumId="99">
    <w:nsid w:val="2157F6BC"/>
    <w:multiLevelType w:val="hybridMultilevel"/>
    <w:lvl w:ilvl="0">
      <w:lvlJc w:val="left"/>
      <w:lvlText w:val="u"/>
      <w:numFmt w:val="bullet"/>
      <w:start w:val="1"/>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1)"/>
      <w:numFmt w:val="decimal"/>
      <w:start w:val="1"/>
    </w:lvl>
  </w:abstractNum>
  <w:abstractNum w:abstractNumId="102">
    <w:nsid w:val="BFFAE18"/>
    <w:multiLevelType w:val="hybridMultilevel"/>
    <w:lvl w:ilvl="0">
      <w:lvlJc w:val="left"/>
      <w:lvlText w:val="u"/>
      <w:numFmt w:val="bullet"/>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1)"/>
      <w:numFmt w:val="decimal"/>
      <w:start w:val="1"/>
    </w:lvl>
  </w:abstractNum>
  <w:abstractNum w:abstractNumId="105">
    <w:nsid w:val="49D0FEAC"/>
    <w:multiLevelType w:val="hybridMultilevel"/>
    <w:lvl w:ilvl="0">
      <w:lvlJc w:val="left"/>
      <w:lvlText w:val="u"/>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1)"/>
      <w:numFmt w:val="decimal"/>
      <w:start w:val="1"/>
    </w:lvl>
  </w:abstractNum>
  <w:abstractNum w:abstractNumId="108">
    <w:nsid w:val="24F6AB8E"/>
    <w:multiLevelType w:val="hybridMultilevel"/>
    <w:lvl w:ilvl="0">
      <w:lvlJc w:val="left"/>
      <w:lvlText w:val="u"/>
      <w:numFmt w:val="bullet"/>
      <w:start w:val="1"/>
    </w:lvl>
  </w:abstractNum>
  <w:abstractNum w:abstractNumId="109">
    <w:nsid w:val="634C574C"/>
    <w:multiLevelType w:val="hybridMultilevel"/>
    <w:lvl w:ilvl="0">
      <w:lvlJc w:val="left"/>
      <w:lvlText w:val="•"/>
      <w:numFmt w:val="bullet"/>
      <w:start w:val="1"/>
    </w:lvl>
  </w:abstractNum>
  <w:abstractNum w:abstractNumId="110">
    <w:nsid w:val="24E99DD7"/>
    <w:multiLevelType w:val="hybridMultilevel"/>
    <w:lvl w:ilvl="0">
      <w:lvlJc w:val="left"/>
      <w:lvlText w:val="(%1)"/>
      <w:numFmt w:val="decimal"/>
      <w:start w:val="1"/>
    </w:lvl>
  </w:abstractNum>
  <w:abstractNum w:abstractNumId="111">
    <w:nsid w:val="2A31B62D"/>
    <w:multiLevelType w:val="hybridMultilevel"/>
    <w:lvl w:ilvl="0">
      <w:lvlJc w:val="left"/>
      <w:lvlText w:val="u"/>
      <w:numFmt w:val="bullet"/>
      <w:start w:val="1"/>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1)"/>
      <w:numFmt w:val="decimal"/>
      <w:start w:val="1"/>
    </w:lvl>
  </w:abstractNum>
  <w:abstractNum w:abstractNumId="114">
    <w:nsid w:val="754342"/>
    <w:multiLevelType w:val="hybridMultilevel"/>
    <w:lvl w:ilvl="0">
      <w:lvlJc w:val="left"/>
      <w:lvlText w:val="u"/>
      <w:numFmt w:val="bullet"/>
      <w:start w:val="1"/>
    </w:lvl>
  </w:abstractNum>
  <w:abstractNum w:abstractNumId="115">
    <w:nsid w:val="69E7F3E5"/>
    <w:multiLevelType w:val="hybridMultilevel"/>
    <w:lvl w:ilvl="0">
      <w:lvlJc w:val="left"/>
      <w:lvlText w:val="•"/>
      <w:numFmt w:val="bullet"/>
      <w:start w:val="1"/>
    </w:lvl>
  </w:abstractNum>
  <w:abstractNum w:abstractNumId="116">
    <w:nsid w:val="2A6DE806"/>
    <w:multiLevelType w:val="hybridMultilevel"/>
    <w:lvl w:ilvl="0">
      <w:lvlJc w:val="left"/>
      <w:lvlText w:val="u"/>
      <w:numFmt w:val="bullet"/>
      <w:start w:val="1"/>
    </w:lvl>
  </w:abstractNum>
  <w:abstractNum w:abstractNumId="117">
    <w:nsid w:val="1816F8C4"/>
    <w:multiLevelType w:val="hybridMultilevel"/>
    <w:lvl w:ilvl="0">
      <w:lvlJc w:val="left"/>
      <w:lvlText w:val="u"/>
      <w:numFmt w:val="bullet"/>
      <w:start w:val="1"/>
    </w:lvl>
  </w:abstractNum>
  <w:abstractNum w:abstractNumId="118">
    <w:nsid w:val="37DF2233"/>
    <w:multiLevelType w:val="hybridMultilevel"/>
    <w:lvl w:ilvl="0">
      <w:lvlJc w:val="left"/>
      <w:lvlText w:val="u"/>
      <w:numFmt w:val="bullet"/>
      <w:start w:val="1"/>
    </w:lvl>
  </w:abstractNum>
  <w:abstractNum w:abstractNumId="119">
    <w:nsid w:val="7AB49DAF"/>
    <w:multiLevelType w:val="hybridMultilevel"/>
    <w:lvl w:ilvl="0">
      <w:lvlJc w:val="left"/>
      <w:lvlText w:val="u"/>
      <w:numFmt w:val="bullet"/>
      <w:start w:val="1"/>
    </w:lvl>
  </w:abstractNum>
  <w:abstractNum w:abstractNumId="120">
    <w:nsid w:val="759F82CD"/>
    <w:multiLevelType w:val="hybridMultilevel"/>
    <w:lvl w:ilvl="0">
      <w:lvlJc w:val="left"/>
      <w:lvlText w:val="u"/>
      <w:numFmt w:val="bullet"/>
      <w:start w:val="1"/>
    </w:lvl>
  </w:abstractNum>
  <w:abstractNum w:abstractNumId="121">
    <w:nsid w:val="61E74EA3"/>
    <w:multiLevelType w:val="hybridMultilevel"/>
    <w:lvl w:ilvl="0">
      <w:lvlJc w:val="left"/>
      <w:lvlText w:val="•"/>
      <w:numFmt w:val="bullet"/>
      <w:start w:val="1"/>
    </w:lvl>
  </w:abstractNum>
  <w:abstractNum w:abstractNumId="122">
    <w:nsid w:val="597B4D84"/>
    <w:multiLevelType w:val="hybridMultilevel"/>
    <w:lvl w:ilvl="0">
      <w:lvlJc w:val="left"/>
      <w:lvlText w:val="u"/>
      <w:numFmt w:val="bullet"/>
      <w:start w:val="1"/>
    </w:lvl>
  </w:abstractNum>
  <w:abstractNum w:abstractNumId="123">
    <w:nsid w:val="F819E7F"/>
    <w:multiLevelType w:val="hybridMultilevel"/>
    <w:lvl w:ilvl="0">
      <w:lvlJc w:val="left"/>
      <w:lvlText w:val="u"/>
      <w:numFmt w:val="bullet"/>
      <w:start w:val="1"/>
    </w:lvl>
  </w:abstractNum>
  <w:abstractNum w:abstractNumId="124">
    <w:nsid w:val="57C7D42D"/>
    <w:multiLevelType w:val="hybridMultilevel"/>
    <w:lvl w:ilvl="0">
      <w:lvlJc w:val="left"/>
      <w:lvlText w:val="(%1)"/>
      <w:numFmt w:val="decimal"/>
      <w:start w:val="1"/>
    </w:lvl>
  </w:abstractNum>
  <w:abstractNum w:abstractNumId="125">
    <w:nsid w:val="312167AD"/>
    <w:multiLevelType w:val="hybridMultilevel"/>
    <w:lvl w:ilvl="0">
      <w:lvlJc w:val="left"/>
      <w:lvlText w:val="(%1)"/>
      <w:numFmt w:val="decimal"/>
      <w:start w:val="3"/>
    </w:lvl>
  </w:abstractNum>
  <w:abstractNum w:abstractNumId="126">
    <w:nsid w:val="631B64D4"/>
    <w:multiLevelType w:val="hybridMultilevel"/>
    <w:lvl w:ilvl="0">
      <w:lvlJc w:val="left"/>
      <w:lvlText w:val="(%1)"/>
      <w:numFmt w:val="decimal"/>
      <w:start w:val="4"/>
    </w:lvl>
  </w:abstractNum>
  <w:abstractNum w:abstractNumId="127">
    <w:nsid w:val="78B5E776"/>
    <w:multiLevelType w:val="hybridMultilevel"/>
    <w:lvl w:ilvl="0">
      <w:lvlJc w:val="left"/>
      <w:lvlText w:val="(%1)"/>
      <w:numFmt w:val="decimal"/>
      <w:start w:val="1"/>
    </w:lvl>
  </w:abstractNum>
  <w:abstractNum w:abstractNumId="128">
    <w:nsid w:val="75486E47"/>
    <w:multiLevelType w:val="hybridMultilevel"/>
    <w:lvl w:ilvl="0">
      <w:lvlJc w:val="left"/>
      <w:lvlText w:val="(%1)"/>
      <w:numFmt w:val="decimal"/>
      <w:start w:val="1"/>
    </w:lvl>
  </w:abstractNum>
  <w:abstractNum w:abstractNumId="129">
    <w:nsid w:val="6E534CDE"/>
    <w:multiLevelType w:val="hybridMultilevel"/>
    <w:lvl w:ilvl="0">
      <w:lvlJc w:val="left"/>
      <w:lvlText w:val="u"/>
      <w:numFmt w:val="bullet"/>
      <w:start w:val="1"/>
    </w:lvl>
  </w:abstractNum>
  <w:abstractNum w:abstractNumId="130">
    <w:nsid w:val="1A0DDE32"/>
    <w:multiLevelType w:val="hybridMultilevel"/>
    <w:lvl w:ilvl="0">
      <w:lvlJc w:val="left"/>
      <w:lvlText w:val="(%1)"/>
      <w:numFmt w:val="decimal"/>
      <w:start w:val="1"/>
    </w:lvl>
  </w:abstractNum>
  <w:abstractNum w:abstractNumId="131">
    <w:nsid w:val="65968C1C"/>
    <w:multiLevelType w:val="hybridMultilevel"/>
    <w:lvl w:ilvl="0">
      <w:lvlJc w:val="left"/>
      <w:lvlText w:val="u"/>
      <w:numFmt w:val="bullet"/>
      <w:start w:val="1"/>
    </w:lvl>
  </w:abstractNum>
  <w:abstractNum w:abstractNumId="132">
    <w:nsid w:val="46263DEC"/>
    <w:multiLevelType w:val="hybridMultilevel"/>
    <w:lvl w:ilvl="0">
      <w:lvlJc w:val="left"/>
      <w:lvlText w:val="(%1)"/>
      <w:numFmt w:val="decimal"/>
      <w:start w:val="1"/>
    </w:lvl>
  </w:abstractNum>
  <w:abstractNum w:abstractNumId="133">
    <w:nsid w:val="260D8C4A"/>
    <w:multiLevelType w:val="hybridMultilevel"/>
    <w:lvl w:ilvl="0">
      <w:lvlJc w:val="left"/>
      <w:lvlText w:val="u"/>
      <w:numFmt w:val="bullet"/>
      <w:start w:val="1"/>
    </w:lvl>
  </w:abstractNum>
  <w:abstractNum w:abstractNumId="134">
    <w:nsid w:val="73D4D3C4"/>
    <w:multiLevelType w:val="hybridMultilevel"/>
    <w:lvl w:ilvl="0">
      <w:lvlJc w:val="left"/>
      <w:lvlText w:val="(%1)"/>
      <w:numFmt w:val="decimal"/>
      <w:start w:val="1"/>
    </w:lvl>
  </w:abstractNum>
  <w:abstractNum w:abstractNumId="135">
    <w:nsid w:val="746F2E30"/>
    <w:multiLevelType w:val="hybridMultilevel"/>
    <w:lvl w:ilvl="0">
      <w:lvlJc w:val="left"/>
      <w:lvlText w:val="u"/>
      <w:numFmt w:val="bullet"/>
      <w:start w:val="1"/>
    </w:lvl>
  </w:abstractNum>
  <w:abstractNum w:abstractNumId="136">
    <w:nsid w:val="6FDE8AF6"/>
    <w:multiLevelType w:val="hybridMultilevel"/>
    <w:lvl w:ilvl="0">
      <w:lvlJc w:val="left"/>
      <w:lvlText w:val="(%1)"/>
      <w:numFmt w:val="decimal"/>
      <w:start w:val="1"/>
    </w:lvl>
  </w:abstractNum>
  <w:abstractNum w:abstractNumId="137">
    <w:nsid w:val="3FC32E20"/>
    <w:multiLevelType w:val="hybridMultilevel"/>
    <w:lvl w:ilvl="0">
      <w:lvlJc w:val="left"/>
      <w:lvlText w:val="u"/>
      <w:numFmt w:val="bullet"/>
      <w:start w:val="1"/>
    </w:lvl>
  </w:abstractNum>
  <w:abstractNum w:abstractNumId="138">
    <w:nsid w:val="49C0E823"/>
    <w:multiLevelType w:val="hybridMultilevel"/>
    <w:lvl w:ilvl="0">
      <w:lvlJc w:val="left"/>
      <w:lvlText w:val="(%1)"/>
      <w:numFmt w:val="decimal"/>
      <w:start w:val="1"/>
    </w:lvl>
  </w:abstractNum>
  <w:abstractNum w:abstractNumId="139">
    <w:nsid w:val="14D53685"/>
    <w:multiLevelType w:val="hybridMultilevel"/>
    <w:lvl w:ilvl="0">
      <w:lvlJc w:val="left"/>
      <w:lvlText w:val="u"/>
      <w:numFmt w:val="bullet"/>
      <w:start w:val="1"/>
    </w:lvl>
  </w:abstractNum>
  <w:abstractNum w:abstractNumId="140">
    <w:nsid w:val="230F856C"/>
    <w:multiLevelType w:val="hybridMultilevel"/>
    <w:lvl w:ilvl="0">
      <w:lvlJc w:val="left"/>
      <w:lvlText w:val="(%1)"/>
      <w:numFmt w:val="decimal"/>
      <w:start w:val="1"/>
    </w:lvl>
  </w:abstractNum>
  <w:abstractNum w:abstractNumId="141">
    <w:nsid w:val="6EAA85FB"/>
    <w:multiLevelType w:val="hybridMultilevel"/>
    <w:lvl w:ilvl="0">
      <w:lvlJc w:val="left"/>
      <w:lvlText w:val="%1."/>
      <w:numFmt w:val="decimal"/>
      <w:start w:val="1"/>
    </w:lvl>
  </w:abstractNum>
  <w:abstractNum w:abstractNumId="142">
    <w:nsid w:val="3F06ECB2"/>
    <w:multiLevelType w:val="hybridMultilevel"/>
    <w:lvl w:ilvl="0">
      <w:lvlJc w:val="left"/>
      <w:lvlText w:val="(%1)"/>
      <w:numFmt w:val="decimal"/>
      <w:start w:val="1"/>
    </w:lvl>
    <w:lvl w:ilvl="1">
      <w:lvlJc w:val="left"/>
      <w:lvlText w:val="%2."/>
      <w:numFmt w:val="lowerLetter"/>
      <w:start w:val="1"/>
    </w:lvl>
  </w:abstractNum>
  <w:abstractNum w:abstractNumId="143">
    <w:nsid w:val="3B594807"/>
    <w:multiLevelType w:val="hybridMultilevel"/>
    <w:lvl w:ilvl="0">
      <w:lvlJc w:val="left"/>
      <w:lvlText w:val="•"/>
      <w:numFmt w:val="bullet"/>
      <w:start w:val="1"/>
    </w:lvl>
  </w:abstractNum>
  <w:abstractNum w:abstractNumId="144">
    <w:nsid w:val="6CAA2304"/>
    <w:multiLevelType w:val="hybridMultilevel"/>
    <w:lvl w:ilvl="0">
      <w:lvlJc w:val="left"/>
      <w:lvlText w:val="%1."/>
      <w:numFmt w:val="decimal"/>
      <w:start w:val="1"/>
    </w:lvl>
  </w:abstractNum>
  <w:abstractNum w:abstractNumId="145">
    <w:nsid w:val="3F7C2FF4"/>
    <w:multiLevelType w:val="hybridMultilevel"/>
    <w:lvl w:ilvl="0">
      <w:lvlJc w:val="left"/>
      <w:lvlText w:val="\endash "/>
      <w:numFmt w:val="bullet"/>
      <w:start w:val="1"/>
    </w:lvl>
  </w:abstractNum>
  <w:abstractNum w:abstractNumId="146">
    <w:nsid w:val="25413BEC"/>
    <w:multiLevelType w:val="hybridMultilevel"/>
    <w:lvl w:ilvl="0">
      <w:lvlJc w:val="left"/>
      <w:lvlText w:val="u"/>
      <w:numFmt w:val="bullet"/>
      <w:start w:val="1"/>
    </w:lvl>
  </w:abstractNum>
  <w:abstractNum w:abstractNumId="147">
    <w:nsid w:val="17180B0B"/>
    <w:multiLevelType w:val="hybridMultilevel"/>
    <w:lvl w:ilvl="0">
      <w:lvlJc w:val="left"/>
      <w:lvlText w:val="*"/>
      <w:numFmt w:val="bullet"/>
      <w:start w:val="1"/>
    </w:lvl>
  </w:abstractNum>
  <w:abstractNum w:abstractNumId="148">
    <w:nsid w:val="579328B9"/>
    <w:multiLevelType w:val="hybridMultilevel"/>
    <w:lvl w:ilvl="0">
      <w:lvlJc w:val="left"/>
      <w:lvlText w:val="u"/>
      <w:numFmt w:val="bullet"/>
      <w:start w:val="1"/>
    </w:lvl>
  </w:abstractNum>
  <w:abstractNum w:abstractNumId="149">
    <w:nsid w:val="5D205E20"/>
    <w:multiLevelType w:val="hybridMultilevel"/>
    <w:lvl w:ilvl="0">
      <w:lvlJc w:val="left"/>
      <w:lvlText w:val="u"/>
      <w:numFmt w:val="bullet"/>
      <w:start w:val="1"/>
    </w:lvl>
  </w:abstractNum>
  <w:abstractNum w:abstractNumId="150">
    <w:nsid w:val="11CCA8BA"/>
    <w:multiLevelType w:val="hybridMultilevel"/>
    <w:lvl w:ilvl="0">
      <w:lvlJc w:val="left"/>
      <w:lvlText w:val="u"/>
      <w:numFmt w:val="bullet"/>
      <w:start w:val="1"/>
    </w:lvl>
  </w:abstractNum>
  <w:abstractNum w:abstractNumId="151">
    <w:nsid w:val="4D32AB86"/>
    <w:multiLevelType w:val="hybridMultilevel"/>
    <w:lvl w:ilvl="0">
      <w:lvlJc w:val="left"/>
      <w:lvlText w:val="u"/>
      <w:numFmt w:val="bullet"/>
      <w:start w:val="1"/>
    </w:lvl>
  </w:abstractNum>
  <w:abstractNum w:abstractNumId="152">
    <w:nsid w:val="3F07ACC3"/>
    <w:multiLevelType w:val="hybridMultilevel"/>
    <w:lvl w:ilvl="0">
      <w:lvlJc w:val="left"/>
      <w:lvlText w:val="u"/>
      <w:numFmt w:val="bullet"/>
      <w:start w:val="1"/>
    </w:lvl>
  </w:abstractNum>
  <w:abstractNum w:abstractNumId="153">
    <w:nsid w:val="6B47F63E"/>
    <w:multiLevelType w:val="hybridMultilevel"/>
    <w:lvl w:ilvl="0">
      <w:lvlJc w:val="left"/>
      <w:lvlText w:val="u"/>
      <w:numFmt w:val="bullet"/>
      <w:start w:val="1"/>
    </w:lvl>
  </w:abstractNum>
  <w:abstractNum w:abstractNumId="154">
    <w:nsid w:val="5CB44A05"/>
    <w:multiLevelType w:val="hybridMultilevel"/>
    <w:lvl w:ilvl="0">
      <w:lvlJc w:val="left"/>
      <w:lvlText w:val="u"/>
      <w:numFmt w:val="bullet"/>
      <w:start w:val="1"/>
    </w:lvl>
  </w:abstractNum>
  <w:abstractNum w:abstractNumId="155">
    <w:nsid w:val="16CF80F1"/>
    <w:multiLevelType w:val="hybridMultilevel"/>
    <w:lvl w:ilvl="0">
      <w:lvlJc w:val="left"/>
      <w:lvlText w:val="u"/>
      <w:numFmt w:val="bullet"/>
      <w:start w:val="1"/>
    </w:lvl>
  </w:abstractNum>
  <w:abstractNum w:abstractNumId="156">
    <w:nsid w:val="1C695DEC"/>
    <w:multiLevelType w:val="hybridMultilevel"/>
    <w:lvl w:ilvl="0">
      <w:lvlJc w:val="left"/>
      <w:lvlText w:val="u"/>
      <w:numFmt w:val="bullet"/>
      <w:start w:val="1"/>
    </w:lvl>
  </w:abstractNum>
  <w:abstractNum w:abstractNumId="157">
    <w:nsid w:val="3FCFAED9"/>
    <w:multiLevelType w:val="hybridMultilevel"/>
    <w:lvl w:ilvl="0">
      <w:lvlJc w:val="left"/>
      <w:lvlText w:val="u"/>
      <w:numFmt w:val="bullet"/>
      <w:start w:val="1"/>
    </w:lvl>
  </w:abstractNum>
  <w:abstractNum w:abstractNumId="158">
    <w:nsid w:val="F856867"/>
    <w:multiLevelType w:val="hybridMultilevel"/>
    <w:lvl w:ilvl="0">
      <w:lvlJc w:val="left"/>
      <w:lvlText w:val="u"/>
      <w:numFmt w:val="bullet"/>
      <w:start w:val="1"/>
    </w:lvl>
  </w:abstractNum>
  <w:abstractNum w:abstractNumId="159">
    <w:nsid w:val="11B1CC33"/>
    <w:multiLevelType w:val="hybridMultilevel"/>
    <w:lvl w:ilvl="0">
      <w:lvlJc w:val="left"/>
      <w:lvlText w:val="u"/>
      <w:numFmt w:val="bullet"/>
      <w:start w:val="1"/>
    </w:lvl>
  </w:abstractNum>
  <w:abstractNum w:abstractNumId="160">
    <w:nsid w:val="2E22FBB7"/>
    <w:multiLevelType w:val="hybridMultilevel"/>
    <w:lvl w:ilvl="0">
      <w:lvlJc w:val="left"/>
      <w:lvlText w:val="u"/>
      <w:numFmt w:val="bullet"/>
      <w:start w:val="1"/>
    </w:lvl>
  </w:abstractNum>
  <w:abstractNum w:abstractNumId="161">
    <w:nsid w:val="29934699"/>
    <w:multiLevelType w:val="hybridMultilevel"/>
    <w:lvl w:ilvl="0">
      <w:lvlJc w:val="left"/>
      <w:lvlText w:val="u"/>
      <w:numFmt w:val="bullet"/>
      <w:start w:val="1"/>
    </w:lvl>
  </w:abstractNum>
  <w:abstractNum w:abstractNumId="162">
    <w:nsid w:val="77485850"/>
    <w:multiLevelType w:val="hybridMultilevel"/>
    <w:lvl w:ilvl="0">
      <w:lvlJc w:val="left"/>
      <w:lvlText w:val="u"/>
      <w:numFmt w:val="bullet"/>
      <w:start w:val="1"/>
    </w:lvl>
  </w:abstractNum>
  <w:abstractNum w:abstractNumId="163">
    <w:nsid w:val="744939A3"/>
    <w:multiLevelType w:val="hybridMultilevel"/>
    <w:lvl w:ilvl="0">
      <w:lvlJc w:val="left"/>
      <w:lvlText w:val="(%1)"/>
      <w:numFmt w:val="decimal"/>
      <w:start w:val="1"/>
    </w:lvl>
  </w:abstractNum>
  <w:abstractNum w:abstractNumId="164">
    <w:nsid w:val="4FA0D2E3"/>
    <w:multiLevelType w:val="hybridMultilevel"/>
    <w:lvl w:ilvl="0">
      <w:lvlJc w:val="left"/>
      <w:lvlText w:val="(%1)"/>
      <w:numFmt w:val="decimal"/>
      <w:start w:val="1"/>
    </w:lvl>
  </w:abstractNum>
  <w:abstractNum w:abstractNumId="165">
    <w:nsid w:val="6B1D2C14"/>
    <w:multiLevelType w:val="hybridMultilevel"/>
    <w:lvl w:ilvl="0">
      <w:lvlJc w:val="left"/>
      <w:lvlText w:val="(%1)"/>
      <w:numFmt w:val="decimal"/>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2022-04-29T11:14:48Z</dcterms:created>
  <dcterms:modified xsi:type="dcterms:W3CDTF">2022-04-29T11:14:48Z</dcterms:modified>
</cp:coreProperties>
</file>