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57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755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3"/>
        <w:spacing w:after="0"/>
        <w:rPr>
          <w:sz w:val="20"/>
          <w:szCs w:val="20"/>
          <w:color w:val="auto"/>
        </w:rPr>
      </w:pPr>
      <w:r>
        <w:rPr>
          <w:rFonts w:ascii="Arial" w:cs="Arial" w:eastAsia="Arial" w:hAnsi="Arial"/>
          <w:sz w:val="17"/>
          <w:szCs w:val="17"/>
          <w:color w:val="0000FF"/>
        </w:rPr>
        <w:t>Vice President</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2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3,285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29,617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2,332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27,285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953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4,230</w:t>
            </w:r>
            <w:r>
              <w:rPr>
                <w:rFonts w:ascii="Arial" w:cs="Arial" w:eastAsia="Arial" w:hAnsi="Arial"/>
                <w:sz w:val="21"/>
                <w:szCs w:val="21"/>
                <w:color w:val="008000"/>
                <w:w w:val="83"/>
                <w:vertAlign w:val="superscript"/>
              </w:rPr>
              <w:t>(4)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30,562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3,003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27,559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1,227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1,548</w:t>
            </w:r>
            <w:r>
              <w:rPr>
                <w:rFonts w:ascii="Arial" w:cs="Arial" w:eastAsia="Arial" w:hAnsi="Arial"/>
                <w:sz w:val="21"/>
                <w:szCs w:val="21"/>
                <w:color w:val="008000"/>
                <w:w w:val="83"/>
                <w:vertAlign w:val="superscript"/>
              </w:rPr>
              <w:t>(6)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27,880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1,099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26,781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09/30/2012</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449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22.91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3,285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3,285</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line="140" w:lineRule="exact"/>
              <w:rPr>
                <w:sz w:val="20"/>
                <w:szCs w:val="20"/>
                <w:color w:val="auto"/>
              </w:rPr>
            </w:pPr>
            <w:r>
              <w:rPr>
                <w:rFonts w:ascii="Arial" w:cs="Arial" w:eastAsia="Arial" w:hAnsi="Arial"/>
                <w:sz w:val="13"/>
                <w:szCs w:val="13"/>
                <w:color w:val="0000FF"/>
                <w:w w:val="92"/>
              </w:rPr>
              <w:t>6,568</w:t>
            </w:r>
          </w:p>
        </w:tc>
        <w:tc>
          <w:tcPr>
            <w:tcW w:w="300" w:type="dxa"/>
            <w:vAlign w:val="bottom"/>
          </w:tcPr>
          <w:p>
            <w:pPr>
              <w:spacing w:after="0"/>
              <w:rPr>
                <w:sz w:val="6"/>
                <w:szCs w:val="6"/>
                <w:color w:val="auto"/>
              </w:rPr>
            </w:pP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4,230</w:t>
            </w:r>
            <w:r>
              <w:rPr>
                <w:rFonts w:ascii="Arial" w:cs="Arial" w:eastAsia="Arial" w:hAnsi="Arial"/>
                <w:sz w:val="21"/>
                <w:szCs w:val="21"/>
                <w:color w:val="008000"/>
                <w:w w:val="84"/>
                <w:vertAlign w:val="superscript"/>
              </w:rPr>
              <w:t>(4)</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4,230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92"/>
              </w:rPr>
              <w:t>4,230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1,548</w:t>
            </w:r>
            <w:r>
              <w:rPr>
                <w:rFonts w:ascii="Arial" w:cs="Arial" w:eastAsia="Arial" w:hAnsi="Arial"/>
                <w:sz w:val="21"/>
                <w:szCs w:val="21"/>
                <w:color w:val="008000"/>
                <w:w w:val="84"/>
                <w:vertAlign w:val="superscript"/>
              </w:rPr>
              <w:t>(6)</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1,548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10,367</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09/30/2012</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10,367</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10,367</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4,231 SSUs, of which 1,410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12,693 SSUs granted on September 30, 2010 of which 4,230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2009.</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2009 the employee received a grant of 1,548 SSUs, of which 516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4,644 SSUs granted on September 30, 2010 of which 1,548 SSUs became payable on September 30,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8. The SSUs reported in this item were granted on September 30, 2012 and will be settled in three equal, annual installments beginning September 30, 2013.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10/02/2012</w:t>
            </w: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206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Mr. Ardila</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82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right="2599"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2019-12-17T01:45:41Z</dcterms:created>
  <dcterms:modified xsi:type="dcterms:W3CDTF">2019-12-17T01:45:41Z</dcterms:modified>
</cp:coreProperties>
</file>