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-601980</wp:posOffset>
            </wp:positionV>
            <wp:extent cx="825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-610235</wp:posOffset>
            </wp:positionV>
            <wp:extent cx="825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-585470</wp:posOffset>
            </wp:positionV>
            <wp:extent cx="1270000" cy="56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19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35560</wp:posOffset>
            </wp:positionV>
            <wp:extent cx="6969125" cy="1604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60401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Carlisle Stephen K.</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RENAISSANCE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12/23/2020</w:t>
      </w:r>
    </w:p>
    <w:p>
      <w:pPr>
        <w:spacing w:after="0" w:line="20" w:lineRule="exact"/>
        <w:rPr>
          <w:sz w:val="24"/>
          <w:szCs w:val="24"/>
          <w:color w:val="auto"/>
        </w:rPr>
      </w:pPr>
      <w:r>
        <w:rPr>
          <w:sz w:val="24"/>
          <w:szCs w:val="24"/>
          <w:color w:val="auto"/>
        </w:rPr>
        <w:br w:type="column"/>
      </w:r>
    </w:p>
    <w:p>
      <w:pPr>
        <w:ind w:left="-1" w:right="660" w:firstLine="1"/>
        <w:spacing w:after="0" w:line="257"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9"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59"/>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00"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48265</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149860</wp:posOffset>
            </wp:positionV>
            <wp:extent cx="6969125" cy="129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1294765"/>
                    </a:xfrm>
                    <a:prstGeom prst="rect">
                      <a:avLst/>
                    </a:prstGeom>
                    <a:noFill/>
                  </pic:spPr>
                </pic:pic>
              </a:graphicData>
            </a:graphic>
          </wp:anchor>
        </w:drawing>
      </w:r>
    </w:p>
    <w:p>
      <w:pPr>
        <w:spacing w:after="0" w:line="2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00"/>
              <w:spacing w:after="0" w:line="124"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2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70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8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12/23/2020</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40"/>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1"/>
              </w:rPr>
              <w:t>10,217</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31.32</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65,626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12/23/2020</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40"/>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1"/>
              </w:rPr>
              <w:t>10,217</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42.85</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55,409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1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0"/>
          </w:tcPr>
          <w:p>
            <w:pPr>
              <w:jc w:val="center"/>
              <w:ind w:left="45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02/15/2020</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10,217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31.32</w:t>
            </w: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12/23/2020</w:t>
            </w:r>
          </w:p>
        </w:tc>
        <w:tc>
          <w:tcPr>
            <w:tcW w:w="1120" w:type="dxa"/>
            <w:vAlign w:val="bottom"/>
          </w:tcPr>
          <w:p>
            <w:pPr>
              <w:spacing w:after="0"/>
              <w:rPr>
                <w:sz w:val="12"/>
                <w:szCs w:val="12"/>
                <w:color w:val="auto"/>
              </w:rPr>
            </w:pP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10,217</w:t>
            </w:r>
          </w:p>
        </w:tc>
        <w:tc>
          <w:tcPr>
            <w:tcW w:w="880" w:type="dxa"/>
            <w:vAlign w:val="bottom"/>
            <w:gridSpan w:val="2"/>
            <w:vMerge w:val="continue"/>
          </w:tcPr>
          <w:p>
            <w:pPr>
              <w:spacing w:after="0"/>
              <w:rPr>
                <w:sz w:val="12"/>
                <w:szCs w:val="12"/>
                <w:color w:val="auto"/>
              </w:rPr>
            </w:pPr>
          </w:p>
        </w:tc>
        <w:tc>
          <w:tcPr>
            <w:tcW w:w="6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07/28/2025</w:t>
            </w: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141,627</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-2035175</wp:posOffset>
            </wp:positionV>
            <wp:extent cx="7033895" cy="2173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17360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w:t>
      </w:r>
    </w:p>
    <w:p>
      <w:pPr>
        <w:spacing w:after="0" w:line="42" w:lineRule="exact"/>
        <w:rPr>
          <w:rFonts w:ascii="Times New Roman" w:cs="Times New Roman" w:eastAsia="Times New Roman" w:hAnsi="Times New Roman"/>
          <w:sz w:val="13"/>
          <w:szCs w:val="13"/>
          <w:color w:val="008000"/>
        </w:rPr>
      </w:pPr>
    </w:p>
    <w:p>
      <w:pPr>
        <w:ind w:left="40" w:right="16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$42.85 to $42.88, inclusive. The Reporting Person undertakes to provide to the SEC, GM and any security holder, upon request, full information regarding the number of shares sold at each price point within the ranges set forth in this footnote.</w:t>
      </w:r>
    </w:p>
    <w:p>
      <w:pPr>
        <w:spacing w:after="0" w:line="18" w:lineRule="exact"/>
        <w:rPr>
          <w:rFonts w:ascii="Times New Roman" w:cs="Times New Roman" w:eastAsia="Times New Roman" w:hAnsi="Times New Roman"/>
          <w:sz w:val="13"/>
          <w:szCs w:val="13"/>
          <w:color w:val="008000"/>
        </w:rPr>
      </w:pPr>
    </w:p>
    <w:p>
      <w:pPr>
        <w:ind w:left="40" w:right="36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July 28, 2015, under the Company's 2014 Long-Term Incentive Plan. Forty percent of the options became exercisable on February 15, 2017; the remaining 60% became exercisable in three equal installments on February 15, 2018, February 15, 2019, and February 15, 2020.</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12/28/2020</w:t>
            </w:r>
          </w:p>
        </w:tc>
        <w:tc>
          <w:tcPr>
            <w:tcW w:w="0" w:type="dxa"/>
            <w:vAlign w:val="bottom"/>
          </w:tcPr>
          <w:p>
            <w:pPr>
              <w:spacing w:after="0"/>
              <w:rPr>
                <w:sz w:val="1"/>
                <w:szCs w:val="1"/>
                <w:color w:val="auto"/>
              </w:rPr>
            </w:pPr>
          </w:p>
        </w:tc>
      </w:tr>
      <w:tr>
        <w:trPr>
          <w:trHeight w:val="83"/>
        </w:trPr>
        <w:tc>
          <w:tcPr>
            <w:tcW w:w="136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Fact for Mr. Carlisle</w:t>
            </w:r>
          </w:p>
        </w:tc>
        <w:tc>
          <w:tcPr>
            <w:tcW w:w="50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36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1779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2020-12-28T16:26:22Z</dcterms:created>
  <dcterms:modified xsi:type="dcterms:W3CDTF">2020-12-28T16:26:22Z</dcterms:modified>
</cp:coreProperties>
</file>