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34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464" w:space="720"/>
            <w:col w:w="2920" w:space="720"/>
            <w:col w:w="2200"/>
          </w:cols>
          <w:pgMar w:left="436" w:top="341" w:right="439" w:bottom="1440" w:gutter="0" w:footer="0" w:header="0"/>
          <w:type w:val="continuous"/>
        </w:sectPr>
      </w:pPr>
    </w:p>
    <w:p>
      <w:pPr>
        <w:spacing w:after="0" w:line="11" w:lineRule="exact"/>
        <w:rPr>
          <w:sz w:val="24"/>
          <w:szCs w:val="24"/>
          <w:color w:val="auto"/>
        </w:rPr>
      </w:pPr>
    </w:p>
    <w:p>
      <w:pPr>
        <w:jc w:val="center"/>
        <w:ind w:right="716"/>
        <w:spacing w:after="0"/>
        <w:rPr>
          <w:sz w:val="20"/>
          <w:szCs w:val="20"/>
          <w:color w:val="auto"/>
        </w:rPr>
      </w:pPr>
      <w:r>
        <w:rPr>
          <w:rFonts w:ascii="Arial" w:cs="Arial" w:eastAsia="Arial" w:hAnsi="Arial"/>
          <w:sz w:val="13"/>
          <w:szCs w:val="13"/>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ind w:left="112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64" w:space="720"/>
            <w:col w:w="3140"/>
          </w:cols>
          <w:pgMar w:left="436" w:top="341"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64" w:space="720"/>
            <w:col w:w="304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Motors Company (“GM”) held its 2020 Annual Meeting of Shareholders on June 16, 2020.</w:t>
      </w:r>
    </w:p>
    <w:p>
      <w:pPr>
        <w:spacing w:after="0" w:line="117" w:lineRule="exact"/>
        <w:rPr>
          <w:rFonts w:ascii="Arial" w:cs="Arial" w:eastAsia="Arial" w:hAnsi="Arial"/>
          <w:sz w:val="18"/>
          <w:szCs w:val="18"/>
          <w:color w:val="auto"/>
        </w:rPr>
      </w:pPr>
    </w:p>
    <w:p>
      <w:pPr>
        <w:ind w:left="424" w:right="160" w:hanging="424"/>
        <w:spacing w:after="0" w:line="311"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GM shareholders voted on the matters set forth below, with final voting results indicated. For the election of Directors, each nominee who received a majority of votes cast (</w:t>
      </w:r>
      <w:r>
        <w:rPr>
          <w:rFonts w:ascii="Arial" w:cs="Arial" w:eastAsia="Arial" w:hAnsi="Arial"/>
          <w:sz w:val="16"/>
          <w:szCs w:val="16"/>
          <w:i w:val="1"/>
          <w:iCs w:val="1"/>
          <w:color w:val="auto"/>
        </w:rPr>
        <w:t>i.e.</w:t>
      </w:r>
      <w:r>
        <w:rPr>
          <w:rFonts w:ascii="Arial" w:cs="Arial" w:eastAsia="Arial" w:hAnsi="Arial"/>
          <w:sz w:val="16"/>
          <w:szCs w:val="16"/>
          <w:color w:val="auto"/>
        </w:rPr>
        <w:t>, votes for exceeded votes against, with abstentions having no effect) was elected as a Director. All other items were approved if the number of shares voted for exceeded the number of shares voted against, with abstentions counted as votes against.</w:t>
      </w:r>
    </w:p>
    <w:p>
      <w:pPr>
        <w:spacing w:after="0" w:line="40" w:lineRule="exact"/>
        <w:rPr>
          <w:rFonts w:ascii="Arial" w:cs="Arial" w:eastAsia="Arial" w:hAnsi="Arial"/>
          <w:sz w:val="16"/>
          <w:szCs w:val="16"/>
          <w:color w:val="auto"/>
        </w:rPr>
      </w:pPr>
    </w:p>
    <w:p>
      <w:pPr>
        <w:ind w:left="824" w:hanging="384"/>
        <w:spacing w:after="0"/>
        <w:tabs>
          <w:tab w:leader="none" w:pos="824"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Election of Directors. </w:t>
      </w:r>
      <w:r>
        <w:rPr>
          <w:rFonts w:ascii="Arial" w:cs="Arial" w:eastAsia="Arial" w:hAnsi="Arial"/>
          <w:sz w:val="18"/>
          <w:szCs w:val="18"/>
          <w:color w:val="auto"/>
        </w:rPr>
        <w:t>GM’s shareholders elected the Board’s nominees for one-year terms:</w:t>
      </w:r>
    </w:p>
    <w:p>
      <w:pPr>
        <w:spacing w:after="0" w:line="217"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3980" w:type="dxa"/>
            <w:vAlign w:val="bottom"/>
          </w:tcPr>
          <w:p>
            <w:pPr>
              <w:ind w:left="2260"/>
              <w:spacing w:after="0"/>
              <w:rPr>
                <w:sz w:val="20"/>
                <w:szCs w:val="20"/>
                <w:color w:val="auto"/>
              </w:rPr>
            </w:pPr>
            <w:r>
              <w:rPr>
                <w:rFonts w:ascii="Arial" w:cs="Arial" w:eastAsia="Arial" w:hAnsi="Arial"/>
                <w:sz w:val="14"/>
                <w:szCs w:val="14"/>
                <w:b w:val="1"/>
                <w:bCs w:val="1"/>
                <w:color w:val="auto"/>
              </w:rPr>
              <w:t>Director</w:t>
            </w:r>
          </w:p>
        </w:tc>
        <w:tc>
          <w:tcPr>
            <w:tcW w:w="2360" w:type="dxa"/>
            <w:vAlign w:val="bottom"/>
          </w:tcPr>
          <w:p>
            <w:pPr>
              <w:jc w:val="right"/>
              <w:ind w:right="292"/>
              <w:spacing w:after="0"/>
              <w:rPr>
                <w:sz w:val="20"/>
                <w:szCs w:val="20"/>
                <w:color w:val="auto"/>
              </w:rPr>
            </w:pPr>
            <w:r>
              <w:rPr>
                <w:rFonts w:ascii="Arial" w:cs="Arial" w:eastAsia="Arial" w:hAnsi="Arial"/>
                <w:sz w:val="14"/>
                <w:szCs w:val="14"/>
                <w:b w:val="1"/>
                <w:bCs w:val="1"/>
                <w:color w:val="auto"/>
              </w:rPr>
              <w:t>Votes For</w:t>
            </w:r>
          </w:p>
        </w:tc>
        <w:tc>
          <w:tcPr>
            <w:tcW w:w="52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Votes Against</w:t>
            </w:r>
          </w:p>
        </w:tc>
        <w:tc>
          <w:tcPr>
            <w:tcW w:w="960" w:type="dxa"/>
            <w:vAlign w:val="bottom"/>
          </w:tcPr>
          <w:p>
            <w:pPr>
              <w:jc w:val="right"/>
              <w:ind w:right="32"/>
              <w:spacing w:after="0"/>
              <w:rPr>
                <w:sz w:val="20"/>
                <w:szCs w:val="20"/>
                <w:color w:val="auto"/>
              </w:rPr>
            </w:pPr>
            <w:r>
              <w:rPr>
                <w:rFonts w:ascii="Arial" w:cs="Arial" w:eastAsia="Arial" w:hAnsi="Arial"/>
                <w:sz w:val="14"/>
                <w:szCs w:val="14"/>
                <w:b w:val="1"/>
                <w:bCs w:val="1"/>
                <w:color w:val="auto"/>
              </w:rPr>
              <w:t>Abstentions</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7"/>
              </w:rPr>
              <w:t>Broker Non-Votes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Mary T. Barra</w:t>
            </w:r>
          </w:p>
        </w:tc>
        <w:tc>
          <w:tcPr>
            <w:tcW w:w="2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1,067,145,794</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96.6</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38,050,531</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6,538,068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136,963,862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Theodore M. Solso</w:t>
            </w:r>
          </w:p>
        </w:tc>
        <w:tc>
          <w:tcPr>
            <w:tcW w:w="2360" w:type="dxa"/>
            <w:vAlign w:val="bottom"/>
          </w:tcPr>
          <w:p>
            <w:pPr>
              <w:jc w:val="right"/>
              <w:ind w:right="32"/>
              <w:spacing w:after="0"/>
              <w:rPr>
                <w:sz w:val="20"/>
                <w:szCs w:val="20"/>
                <w:color w:val="auto"/>
              </w:rPr>
            </w:pPr>
            <w:r>
              <w:rPr>
                <w:rFonts w:ascii="Arial" w:cs="Arial" w:eastAsia="Arial" w:hAnsi="Arial"/>
                <w:sz w:val="18"/>
                <w:szCs w:val="18"/>
                <w:color w:val="auto"/>
              </w:rPr>
              <w:t>1,099,846,515</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99.1</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10,461,105</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1,426,768</w:t>
            </w:r>
          </w:p>
        </w:tc>
        <w:tc>
          <w:tcPr>
            <w:tcW w:w="1260" w:type="dxa"/>
            <w:vAlign w:val="bottom"/>
          </w:tcPr>
          <w:p>
            <w:pPr>
              <w:jc w:val="right"/>
              <w:spacing w:after="0"/>
              <w:rPr>
                <w:sz w:val="20"/>
                <w:szCs w:val="20"/>
                <w:color w:val="auto"/>
              </w:rPr>
            </w:pPr>
            <w:r>
              <w:rPr>
                <w:rFonts w:ascii="Arial" w:cs="Arial" w:eastAsia="Arial" w:hAnsi="Arial"/>
                <w:sz w:val="18"/>
                <w:szCs w:val="18"/>
                <w:color w:val="auto"/>
              </w:rPr>
              <w:t>136,963,862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Wesley G. Bush</w:t>
            </w:r>
          </w:p>
        </w:tc>
        <w:tc>
          <w:tcPr>
            <w:tcW w:w="2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1,106,865,019</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3,465,790</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1,403,579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136,963,862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Linda R. Gooden</w:t>
            </w:r>
          </w:p>
        </w:tc>
        <w:tc>
          <w:tcPr>
            <w:tcW w:w="2360" w:type="dxa"/>
            <w:vAlign w:val="bottom"/>
          </w:tcPr>
          <w:p>
            <w:pPr>
              <w:jc w:val="right"/>
              <w:ind w:right="32"/>
              <w:spacing w:after="0"/>
              <w:rPr>
                <w:sz w:val="20"/>
                <w:szCs w:val="20"/>
                <w:color w:val="auto"/>
              </w:rPr>
            </w:pPr>
            <w:r>
              <w:rPr>
                <w:rFonts w:ascii="Arial" w:cs="Arial" w:eastAsia="Arial" w:hAnsi="Arial"/>
                <w:sz w:val="18"/>
                <w:szCs w:val="18"/>
                <w:color w:val="auto"/>
              </w:rPr>
              <w:t>1,107,069,657</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99.7</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3,303,055</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1,361,676</w:t>
            </w:r>
          </w:p>
        </w:tc>
        <w:tc>
          <w:tcPr>
            <w:tcW w:w="1260" w:type="dxa"/>
            <w:vAlign w:val="bottom"/>
          </w:tcPr>
          <w:p>
            <w:pPr>
              <w:jc w:val="right"/>
              <w:spacing w:after="0"/>
              <w:rPr>
                <w:sz w:val="20"/>
                <w:szCs w:val="20"/>
                <w:color w:val="auto"/>
              </w:rPr>
            </w:pPr>
            <w:r>
              <w:rPr>
                <w:rFonts w:ascii="Arial" w:cs="Arial" w:eastAsia="Arial" w:hAnsi="Arial"/>
                <w:sz w:val="18"/>
                <w:szCs w:val="18"/>
                <w:color w:val="auto"/>
              </w:rPr>
              <w:t>136,963,862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Joseph Jimenez</w:t>
            </w:r>
          </w:p>
        </w:tc>
        <w:tc>
          <w:tcPr>
            <w:tcW w:w="2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1,103,340,247</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99.4</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6,983,171</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1,410,970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136,963,862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Jane L. Mendillo</w:t>
            </w:r>
          </w:p>
        </w:tc>
        <w:tc>
          <w:tcPr>
            <w:tcW w:w="2360" w:type="dxa"/>
            <w:vAlign w:val="bottom"/>
          </w:tcPr>
          <w:p>
            <w:pPr>
              <w:jc w:val="right"/>
              <w:ind w:right="32"/>
              <w:spacing w:after="0"/>
              <w:rPr>
                <w:sz w:val="20"/>
                <w:szCs w:val="20"/>
                <w:color w:val="auto"/>
              </w:rPr>
            </w:pPr>
            <w:r>
              <w:rPr>
                <w:rFonts w:ascii="Arial" w:cs="Arial" w:eastAsia="Arial" w:hAnsi="Arial"/>
                <w:sz w:val="18"/>
                <w:szCs w:val="18"/>
                <w:color w:val="auto"/>
              </w:rPr>
              <w:t>1,009,892,040</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99.1</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10,459,328</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1,383,020</w:t>
            </w:r>
          </w:p>
        </w:tc>
        <w:tc>
          <w:tcPr>
            <w:tcW w:w="1260" w:type="dxa"/>
            <w:vAlign w:val="bottom"/>
          </w:tcPr>
          <w:p>
            <w:pPr>
              <w:jc w:val="right"/>
              <w:spacing w:after="0"/>
              <w:rPr>
                <w:sz w:val="20"/>
                <w:szCs w:val="20"/>
                <w:color w:val="auto"/>
              </w:rPr>
            </w:pPr>
            <w:r>
              <w:rPr>
                <w:rFonts w:ascii="Arial" w:cs="Arial" w:eastAsia="Arial" w:hAnsi="Arial"/>
                <w:sz w:val="18"/>
                <w:szCs w:val="18"/>
                <w:color w:val="auto"/>
              </w:rPr>
              <w:t>136,963,862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Judith A. Miscik</w:t>
            </w:r>
          </w:p>
        </w:tc>
        <w:tc>
          <w:tcPr>
            <w:tcW w:w="2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1,106,573,782</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3,768,625</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1,391,981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136,963,862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Patricia F. Russo</w:t>
            </w:r>
          </w:p>
        </w:tc>
        <w:tc>
          <w:tcPr>
            <w:tcW w:w="2360" w:type="dxa"/>
            <w:vAlign w:val="bottom"/>
          </w:tcPr>
          <w:p>
            <w:pPr>
              <w:jc w:val="right"/>
              <w:ind w:right="32"/>
              <w:spacing w:after="0"/>
              <w:rPr>
                <w:sz w:val="20"/>
                <w:szCs w:val="20"/>
                <w:color w:val="auto"/>
              </w:rPr>
            </w:pPr>
            <w:r>
              <w:rPr>
                <w:rFonts w:ascii="Arial" w:cs="Arial" w:eastAsia="Arial" w:hAnsi="Arial"/>
                <w:sz w:val="18"/>
                <w:szCs w:val="18"/>
                <w:color w:val="auto"/>
              </w:rPr>
              <w:t>1,026,251,380</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93.0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77,064,001</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8,419,007</w:t>
            </w:r>
          </w:p>
        </w:tc>
        <w:tc>
          <w:tcPr>
            <w:tcW w:w="1260" w:type="dxa"/>
            <w:vAlign w:val="bottom"/>
          </w:tcPr>
          <w:p>
            <w:pPr>
              <w:jc w:val="right"/>
              <w:spacing w:after="0"/>
              <w:rPr>
                <w:sz w:val="20"/>
                <w:szCs w:val="20"/>
                <w:color w:val="auto"/>
              </w:rPr>
            </w:pPr>
            <w:r>
              <w:rPr>
                <w:rFonts w:ascii="Arial" w:cs="Arial" w:eastAsia="Arial" w:hAnsi="Arial"/>
                <w:sz w:val="18"/>
                <w:szCs w:val="18"/>
                <w:color w:val="auto"/>
              </w:rPr>
              <w:t>136,963,862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Thomas M. Schoewe</w:t>
            </w:r>
          </w:p>
        </w:tc>
        <w:tc>
          <w:tcPr>
            <w:tcW w:w="2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1,107,006,448</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3,286,458</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1,441,482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136,963,862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Carol M. Stephenson</w:t>
            </w:r>
          </w:p>
        </w:tc>
        <w:tc>
          <w:tcPr>
            <w:tcW w:w="2360" w:type="dxa"/>
            <w:vAlign w:val="bottom"/>
          </w:tcPr>
          <w:p>
            <w:pPr>
              <w:jc w:val="right"/>
              <w:ind w:right="32"/>
              <w:spacing w:after="0"/>
              <w:rPr>
                <w:sz w:val="20"/>
                <w:szCs w:val="20"/>
                <w:color w:val="auto"/>
              </w:rPr>
            </w:pPr>
            <w:r>
              <w:rPr>
                <w:rFonts w:ascii="Arial" w:cs="Arial" w:eastAsia="Arial" w:hAnsi="Arial"/>
                <w:sz w:val="18"/>
                <w:szCs w:val="18"/>
                <w:color w:val="auto"/>
              </w:rPr>
              <w:t>1,093,055,144</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98.4</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17,217,923</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1,407,321</w:t>
            </w:r>
          </w:p>
        </w:tc>
        <w:tc>
          <w:tcPr>
            <w:tcW w:w="1260" w:type="dxa"/>
            <w:vAlign w:val="bottom"/>
          </w:tcPr>
          <w:p>
            <w:pPr>
              <w:jc w:val="right"/>
              <w:spacing w:after="0"/>
              <w:rPr>
                <w:sz w:val="20"/>
                <w:szCs w:val="20"/>
                <w:color w:val="auto"/>
              </w:rPr>
            </w:pPr>
            <w:r>
              <w:rPr>
                <w:rFonts w:ascii="Arial" w:cs="Arial" w:eastAsia="Arial" w:hAnsi="Arial"/>
                <w:sz w:val="18"/>
                <w:szCs w:val="18"/>
                <w:color w:val="auto"/>
              </w:rPr>
              <w:t>136,963,862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Devin N. Wenig</w:t>
            </w:r>
          </w:p>
        </w:tc>
        <w:tc>
          <w:tcPr>
            <w:tcW w:w="2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1,106,969,147</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3,326,166</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1,439,075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136,963,862</w:t>
            </w:r>
          </w:p>
        </w:tc>
      </w:tr>
    </w:tbl>
    <w:p>
      <w:pPr>
        <w:spacing w:after="0" w:line="202" w:lineRule="exact"/>
        <w:rPr>
          <w:sz w:val="20"/>
          <w:szCs w:val="20"/>
          <w:color w:val="auto"/>
        </w:rPr>
      </w:pPr>
    </w:p>
    <w:p>
      <w:pPr>
        <w:ind w:left="444" w:right="180" w:hanging="4"/>
        <w:spacing w:after="0" w:line="277" w:lineRule="auto"/>
        <w:tabs>
          <w:tab w:leader="none" w:pos="834"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Board Proposal to Approve, on an Advisory Basis, Named Executive Officer Compensation. </w:t>
      </w:r>
      <w:r>
        <w:rPr>
          <w:rFonts w:ascii="Arial" w:cs="Arial" w:eastAsia="Arial" w:hAnsi="Arial"/>
          <w:sz w:val="18"/>
          <w:szCs w:val="18"/>
          <w:color w:val="auto"/>
        </w:rPr>
        <w:t>GM’s shareholders approved, by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the compensation of GM’s named executive officers.</w:t>
      </w:r>
    </w:p>
    <w:p>
      <w:pPr>
        <w:spacing w:after="0" w:line="162"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4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1,072,403,797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4680" w:type="dxa"/>
            <w:vAlign w:val="bottom"/>
          </w:tcPr>
          <w:p>
            <w:pPr>
              <w:jc w:val="right"/>
              <w:ind w:right="130"/>
              <w:spacing w:after="0"/>
              <w:rPr>
                <w:sz w:val="20"/>
                <w:szCs w:val="20"/>
                <w:color w:val="auto"/>
              </w:rPr>
            </w:pPr>
            <w:r>
              <w:rPr>
                <w:rFonts w:ascii="Arial" w:cs="Arial" w:eastAsia="Arial" w:hAnsi="Arial"/>
                <w:sz w:val="18"/>
                <w:szCs w:val="18"/>
                <w:color w:val="auto"/>
              </w:rPr>
              <w:t>36,707,477</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3.3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4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2,623,114</w:t>
            </w:r>
          </w:p>
        </w:tc>
        <w:tc>
          <w:tcPr>
            <w:tcW w:w="620" w:type="dxa"/>
            <w:vAlign w:val="bottom"/>
            <w:shd w:val="clear" w:color="auto" w:fill="CCEEFF"/>
          </w:tcPr>
          <w:p>
            <w:pPr>
              <w:spacing w:after="0"/>
              <w:rPr>
                <w:sz w:val="18"/>
                <w:szCs w:val="18"/>
                <w:color w:val="auto"/>
              </w:rPr>
            </w:pPr>
          </w:p>
        </w:tc>
      </w:t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Broker Non-Votes</w:t>
            </w:r>
          </w:p>
        </w:tc>
        <w:tc>
          <w:tcPr>
            <w:tcW w:w="4680" w:type="dxa"/>
            <w:vAlign w:val="bottom"/>
          </w:tcPr>
          <w:p>
            <w:pPr>
              <w:jc w:val="right"/>
              <w:ind w:right="130"/>
              <w:spacing w:after="0"/>
              <w:rPr>
                <w:sz w:val="20"/>
                <w:szCs w:val="20"/>
                <w:color w:val="auto"/>
              </w:rPr>
            </w:pPr>
            <w:r>
              <w:rPr>
                <w:rFonts w:ascii="Arial" w:cs="Arial" w:eastAsia="Arial" w:hAnsi="Arial"/>
                <w:sz w:val="18"/>
                <w:szCs w:val="18"/>
                <w:color w:val="auto"/>
              </w:rPr>
              <w:t>136,963,862</w:t>
            </w:r>
          </w:p>
        </w:tc>
        <w:tc>
          <w:tcPr>
            <w:tcW w:w="620" w:type="dxa"/>
            <w:vAlign w:val="bottom"/>
          </w:tcPr>
          <w:p>
            <w:pPr>
              <w:spacing w:after="0"/>
              <w:rPr>
                <w:sz w:val="20"/>
                <w:szCs w:val="20"/>
                <w:color w:val="auto"/>
              </w:rPr>
            </w:pPr>
          </w:p>
        </w:tc>
      </w:tr>
    </w:tbl>
    <w:p>
      <w:pPr>
        <w:spacing w:after="0" w:line="75" w:lineRule="exact"/>
        <w:rPr>
          <w:sz w:val="20"/>
          <w:szCs w:val="20"/>
          <w:color w:val="auto"/>
        </w:rPr>
      </w:pPr>
    </w:p>
    <w:p>
      <w:pPr>
        <w:ind w:left="444" w:hanging="4"/>
        <w:spacing w:after="0" w:line="263" w:lineRule="auto"/>
        <w:tabs>
          <w:tab w:leader="none" w:pos="834"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Board Proposal to Approve, on an Advisory Basis, the Frequency of Future Advisory Votes on Named Executive Officer Compensation. </w:t>
      </w:r>
      <w:r>
        <w:rPr>
          <w:rFonts w:ascii="Arial" w:cs="Arial" w:eastAsia="Arial" w:hAnsi="Arial"/>
          <w:sz w:val="18"/>
          <w:szCs w:val="18"/>
          <w:color w:val="auto"/>
        </w:rPr>
        <w:t>GM’s shareholders, by advisory vote, approved the Board’s recommendation to hold future advisory votes on named executive officer compensation every year.</w:t>
      </w:r>
    </w:p>
    <w:p>
      <w:pPr>
        <w:spacing w:after="0" w:line="175"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20" w:type="dxa"/>
            <w:vAlign w:val="bottom"/>
          </w:tcPr>
          <w:p>
            <w:pPr>
              <w:jc w:val="right"/>
              <w:ind w:right="115"/>
              <w:spacing w:after="0"/>
              <w:rPr>
                <w:sz w:val="20"/>
                <w:szCs w:val="20"/>
                <w:color w:val="auto"/>
              </w:rPr>
            </w:pPr>
            <w:r>
              <w:rPr>
                <w:rFonts w:ascii="Arial" w:cs="Arial" w:eastAsia="Arial" w:hAnsi="Arial"/>
                <w:sz w:val="14"/>
                <w:szCs w:val="14"/>
                <w:b w:val="1"/>
                <w:bCs w:val="1"/>
                <w:color w:val="auto"/>
              </w:rPr>
              <w:t>%</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Votes For 1</w:t>
            </w: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w:t>
            </w:r>
          </w:p>
        </w:tc>
        <w:tc>
          <w:tcPr>
            <w:tcW w:w="4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1,081,196,222</w:t>
            </w:r>
          </w:p>
        </w:tc>
        <w:tc>
          <w:tcPr>
            <w:tcW w:w="62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1"/>
              </w:rPr>
              <w:t>97.3</w:t>
            </w: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w w:val="91"/>
              </w:rPr>
              <w:t>Votes For 2</w:t>
            </w:r>
          </w:p>
        </w:tc>
        <w:tc>
          <w:tcPr>
            <w:tcW w:w="3900" w:type="dxa"/>
            <w:vAlign w:val="bottom"/>
          </w:tcPr>
          <w:p>
            <w:pPr>
              <w:spacing w:after="0"/>
              <w:rPr>
                <w:sz w:val="20"/>
                <w:szCs w:val="20"/>
                <w:color w:val="auto"/>
              </w:rPr>
            </w:pPr>
            <w:r>
              <w:rPr>
                <w:rFonts w:ascii="Arial" w:cs="Arial" w:eastAsia="Arial" w:hAnsi="Arial"/>
                <w:sz w:val="18"/>
                <w:szCs w:val="18"/>
                <w:b w:val="1"/>
                <w:bCs w:val="1"/>
                <w:color w:val="auto"/>
              </w:rPr>
              <w:t>Years</w:t>
            </w:r>
          </w:p>
        </w:tc>
        <w:tc>
          <w:tcPr>
            <w:tcW w:w="4680" w:type="dxa"/>
            <w:vAlign w:val="bottom"/>
          </w:tcPr>
          <w:p>
            <w:pPr>
              <w:jc w:val="right"/>
              <w:ind w:right="130"/>
              <w:spacing w:after="0"/>
              <w:rPr>
                <w:sz w:val="20"/>
                <w:szCs w:val="20"/>
                <w:color w:val="auto"/>
              </w:rPr>
            </w:pPr>
            <w:r>
              <w:rPr>
                <w:rFonts w:ascii="Arial" w:cs="Arial" w:eastAsia="Arial" w:hAnsi="Arial"/>
                <w:sz w:val="18"/>
                <w:szCs w:val="18"/>
                <w:color w:val="auto"/>
              </w:rPr>
              <w:t>1,055,846</w:t>
            </w:r>
          </w:p>
        </w:tc>
        <w:tc>
          <w:tcPr>
            <w:tcW w:w="620" w:type="dxa"/>
            <w:vAlign w:val="bottom"/>
          </w:tcPr>
          <w:p>
            <w:pPr>
              <w:jc w:val="center"/>
              <w:ind w:left="75"/>
              <w:spacing w:after="0"/>
              <w:rPr>
                <w:sz w:val="20"/>
                <w:szCs w:val="20"/>
                <w:color w:val="auto"/>
              </w:rPr>
            </w:pPr>
            <w:r>
              <w:rPr>
                <w:rFonts w:ascii="Arial" w:cs="Arial" w:eastAsia="Arial" w:hAnsi="Arial"/>
                <w:sz w:val="18"/>
                <w:szCs w:val="18"/>
                <w:color w:val="auto"/>
                <w:w w:val="87"/>
              </w:rPr>
              <w:t>0.1</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Votes For 3</w:t>
            </w: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w:t>
            </w:r>
          </w:p>
        </w:tc>
        <w:tc>
          <w:tcPr>
            <w:tcW w:w="4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27,122,835</w:t>
            </w:r>
          </w:p>
        </w:tc>
        <w:tc>
          <w:tcPr>
            <w:tcW w:w="62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7"/>
              </w:rPr>
              <w:t>2.4</w:t>
            </w: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w w:val="86"/>
              </w:rPr>
              <w:t>Abstentions</w:t>
            </w:r>
          </w:p>
        </w:tc>
        <w:tc>
          <w:tcPr>
            <w:tcW w:w="3900" w:type="dxa"/>
            <w:vAlign w:val="bottom"/>
          </w:tcPr>
          <w:p>
            <w:pPr>
              <w:spacing w:after="0"/>
              <w:rPr>
                <w:sz w:val="18"/>
                <w:szCs w:val="18"/>
                <w:color w:val="auto"/>
              </w:rPr>
            </w:pPr>
          </w:p>
        </w:tc>
        <w:tc>
          <w:tcPr>
            <w:tcW w:w="4680" w:type="dxa"/>
            <w:vAlign w:val="bottom"/>
          </w:tcPr>
          <w:p>
            <w:pPr>
              <w:jc w:val="right"/>
              <w:ind w:right="130"/>
              <w:spacing w:after="0"/>
              <w:rPr>
                <w:sz w:val="20"/>
                <w:szCs w:val="20"/>
                <w:color w:val="auto"/>
              </w:rPr>
            </w:pPr>
            <w:r>
              <w:rPr>
                <w:rFonts w:ascii="Arial" w:cs="Arial" w:eastAsia="Arial" w:hAnsi="Arial"/>
                <w:sz w:val="18"/>
                <w:szCs w:val="18"/>
                <w:color w:val="auto"/>
              </w:rPr>
              <w:t>2,359,485</w:t>
            </w:r>
          </w:p>
        </w:tc>
        <w:tc>
          <w:tcPr>
            <w:tcW w:w="62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Broker Non-Votes</w:t>
            </w:r>
          </w:p>
        </w:tc>
        <w:tc>
          <w:tcPr>
            <w:tcW w:w="4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136,963,862</w:t>
            </w:r>
          </w:p>
        </w:tc>
        <w:tc>
          <w:tcPr>
            <w:tcW w:w="6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44" w:right="200" w:hanging="4"/>
        <w:spacing w:after="0" w:line="342" w:lineRule="auto"/>
        <w:tabs>
          <w:tab w:leader="none" w:pos="834"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Board Proposal to Ratify the Selection of Ernst &amp; Young LLP as the Company’s Independent Registered Public Accounting Firm for 2020. </w:t>
      </w:r>
      <w:r>
        <w:rPr>
          <w:rFonts w:ascii="Arial" w:cs="Arial" w:eastAsia="Arial" w:hAnsi="Arial"/>
          <w:sz w:val="16"/>
          <w:szCs w:val="16"/>
          <w:color w:val="auto"/>
        </w:rPr>
        <w:t>GM’s shareholders ratified the appointment of Ernst &amp; Young LLP as GM’s independent registered public accounting firm for 2020.</w:t>
      </w:r>
    </w:p>
    <w:p>
      <w:pPr>
        <w:spacing w:after="0" w:line="115"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4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1,241,798,078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4840" w:type="dxa"/>
            <w:vAlign w:val="bottom"/>
          </w:tcPr>
          <w:p>
            <w:pPr>
              <w:jc w:val="right"/>
              <w:ind w:right="130"/>
              <w:spacing w:after="0"/>
              <w:rPr>
                <w:sz w:val="20"/>
                <w:szCs w:val="20"/>
                <w:color w:val="auto"/>
              </w:rPr>
            </w:pPr>
            <w:r>
              <w:rPr>
                <w:rFonts w:ascii="Arial" w:cs="Arial" w:eastAsia="Arial" w:hAnsi="Arial"/>
                <w:sz w:val="18"/>
                <w:szCs w:val="18"/>
                <w:color w:val="auto"/>
              </w:rPr>
              <w:t>4,926,050</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4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1,974,112</w:t>
            </w:r>
          </w:p>
        </w:tc>
        <w:tc>
          <w:tcPr>
            <w:tcW w:w="620" w:type="dxa"/>
            <w:vAlign w:val="bottom"/>
            <w:shd w:val="clear" w:color="auto" w:fill="CCEEFF"/>
          </w:tcPr>
          <w:p>
            <w:pPr>
              <w:spacing w:after="0"/>
              <w:rPr>
                <w:sz w:val="18"/>
                <w:szCs w:val="18"/>
                <w:color w:val="auto"/>
              </w:rPr>
            </w:pPr>
          </w:p>
        </w:tc>
      </w:tr>
    </w:tbl>
    <w:p>
      <w:pPr>
        <w:sectPr>
          <w:pgSz w:w="11900" w:h="16838" w:orient="portrait"/>
          <w:cols w:equalWidth="0" w:num="1">
            <w:col w:w="10864"/>
          </w:cols>
          <w:pgMar w:left="436" w:top="297" w:right="599" w:bottom="1440" w:gutter="0" w:footer="0" w:header="0"/>
        </w:sectPr>
      </w:pPr>
    </w:p>
    <w:bookmarkStart w:id="2" w:name="page3"/>
    <w:bookmarkEnd w:id="2"/>
    <w:p>
      <w:pPr>
        <w:ind w:left="4"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 xml:space="preserve">Broker Non-Votes </w:t>
      </w:r>
      <w:r>
        <w:rPr>
          <w:rFonts w:ascii="Arial" w:cs="Arial" w:eastAsia="Arial" w:hAnsi="Arial"/>
          <w:sz w:val="18"/>
          <w:szCs w:val="18"/>
          <w:color w:val="auto"/>
        </w:rPr>
        <w:t>Brokers were permitted to cast shareholder non-votes (</w:t>
      </w:r>
      <w:r>
        <w:rPr>
          <w:rFonts w:ascii="Arial" w:cs="Arial" w:eastAsia="Arial" w:hAnsi="Arial"/>
          <w:sz w:val="18"/>
          <w:szCs w:val="18"/>
          <w:i w:val="1"/>
          <w:iCs w:val="1"/>
          <w:color w:val="auto"/>
        </w:rPr>
        <w:t>i.e.</w:t>
      </w:r>
      <w:r>
        <w:rPr>
          <w:rFonts w:ascii="Arial" w:cs="Arial" w:eastAsia="Arial" w:hAnsi="Arial"/>
          <w:sz w:val="18"/>
          <w:szCs w:val="18"/>
          <w:color w:val="auto"/>
        </w:rPr>
        <w:t>, uninstructed shares) at their discretion on this proposal item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non-votes are reflected in the votes for or against or abstentions.</w:t>
      </w:r>
    </w:p>
    <w:p>
      <w:pPr>
        <w:spacing w:after="0" w:line="58" w:lineRule="exact"/>
        <w:rPr>
          <w:sz w:val="20"/>
          <w:szCs w:val="20"/>
          <w:color w:val="auto"/>
        </w:rPr>
      </w:pPr>
    </w:p>
    <w:p>
      <w:pPr>
        <w:ind w:left="4" w:right="100" w:hanging="4"/>
        <w:spacing w:after="0" w:line="277" w:lineRule="auto"/>
        <w:tabs>
          <w:tab w:leader="none" w:pos="393"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Board Proposal to Approve the General Motors Company 2020 Long-Term Incentive Plan. </w:t>
      </w:r>
      <w:r>
        <w:rPr>
          <w:rFonts w:ascii="Arial" w:cs="Arial" w:eastAsia="Arial" w:hAnsi="Arial"/>
          <w:sz w:val="18"/>
          <w:szCs w:val="18"/>
          <w:color w:val="auto"/>
        </w:rPr>
        <w:t>GM’s shareholders approved General Motors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2020 Long-Term Incentive Plan.</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4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1,073,000,872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4680" w:type="dxa"/>
            <w:vAlign w:val="bottom"/>
          </w:tcPr>
          <w:p>
            <w:pPr>
              <w:jc w:val="right"/>
              <w:ind w:right="130"/>
              <w:spacing w:after="0"/>
              <w:rPr>
                <w:sz w:val="20"/>
                <w:szCs w:val="20"/>
                <w:color w:val="auto"/>
              </w:rPr>
            </w:pPr>
            <w:r>
              <w:rPr>
                <w:rFonts w:ascii="Arial" w:cs="Arial" w:eastAsia="Arial" w:hAnsi="Arial"/>
                <w:sz w:val="18"/>
                <w:szCs w:val="18"/>
                <w:color w:val="auto"/>
              </w:rPr>
              <w:t>36,890,351</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3.4</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4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1,843,165</w:t>
            </w:r>
          </w:p>
        </w:tc>
        <w:tc>
          <w:tcPr>
            <w:tcW w:w="620" w:type="dxa"/>
            <w:vAlign w:val="bottom"/>
            <w:shd w:val="clear" w:color="auto" w:fill="CCEEFF"/>
          </w:tcPr>
          <w:p>
            <w:pPr>
              <w:spacing w:after="0"/>
              <w:rPr>
                <w:sz w:val="18"/>
                <w:szCs w:val="18"/>
                <w:color w:val="auto"/>
              </w:rPr>
            </w:pPr>
          </w:p>
        </w:tc>
      </w:t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Broker Non-Votes</w:t>
            </w:r>
          </w:p>
        </w:tc>
        <w:tc>
          <w:tcPr>
            <w:tcW w:w="4680" w:type="dxa"/>
            <w:vAlign w:val="bottom"/>
          </w:tcPr>
          <w:p>
            <w:pPr>
              <w:jc w:val="right"/>
              <w:ind w:right="130"/>
              <w:spacing w:after="0"/>
              <w:rPr>
                <w:sz w:val="20"/>
                <w:szCs w:val="20"/>
                <w:color w:val="auto"/>
              </w:rPr>
            </w:pPr>
            <w:r>
              <w:rPr>
                <w:rFonts w:ascii="Arial" w:cs="Arial" w:eastAsia="Arial" w:hAnsi="Arial"/>
                <w:sz w:val="18"/>
                <w:szCs w:val="18"/>
                <w:color w:val="auto"/>
              </w:rPr>
              <w:t>136,963,862</w:t>
            </w:r>
          </w:p>
        </w:tc>
        <w:tc>
          <w:tcPr>
            <w:tcW w:w="620" w:type="dxa"/>
            <w:vAlign w:val="bottom"/>
          </w:tcPr>
          <w:p>
            <w:pPr>
              <w:spacing w:after="0"/>
              <w:rPr>
                <w:sz w:val="20"/>
                <w:szCs w:val="20"/>
                <w:color w:val="auto"/>
              </w:rPr>
            </w:pPr>
          </w:p>
        </w:tc>
      </w:tr>
    </w:tbl>
    <w:p>
      <w:pPr>
        <w:spacing w:after="0" w:line="183" w:lineRule="exact"/>
        <w:rPr>
          <w:sz w:val="20"/>
          <w:szCs w:val="20"/>
          <w:color w:val="auto"/>
        </w:rPr>
      </w:pPr>
    </w:p>
    <w:p>
      <w:pPr>
        <w:ind w:left="4" w:right="280" w:hanging="4"/>
        <w:spacing w:after="0" w:line="277" w:lineRule="auto"/>
        <w:tabs>
          <w:tab w:leader="none" w:pos="393"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Shareholder Proposal Regarding Shareholder Written Consent. </w:t>
      </w:r>
      <w:r>
        <w:rPr>
          <w:rFonts w:ascii="Arial" w:cs="Arial" w:eastAsia="Arial" w:hAnsi="Arial"/>
          <w:sz w:val="18"/>
          <w:szCs w:val="18"/>
          <w:color w:val="auto"/>
        </w:rPr>
        <w:t>GM’s shareholders did not approve the shareholder proposal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written consent.</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4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453,177,690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4620" w:type="dxa"/>
            <w:vAlign w:val="bottom"/>
          </w:tcPr>
          <w:p>
            <w:pPr>
              <w:jc w:val="right"/>
              <w:ind w:right="130"/>
              <w:spacing w:after="0"/>
              <w:rPr>
                <w:sz w:val="20"/>
                <w:szCs w:val="20"/>
                <w:color w:val="auto"/>
              </w:rPr>
            </w:pPr>
            <w:r>
              <w:rPr>
                <w:rFonts w:ascii="Arial" w:cs="Arial" w:eastAsia="Arial" w:hAnsi="Arial"/>
                <w:sz w:val="18"/>
                <w:szCs w:val="18"/>
                <w:color w:val="auto"/>
              </w:rPr>
              <w:t>655,480,632</w:t>
            </w:r>
          </w:p>
        </w:tc>
        <w:tc>
          <w:tcPr>
            <w:tcW w:w="62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4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3,076,066</w:t>
            </w:r>
          </w:p>
        </w:tc>
        <w:tc>
          <w:tcPr>
            <w:tcW w:w="620" w:type="dxa"/>
            <w:vAlign w:val="bottom"/>
            <w:shd w:val="clear" w:color="auto" w:fill="CCEEFF"/>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Broker Non-Votes</w:t>
            </w:r>
          </w:p>
        </w:tc>
        <w:tc>
          <w:tcPr>
            <w:tcW w:w="4620" w:type="dxa"/>
            <w:vAlign w:val="bottom"/>
          </w:tcPr>
          <w:p>
            <w:pPr>
              <w:jc w:val="right"/>
              <w:ind w:right="130"/>
              <w:spacing w:after="0"/>
              <w:rPr>
                <w:sz w:val="20"/>
                <w:szCs w:val="20"/>
                <w:color w:val="auto"/>
              </w:rPr>
            </w:pPr>
            <w:r>
              <w:rPr>
                <w:rFonts w:ascii="Arial" w:cs="Arial" w:eastAsia="Arial" w:hAnsi="Arial"/>
                <w:sz w:val="18"/>
                <w:szCs w:val="18"/>
                <w:color w:val="auto"/>
              </w:rPr>
              <w:t>136,963,862</w:t>
            </w:r>
          </w:p>
        </w:tc>
        <w:tc>
          <w:tcPr>
            <w:tcW w:w="620" w:type="dxa"/>
            <w:vAlign w:val="bottom"/>
          </w:tcPr>
          <w:p>
            <w:pPr>
              <w:spacing w:after="0"/>
              <w:rPr>
                <w:sz w:val="20"/>
                <w:szCs w:val="20"/>
                <w:color w:val="auto"/>
              </w:rPr>
            </w:pPr>
          </w:p>
        </w:tc>
      </w:tr>
    </w:tbl>
    <w:p>
      <w:pPr>
        <w:spacing w:after="0" w:line="75" w:lineRule="exact"/>
        <w:rPr>
          <w:sz w:val="20"/>
          <w:szCs w:val="20"/>
          <w:color w:val="auto"/>
        </w:rPr>
      </w:pPr>
    </w:p>
    <w:p>
      <w:pPr>
        <w:ind w:left="4" w:hanging="4"/>
        <w:spacing w:after="0" w:line="263" w:lineRule="auto"/>
        <w:tabs>
          <w:tab w:leader="none" w:pos="393"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Shareholder Proposal to Amend the Shareholder Aggregation Limit in the Proxy Access Provision of the Company’s Bylaws. </w:t>
      </w:r>
      <w:r>
        <w:rPr>
          <w:rFonts w:ascii="Arial" w:cs="Arial" w:eastAsia="Arial" w:hAnsi="Arial"/>
          <w:sz w:val="18"/>
          <w:szCs w:val="18"/>
          <w:color w:val="auto"/>
        </w:rPr>
        <w:t>GM’s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did not approve the shareholder proposal to amend the shareholder aggregation limit in the proxy access provision of the Company’s bylaws.</w:t>
      </w:r>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4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228,230,180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4620" w:type="dxa"/>
            <w:vAlign w:val="bottom"/>
          </w:tcPr>
          <w:p>
            <w:pPr>
              <w:jc w:val="right"/>
              <w:ind w:right="130"/>
              <w:spacing w:after="0"/>
              <w:rPr>
                <w:sz w:val="20"/>
                <w:szCs w:val="20"/>
                <w:color w:val="auto"/>
              </w:rPr>
            </w:pPr>
            <w:r>
              <w:rPr>
                <w:rFonts w:ascii="Arial" w:cs="Arial" w:eastAsia="Arial" w:hAnsi="Arial"/>
                <w:sz w:val="18"/>
                <w:szCs w:val="18"/>
                <w:color w:val="auto"/>
              </w:rPr>
              <w:t>879,481,488</w:t>
            </w:r>
          </w:p>
        </w:tc>
        <w:tc>
          <w:tcPr>
            <w:tcW w:w="62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4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4,022,720</w:t>
            </w:r>
          </w:p>
        </w:tc>
        <w:tc>
          <w:tcPr>
            <w:tcW w:w="620" w:type="dxa"/>
            <w:vAlign w:val="bottom"/>
            <w:shd w:val="clear" w:color="auto" w:fill="CCEEFF"/>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Broker Non-Votes</w:t>
            </w:r>
          </w:p>
        </w:tc>
        <w:tc>
          <w:tcPr>
            <w:tcW w:w="4620" w:type="dxa"/>
            <w:vAlign w:val="bottom"/>
          </w:tcPr>
          <w:p>
            <w:pPr>
              <w:jc w:val="right"/>
              <w:ind w:right="130"/>
              <w:spacing w:after="0"/>
              <w:rPr>
                <w:sz w:val="20"/>
                <w:szCs w:val="20"/>
                <w:color w:val="auto"/>
              </w:rPr>
            </w:pPr>
            <w:r>
              <w:rPr>
                <w:rFonts w:ascii="Arial" w:cs="Arial" w:eastAsia="Arial" w:hAnsi="Arial"/>
                <w:sz w:val="18"/>
                <w:szCs w:val="18"/>
                <w:color w:val="auto"/>
              </w:rPr>
              <w:t>136,963,862</w:t>
            </w:r>
          </w:p>
        </w:tc>
        <w:tc>
          <w:tcPr>
            <w:tcW w:w="620" w:type="dxa"/>
            <w:vAlign w:val="bottom"/>
          </w:tcPr>
          <w:p>
            <w:pPr>
              <w:spacing w:after="0"/>
              <w:rPr>
                <w:sz w:val="20"/>
                <w:szCs w:val="20"/>
                <w:color w:val="auto"/>
              </w:rPr>
            </w:pPr>
          </w:p>
        </w:tc>
      </w:tr>
    </w:tbl>
    <w:p>
      <w:pPr>
        <w:spacing w:after="0" w:line="183" w:lineRule="exact"/>
        <w:rPr>
          <w:sz w:val="20"/>
          <w:szCs w:val="20"/>
          <w:color w:val="auto"/>
        </w:rPr>
      </w:pPr>
    </w:p>
    <w:p>
      <w:pPr>
        <w:ind w:left="4" w:right="360" w:hanging="4"/>
        <w:spacing w:after="0" w:line="277" w:lineRule="auto"/>
        <w:tabs>
          <w:tab w:leader="none" w:pos="393"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Shareholder Proposal Regarding Human Rights Policy Implementation. </w:t>
      </w:r>
      <w:r>
        <w:rPr>
          <w:rFonts w:ascii="Arial" w:cs="Arial" w:eastAsia="Arial" w:hAnsi="Arial"/>
          <w:sz w:val="18"/>
          <w:szCs w:val="18"/>
          <w:color w:val="auto"/>
        </w:rPr>
        <w:t>GM’s shareholders did not approve the shareholder proposal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regarding human rights policy implementation.</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4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340,067,942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4620" w:type="dxa"/>
            <w:vAlign w:val="bottom"/>
          </w:tcPr>
          <w:p>
            <w:pPr>
              <w:jc w:val="right"/>
              <w:ind w:right="130"/>
              <w:spacing w:after="0"/>
              <w:rPr>
                <w:sz w:val="20"/>
                <w:szCs w:val="20"/>
                <w:color w:val="auto"/>
              </w:rPr>
            </w:pPr>
            <w:r>
              <w:rPr>
                <w:rFonts w:ascii="Arial" w:cs="Arial" w:eastAsia="Arial" w:hAnsi="Arial"/>
                <w:sz w:val="18"/>
                <w:szCs w:val="18"/>
                <w:color w:val="auto"/>
              </w:rPr>
              <w:t>715,980,094</w:t>
            </w:r>
          </w:p>
        </w:tc>
        <w:tc>
          <w:tcPr>
            <w:tcW w:w="62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4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55,686,352</w:t>
            </w:r>
          </w:p>
        </w:tc>
        <w:tc>
          <w:tcPr>
            <w:tcW w:w="620" w:type="dxa"/>
            <w:vAlign w:val="bottom"/>
            <w:shd w:val="clear" w:color="auto" w:fill="CCEEFF"/>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Broker Non-Votes</w:t>
            </w:r>
          </w:p>
        </w:tc>
        <w:tc>
          <w:tcPr>
            <w:tcW w:w="4620" w:type="dxa"/>
            <w:vAlign w:val="bottom"/>
          </w:tcPr>
          <w:p>
            <w:pPr>
              <w:jc w:val="right"/>
              <w:ind w:right="130"/>
              <w:spacing w:after="0"/>
              <w:rPr>
                <w:sz w:val="20"/>
                <w:szCs w:val="20"/>
                <w:color w:val="auto"/>
              </w:rPr>
            </w:pPr>
            <w:r>
              <w:rPr>
                <w:rFonts w:ascii="Arial" w:cs="Arial" w:eastAsia="Arial" w:hAnsi="Arial"/>
                <w:sz w:val="18"/>
                <w:szCs w:val="18"/>
                <w:color w:val="auto"/>
              </w:rPr>
              <w:t>136,963,862</w:t>
            </w:r>
          </w:p>
        </w:tc>
        <w:tc>
          <w:tcPr>
            <w:tcW w:w="620" w:type="dxa"/>
            <w:vAlign w:val="bottom"/>
          </w:tcPr>
          <w:p>
            <w:pPr>
              <w:spacing w:after="0"/>
              <w:rPr>
                <w:sz w:val="20"/>
                <w:szCs w:val="20"/>
                <w:color w:val="auto"/>
              </w:rPr>
            </w:pPr>
          </w:p>
        </w:tc>
      </w:tr>
    </w:tbl>
    <w:p>
      <w:pPr>
        <w:spacing w:after="0" w:line="75" w:lineRule="exact"/>
        <w:rPr>
          <w:sz w:val="20"/>
          <w:szCs w:val="20"/>
          <w:color w:val="auto"/>
        </w:rPr>
      </w:pPr>
    </w:p>
    <w:p>
      <w:pPr>
        <w:ind w:left="4" w:hanging="4"/>
        <w:spacing w:after="0" w:line="277" w:lineRule="auto"/>
        <w:tabs>
          <w:tab w:leader="none" w:pos="393"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Shareholder Proposal Regarding Report on Lobbying Communications and Activities. </w:t>
      </w:r>
      <w:r>
        <w:rPr>
          <w:rFonts w:ascii="Arial" w:cs="Arial" w:eastAsia="Arial" w:hAnsi="Arial"/>
          <w:sz w:val="18"/>
          <w:szCs w:val="18"/>
          <w:color w:val="auto"/>
        </w:rPr>
        <w:t>GM’s shareholders did not approve the shareholder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proposal regarding lobbying communications and activities.</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Votes For</w:t>
            </w:r>
          </w:p>
        </w:tc>
        <w:tc>
          <w:tcPr>
            <w:tcW w:w="4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364,474,084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Votes Against</w:t>
            </w:r>
          </w:p>
        </w:tc>
        <w:tc>
          <w:tcPr>
            <w:tcW w:w="4620" w:type="dxa"/>
            <w:vAlign w:val="bottom"/>
          </w:tcPr>
          <w:p>
            <w:pPr>
              <w:jc w:val="right"/>
              <w:ind w:right="130"/>
              <w:spacing w:after="0"/>
              <w:rPr>
                <w:sz w:val="20"/>
                <w:szCs w:val="20"/>
                <w:color w:val="auto"/>
              </w:rPr>
            </w:pPr>
            <w:r>
              <w:rPr>
                <w:rFonts w:ascii="Arial" w:cs="Arial" w:eastAsia="Arial" w:hAnsi="Arial"/>
                <w:sz w:val="18"/>
                <w:szCs w:val="18"/>
                <w:color w:val="auto"/>
              </w:rPr>
              <w:t>735,888,033</w:t>
            </w:r>
          </w:p>
        </w:tc>
        <w:tc>
          <w:tcPr>
            <w:tcW w:w="62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Abstentions</w:t>
            </w:r>
          </w:p>
        </w:tc>
        <w:tc>
          <w:tcPr>
            <w:tcW w:w="4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11,372,271</w:t>
            </w:r>
          </w:p>
        </w:tc>
        <w:tc>
          <w:tcPr>
            <w:tcW w:w="620" w:type="dxa"/>
            <w:vAlign w:val="bottom"/>
            <w:shd w:val="clear" w:color="auto" w:fill="CCEEFF"/>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Broker Non-Votes</w:t>
            </w:r>
          </w:p>
        </w:tc>
        <w:tc>
          <w:tcPr>
            <w:tcW w:w="4620" w:type="dxa"/>
            <w:vAlign w:val="bottom"/>
          </w:tcPr>
          <w:p>
            <w:pPr>
              <w:jc w:val="right"/>
              <w:ind w:right="130"/>
              <w:spacing w:after="0"/>
              <w:rPr>
                <w:sz w:val="20"/>
                <w:szCs w:val="20"/>
                <w:color w:val="auto"/>
              </w:rPr>
            </w:pPr>
            <w:r>
              <w:rPr>
                <w:rFonts w:ascii="Arial" w:cs="Arial" w:eastAsia="Arial" w:hAnsi="Arial"/>
                <w:sz w:val="18"/>
                <w:szCs w:val="18"/>
                <w:color w:val="auto"/>
              </w:rPr>
              <w:t>136,963,862</w:t>
            </w:r>
          </w:p>
        </w:tc>
        <w:tc>
          <w:tcPr>
            <w:tcW w:w="620" w:type="dxa"/>
            <w:vAlign w:val="bottom"/>
          </w:tcPr>
          <w:p>
            <w:pPr>
              <w:spacing w:after="0"/>
              <w:rPr>
                <w:sz w:val="20"/>
                <w:szCs w:val="20"/>
                <w:color w:val="auto"/>
              </w:rPr>
            </w:pPr>
          </w:p>
        </w:tc>
      </w:tr>
    </w:tbl>
    <w:p>
      <w:pPr>
        <w:sectPr>
          <w:pgSz w:w="11900" w:h="16838" w:orient="portrait"/>
          <w:cols w:equalWidth="0" w:num="1">
            <w:col w:w="10504"/>
          </w:cols>
          <w:pgMar w:left="876" w:top="297" w:right="51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98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Rick E. Hansen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Assistant 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18, 2020</w:t>
      </w:r>
    </w:p>
    <w:sectPr>
      <w:pgSz w:w="11900" w:h="16838" w:orient="portrait"/>
      <w:cols w:equalWidth="0" w:num="1">
        <w:col w:w="10320"/>
      </w:cols>
      <w:pgMar w:left="440" w:top="29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lvl w:ilvl="1">
      <w:lvlJc w:val="left"/>
      <w:lvlText w:val="(%2)"/>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1)"/>
      <w:numFmt w:val="decimal"/>
      <w:start w:val="8"/>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2020-06-18T15:31:52Z</dcterms:created>
  <dcterms:modified xsi:type="dcterms:W3CDTF">2020-06-18T15:31:52Z</dcterms:modified>
</cp:coreProperties>
</file>