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9,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ind w:left="1300" w:right="4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 Neville Isdell, a member of the Board of Directors (the "Board") of General Motors Company ("GM") retired from the Board pursuant to the Board's retirement age policy effective June 9, 2015.</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22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At its meeting on June 9, 2015, the Board approved an amendment to its bylaws to delete section 3.7 reflecting the immediate dissolution of the Public Policy Committee of the Board and to renumber the remaining sections of Article III of the bylaws. In addition, the Board approved an amendment to former section 3.8 (section 3.7 as amended) of the bylaws changing the name of the “Directors and Corporate Governance Committee” to the “Governance and Corporate Responsibility Committee” and updating the description of the Governance and Corporate Responsibility Committee responsibilities. The Board also approved conforming amendments to section 3.1 of the bylaws to update the name of the Governance and Corporate Responsibility Committee and to remove the Public Policy Committee from the list of the standing committees of the Board. All amendments were effective immediately.</w:t>
      </w:r>
    </w:p>
    <w:p>
      <w:pPr>
        <w:spacing w:after="0" w:line="16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above description of the amendments to GM’s bylaws does not purport to be complete, and is qualified in its entirety by reference to the full text of Article III of the bylaws as amended, set forth in Exhibit 3.1 to this Form 8-K and incorporated in this Item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the stockholders of GM was held on June 9, 2015. The final votes on the matters submitted to the stockholders were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No. 1-Election of Directors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480" w:type="dxa"/>
            <w:vAlign w:val="bottom"/>
            <w:tcBorders>
              <w:top w:val="single" w:sz="8" w:color="auto"/>
              <w:left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Broker</w:t>
            </w:r>
          </w:p>
        </w:tc>
      </w:tr>
      <w:tr>
        <w:trPr>
          <w:trHeight w:val="234"/>
        </w:trPr>
        <w:tc>
          <w:tcPr>
            <w:tcW w:w="448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Nominee</w:t>
            </w:r>
          </w:p>
        </w:tc>
        <w:tc>
          <w:tcPr>
            <w:tcW w:w="196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1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Abstain</w:t>
            </w:r>
          </w:p>
        </w:tc>
        <w:tc>
          <w:tcPr>
            <w:tcW w:w="15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Non-Votes</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Joseph J. Ashton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1,193,144,593</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13,065,478</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4,178,710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Mary T. Barra</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1,198,973,778</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7,360,223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4,054,780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Stephen J. Girsky</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1,202,949,574</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3,353,405</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4,085,802</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Linda R. Gooden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1,202,269,957</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3,937,981</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4,180,843</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Joseph Jimenez Jr.</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1,204,736,147</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1,455,728</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4,196,906</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Kathryn V. Marinello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1,204,707,164</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1,548,534</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4,133,083</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Michael G. Mullen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1,203,025,922</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1,345,740</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6,017,119</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James J. Mulva</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1,204,898,873</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1,338,280</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4,151,628</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Patricia F. Russo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1,139,980,042</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64,969,889</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5,438,850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Thomas M. Schoewe</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1,205,095,241</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1,169,555</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4,123,985</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Theodore M. Solso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1,200,468,628</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5,412,448</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4,507,705</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Carol M. Stephenson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1,198,552,887</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7,760,135</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4,075,759</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163,534,713</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John Lauve</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1,210,388,881</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163,534,461</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Dean Fitzpatrick</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1,210,388,881</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163,534,612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No. 2-Ratification of the Selection of Deloitte &amp; Touche LLP as GM's Independent Registered Public Accounting Firm for 2015</w:t>
      </w:r>
    </w:p>
    <w:p>
      <w:pPr>
        <w:spacing w:after="0" w:line="355"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2620" w:type="dxa"/>
            <w:vAlign w:val="bottom"/>
            <w:tcBorders>
              <w:top w:val="single" w:sz="8" w:color="auto"/>
              <w:left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top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1,358,270,844</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11,100,655</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4,552,096</w:t>
            </w:r>
          </w:p>
        </w:tc>
        <w:tc>
          <w:tcPr>
            <w:tcW w:w="2560" w:type="dxa"/>
            <w:vAlign w:val="bottom"/>
            <w:tcBorders>
              <w:right w:val="single" w:sz="8" w:color="auto"/>
            </w:tcBorders>
          </w:tcPr>
          <w:p>
            <w:pPr>
              <w:ind w:left="2260"/>
              <w:spacing w:after="0"/>
              <w:rPr>
                <w:sz w:val="20"/>
                <w:szCs w:val="20"/>
                <w:color w:val="auto"/>
              </w:rPr>
            </w:pPr>
            <w:r>
              <w:rPr>
                <w:rFonts w:ascii="Arial" w:cs="Arial" w:eastAsia="Arial" w:hAnsi="Arial"/>
                <w:sz w:val="18"/>
                <w:szCs w:val="18"/>
                <w:b w:val="1"/>
                <w:bCs w:val="1"/>
                <w:color w:val="auto"/>
              </w:rPr>
              <w: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No. 3-Advisory Vote to Approve Executive Compensation</w:t>
      </w:r>
    </w:p>
    <w:p>
      <w:pPr>
        <w:sectPr>
          <w:pgSz w:w="11900" w:h="16838" w:orient="portrait"/>
          <w:cols w:equalWidth="0" w:num="1">
            <w:col w:w="11440"/>
          </w:cols>
          <w:pgMar w:left="240" w:top="58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640" w:type="dxa"/>
            <w:vAlign w:val="bottom"/>
            <w:tcBorders>
              <w:top w:val="single" w:sz="8" w:color="auto"/>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gridSpan w:val="2"/>
          </w:tcPr>
          <w:p>
            <w:pPr>
              <w:jc w:val="right"/>
              <w:ind w:right="1020"/>
              <w:spacing w:after="0"/>
              <w:rPr>
                <w:sz w:val="20"/>
                <w:szCs w:val="20"/>
                <w:color w:val="auto"/>
              </w:rPr>
            </w:pPr>
            <w:r>
              <w:rPr>
                <w:rFonts w:ascii="Arial" w:cs="Arial" w:eastAsia="Arial" w:hAnsi="Arial"/>
                <w:sz w:val="18"/>
                <w:szCs w:val="18"/>
                <w:b w:val="1"/>
                <w:bCs w:val="1"/>
                <w:color w:val="auto"/>
              </w:rPr>
              <w:t>Against</w:t>
            </w:r>
          </w:p>
        </w:tc>
        <w:tc>
          <w:tcPr>
            <w:tcW w:w="3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800" w:type="dxa"/>
            <w:vAlign w:val="bottom"/>
            <w:tcBorders>
              <w:top w:val="single" w:sz="8" w:color="auto"/>
              <w:right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1,178,105,666</w:t>
            </w:r>
          </w:p>
        </w:tc>
        <w:tc>
          <w:tcPr>
            <w:tcW w:w="2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25,921,527</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6,361,689</w:t>
            </w:r>
          </w:p>
        </w:tc>
        <w:tc>
          <w:tcPr>
            <w:tcW w:w="2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163,534,713</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466"/>
        </w:trPr>
        <w:tc>
          <w:tcPr>
            <w:tcW w:w="6540" w:type="dxa"/>
            <w:vAlign w:val="bottom"/>
            <w:gridSpan w:val="11"/>
          </w:tcPr>
          <w:p>
            <w:pPr>
              <w:spacing w:after="0"/>
              <w:rPr>
                <w:sz w:val="20"/>
                <w:szCs w:val="20"/>
                <w:color w:val="auto"/>
              </w:rPr>
            </w:pPr>
            <w:r>
              <w:rPr>
                <w:rFonts w:ascii="Arial" w:cs="Arial" w:eastAsia="Arial" w:hAnsi="Arial"/>
                <w:sz w:val="18"/>
                <w:szCs w:val="18"/>
                <w:color w:val="auto"/>
              </w:rPr>
              <w:t>Item No. 4-Stockholder Proposal Regarding Independent Board Chairman</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Borders>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right w:val="single" w:sz="8" w:color="auto"/>
            </w:tcBorders>
            <w:gridSpan w:val="2"/>
          </w:tcPr>
          <w:p>
            <w:pPr>
              <w:jc w:val="right"/>
              <w:ind w:right="1020"/>
              <w:spacing w:after="0"/>
              <w:rPr>
                <w:sz w:val="20"/>
                <w:szCs w:val="20"/>
                <w:color w:val="auto"/>
              </w:rPr>
            </w:pPr>
            <w:r>
              <w:rPr>
                <w:rFonts w:ascii="Arial" w:cs="Arial" w:eastAsia="Arial" w:hAnsi="Arial"/>
                <w:sz w:val="18"/>
                <w:szCs w:val="18"/>
                <w:b w:val="1"/>
                <w:bCs w:val="1"/>
                <w:color w:val="auto"/>
              </w:rPr>
              <w:t>Against</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428,390,566</w:t>
            </w:r>
          </w:p>
        </w:tc>
        <w:tc>
          <w:tcPr>
            <w:tcW w:w="2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775,878,705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6,119,611</w:t>
            </w:r>
          </w:p>
        </w:tc>
        <w:tc>
          <w:tcPr>
            <w:tcW w:w="2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163,534,713</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426"/>
        </w:trPr>
        <w:tc>
          <w:tcPr>
            <w:tcW w:w="6540" w:type="dxa"/>
            <w:vAlign w:val="bottom"/>
            <w:gridSpan w:val="11"/>
          </w:tcPr>
          <w:p>
            <w:pPr>
              <w:spacing w:after="0"/>
              <w:rPr>
                <w:sz w:val="20"/>
                <w:szCs w:val="20"/>
                <w:color w:val="auto"/>
              </w:rPr>
            </w:pPr>
            <w:r>
              <w:rPr>
                <w:rFonts w:ascii="Arial" w:cs="Arial" w:eastAsia="Arial" w:hAnsi="Arial"/>
                <w:sz w:val="18"/>
                <w:szCs w:val="18"/>
                <w:color w:val="auto"/>
              </w:rPr>
              <w:t>Item No. 5-Stockholder Proposal Regarding Cumulative Voting</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Borders>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right w:val="single" w:sz="8" w:color="auto"/>
            </w:tcBorders>
            <w:gridSpan w:val="2"/>
          </w:tcPr>
          <w:p>
            <w:pPr>
              <w:jc w:val="right"/>
              <w:ind w:right="1020"/>
              <w:spacing w:after="0"/>
              <w:rPr>
                <w:sz w:val="20"/>
                <w:szCs w:val="20"/>
                <w:color w:val="auto"/>
              </w:rPr>
            </w:pPr>
            <w:r>
              <w:rPr>
                <w:rFonts w:ascii="Arial" w:cs="Arial" w:eastAsia="Arial" w:hAnsi="Arial"/>
                <w:sz w:val="18"/>
                <w:szCs w:val="18"/>
                <w:b w:val="1"/>
                <w:bCs w:val="1"/>
                <w:color w:val="auto"/>
              </w:rPr>
              <w:t>Against</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437,718,307</w:t>
            </w:r>
          </w:p>
        </w:tc>
        <w:tc>
          <w:tcPr>
            <w:tcW w:w="2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767,825,515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4,845,060</w:t>
            </w:r>
          </w:p>
        </w:tc>
        <w:tc>
          <w:tcPr>
            <w:tcW w:w="2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163,534,713</w:t>
            </w:r>
          </w:p>
        </w:tc>
      </w:tr>
      <w:tr>
        <w:trPr>
          <w:trHeight w:val="27"/>
        </w:trPr>
        <w:tc>
          <w:tcPr>
            <w:tcW w:w="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642"/>
        </w:trPr>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5460" w:type="dxa"/>
            <w:vAlign w:val="bottom"/>
            <w:gridSpan w:val="7"/>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4"/>
          </w:tcPr>
          <w:p>
            <w:pPr>
              <w:ind w:left="2120"/>
              <w:spacing w:after="0"/>
              <w:rPr>
                <w:sz w:val="20"/>
                <w:szCs w:val="20"/>
                <w:color w:val="auto"/>
              </w:rPr>
            </w:pPr>
            <w:r>
              <w:rPr>
                <w:rFonts w:ascii="Arial" w:cs="Arial" w:eastAsia="Arial" w:hAnsi="Arial"/>
                <w:sz w:val="18"/>
                <w:szCs w:val="18"/>
                <w:b w:val="1"/>
                <w:bCs w:val="1"/>
                <w:color w:val="auto"/>
              </w:rPr>
              <w:t>EXHIBITS</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7"/>
              </w:rPr>
              <w:t>Exhibit 3.1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gridSpan w:val="6"/>
          </w:tcPr>
          <w:p>
            <w:pPr>
              <w:spacing w:after="0"/>
              <w:rPr>
                <w:sz w:val="20"/>
                <w:szCs w:val="20"/>
                <w:color w:val="auto"/>
              </w:rPr>
            </w:pPr>
            <w:r>
              <w:rPr>
                <w:rFonts w:ascii="Arial" w:cs="Arial" w:eastAsia="Arial" w:hAnsi="Arial"/>
                <w:sz w:val="18"/>
                <w:szCs w:val="18"/>
                <w:color w:val="auto"/>
                <w:w w:val="95"/>
              </w:rPr>
              <w:t>Article III of the Bylaws of General Motors Company, as amended</w:t>
            </w:r>
          </w:p>
        </w:tc>
        <w:tc>
          <w:tcPr>
            <w:tcW w:w="138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0900"/>
          </w:cols>
          <w:pgMar w:left="240" w:top="714" w:right="7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June 12, 2015</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5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standing committees of the board shall include the audit committee, the governance and corporate responsibility committee, the executive compensation committee, the finance committee, and the risk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3.4</w:t>
      </w:r>
      <w:r>
        <w:rPr>
          <w:sz w:val="20"/>
          <w:szCs w:val="20"/>
          <w:color w:val="auto"/>
        </w:rPr>
        <w:tab/>
      </w:r>
      <w:r>
        <w:rPr>
          <w:rFonts w:ascii="Arial" w:cs="Arial" w:eastAsia="Arial" w:hAnsi="Arial"/>
          <w:sz w:val="18"/>
          <w:szCs w:val="18"/>
          <w:b w:val="1"/>
          <w:bCs w:val="1"/>
          <w:i w:val="1"/>
          <w:iCs w:val="1"/>
          <w:color w:val="auto"/>
        </w:rPr>
        <w:t>Finance Committee.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finance committee shall be responsible for assisting the board of directors in its oversight of the Corporation’s financial policies and strategies, including its capital structure. In addition, the committee shall periodically receive reports regarding U.S. employee benefit plans for the purpose of reviewing the</w:t>
      </w:r>
    </w:p>
    <w:p>
      <w:pPr>
        <w:sectPr>
          <w:pgSz w:w="11900" w:h="16838" w:orient="portrait"/>
          <w:cols w:equalWidth="0" w:num="1">
            <w:col w:w="11420"/>
          </w:cols>
          <w:pgMar w:left="240" w:top="576" w:right="2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22"/>
          <w:szCs w:val="22"/>
          <w:color w:val="auto"/>
        </w:rPr>
        <w:t>administration, financing, investment performance, risk and liability profile, and funding of such plans, in each case including with respect to regulatory compliance.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3.7</w:t>
      </w:r>
      <w:r>
        <w:rPr>
          <w:sz w:val="20"/>
          <w:szCs w:val="20"/>
          <w:color w:val="auto"/>
        </w:rPr>
        <w:tab/>
      </w:r>
      <w:r>
        <w:rPr>
          <w:rFonts w:ascii="Arial" w:cs="Arial" w:eastAsia="Arial" w:hAnsi="Arial"/>
          <w:sz w:val="18"/>
          <w:szCs w:val="18"/>
          <w:b w:val="1"/>
          <w:bCs w:val="1"/>
          <w:i w:val="1"/>
          <w:iCs w:val="1"/>
          <w:color w:val="auto"/>
        </w:rPr>
        <w:t>Governance and Corporate Responsibility Committee.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governance and corporate responsibility committee shall be responsible for matters related to corporate governance, service on the board of directors of the Corporation, and issues associated with corporate responsibility.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 In addition, the committee shall oversee the Corporation’s policies and/or strategies related to corporate responsibility, sustainability and political contributions.</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3.8</w:t>
      </w:r>
      <w:r>
        <w:rPr>
          <w:sz w:val="20"/>
          <w:szCs w:val="20"/>
          <w:color w:val="auto"/>
        </w:rPr>
        <w:tab/>
      </w:r>
      <w:r>
        <w:rPr>
          <w:rFonts w:ascii="Arial" w:cs="Arial" w:eastAsia="Arial" w:hAnsi="Arial"/>
          <w:sz w:val="18"/>
          <w:szCs w:val="18"/>
          <w:b w:val="1"/>
          <w:bCs w:val="1"/>
          <w:i w:val="1"/>
          <w:iCs w:val="1"/>
          <w:color w:val="auto"/>
        </w:rPr>
        <w:t>Risk Committee.</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risk committee shall be responsible for assisting and actively advising the board of directors in fulfilling its oversight responsibilities with regard to management’s identification, evaluation and treatment of the Company’s strategic operating risk exposures inherent in the business that could materially impact the Company’s reputation and/or operating results and the Company’s risk management framework including policies, procedures and practices employed to assess and manage its major strategic risks related to operations.</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2019-12-08T22:04:41Z</dcterms:created>
  <dcterms:modified xsi:type="dcterms:W3CDTF">2019-12-08T22:04:41Z</dcterms:modified>
</cp:coreProperties>
</file>