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Stevens Charles K.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Executive Vice President &amp; CFO</w:t>
      </w:r>
    </w:p>
    <w:p>
      <w:pPr>
        <w:spacing w:after="0" w:line="471" w:lineRule="exact"/>
        <w:rPr>
          <w:sz w:val="24"/>
          <w:szCs w:val="24"/>
          <w:color w:val="auto"/>
        </w:rPr>
      </w:pPr>
    </w:p>
    <w:p>
      <w:pPr>
        <w:sectPr>
          <w:pgSz w:w="11900" w:h="16838" w:orient="portrait"/>
          <w:cols w:equalWidth="0" w:num="3">
            <w:col w:w="3360" w:space="720"/>
            <w:col w:w="3257" w:space="720"/>
            <w:col w:w="3423"/>
          </w:cols>
          <w:pgMar w:left="240" w:top="226" w:right="17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3"/>
          </w:tcPr>
          <w:p>
            <w:pPr>
              <w:ind w:left="160"/>
              <w:spacing w:after="0" w:line="181" w:lineRule="exact"/>
              <w:rPr>
                <w:sz w:val="20"/>
                <w:szCs w:val="20"/>
                <w:color w:val="auto"/>
              </w:rPr>
            </w:pPr>
            <w:r>
              <w:rPr>
                <w:rFonts w:ascii="Arial" w:cs="Arial" w:eastAsia="Arial" w:hAnsi="Arial"/>
                <w:sz w:val="18"/>
                <w:szCs w:val="18"/>
                <w:color w:val="0000FF"/>
              </w:rPr>
              <w:t>04/02/2015</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9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jc w:val="center"/>
              <w:ind w:left="625"/>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5" w:lineRule="exact"/>
              <w:rPr>
                <w:sz w:val="20"/>
                <w:szCs w:val="20"/>
                <w:color w:val="auto"/>
              </w:rPr>
            </w:pPr>
            <w:r>
              <w:rPr>
                <w:rFonts w:ascii="Arial" w:cs="Arial" w:eastAsia="Arial" w:hAnsi="Arial"/>
                <w:sz w:val="12"/>
                <w:szCs w:val="12"/>
                <w:b w:val="1"/>
                <w:bCs w:val="1"/>
                <w:color w:val="auto"/>
                <w:w w:val="99"/>
              </w:rPr>
              <w:t>(A) or</w:t>
            </w:r>
          </w:p>
        </w:tc>
        <w:tc>
          <w:tcPr>
            <w:tcW w:w="7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5"/>
              </w:rPr>
              <w:t>Common Stock</w:t>
            </w:r>
            <w:r>
              <w:rPr>
                <w:rFonts w:ascii="Arial" w:cs="Arial" w:eastAsia="Arial" w:hAnsi="Arial"/>
                <w:sz w:val="22"/>
                <w:szCs w:val="22"/>
                <w:color w:val="008000"/>
                <w:w w:val="95"/>
                <w:vertAlign w:val="superscript"/>
              </w:rPr>
              <w:t>(1)(2)</w:t>
            </w: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rPr>
              <w:t>M</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6"/>
              </w:rPr>
              <w:t>212</w:t>
            </w:r>
          </w:p>
        </w:tc>
        <w:tc>
          <w:tcPr>
            <w:tcW w:w="6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center"/>
              <w:ind w:left="26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27,340</w:t>
            </w:r>
            <w:r>
              <w:rPr>
                <w:rFonts w:ascii="Arial" w:cs="Arial" w:eastAsia="Arial" w:hAnsi="Arial"/>
                <w:sz w:val="22"/>
                <w:szCs w:val="22"/>
                <w:color w:val="008000"/>
                <w:vertAlign w:val="superscript"/>
              </w:rPr>
              <w:t>(1)</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15"/>
              <w:spacing w:after="0"/>
              <w:rPr>
                <w:sz w:val="20"/>
                <w:szCs w:val="20"/>
                <w:color w:val="auto"/>
              </w:rPr>
            </w:pPr>
            <w:r>
              <w:rPr>
                <w:rFonts w:ascii="Arial" w:cs="Arial" w:eastAsia="Arial" w:hAnsi="Arial"/>
                <w:sz w:val="14"/>
                <w:szCs w:val="14"/>
                <w:color w:val="0000FF"/>
                <w:w w:val="98"/>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6"/>
              </w:rPr>
              <w:t>112</w:t>
            </w:r>
          </w:p>
        </w:tc>
        <w:tc>
          <w:tcPr>
            <w:tcW w:w="6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ind w:left="4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6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27,228</w:t>
            </w:r>
            <w:r>
              <w:rPr>
                <w:rFonts w:ascii="Arial" w:cs="Arial" w:eastAsia="Arial" w:hAnsi="Arial"/>
                <w:sz w:val="22"/>
                <w:szCs w:val="22"/>
                <w:color w:val="008000"/>
                <w:vertAlign w:val="superscript"/>
              </w:rPr>
              <w:t>(1)</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92"/>
              </w:rPr>
              <w:t>F</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6"/>
              </w:rPr>
              <w:t>100</w:t>
            </w:r>
          </w:p>
        </w:tc>
        <w:tc>
          <w:tcPr>
            <w:tcW w:w="6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ind w:left="4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6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27,128</w:t>
            </w:r>
            <w:r>
              <w:rPr>
                <w:rFonts w:ascii="Arial" w:cs="Arial" w:eastAsia="Arial" w:hAnsi="Arial"/>
                <w:sz w:val="22"/>
                <w:szCs w:val="22"/>
                <w:color w:val="008000"/>
                <w:vertAlign w:val="superscript"/>
              </w:rPr>
              <w:t>(1)</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rPr>
              <w:t>M</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6"/>
              </w:rPr>
              <w:t>125</w:t>
            </w:r>
          </w:p>
        </w:tc>
        <w:tc>
          <w:tcPr>
            <w:tcW w:w="6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center"/>
              <w:ind w:left="26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27,253</w:t>
            </w:r>
            <w:r>
              <w:rPr>
                <w:rFonts w:ascii="Arial" w:cs="Arial" w:eastAsia="Arial" w:hAnsi="Arial"/>
                <w:sz w:val="22"/>
                <w:szCs w:val="22"/>
                <w:color w:val="008000"/>
                <w:vertAlign w:val="superscript"/>
              </w:rPr>
              <w:t>(1)</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15"/>
              <w:spacing w:after="0"/>
              <w:rPr>
                <w:sz w:val="20"/>
                <w:szCs w:val="20"/>
                <w:color w:val="auto"/>
              </w:rPr>
            </w:pPr>
            <w:r>
              <w:rPr>
                <w:rFonts w:ascii="Arial" w:cs="Arial" w:eastAsia="Arial" w:hAnsi="Arial"/>
                <w:sz w:val="14"/>
                <w:szCs w:val="14"/>
                <w:color w:val="0000FF"/>
                <w:w w:val="98"/>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9"/>
              </w:rPr>
              <w:t>65</w:t>
            </w:r>
          </w:p>
        </w:tc>
        <w:tc>
          <w:tcPr>
            <w:tcW w:w="6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ind w:left="4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6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27,188</w:t>
            </w:r>
            <w:r>
              <w:rPr>
                <w:rFonts w:ascii="Arial" w:cs="Arial" w:eastAsia="Arial" w:hAnsi="Arial"/>
                <w:sz w:val="22"/>
                <w:szCs w:val="22"/>
                <w:color w:val="008000"/>
                <w:vertAlign w:val="superscript"/>
              </w:rPr>
              <w:t>(1)</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92"/>
              </w:rPr>
              <w:t>F</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9"/>
              </w:rPr>
              <w:t>60</w:t>
            </w:r>
          </w:p>
        </w:tc>
        <w:tc>
          <w:tcPr>
            <w:tcW w:w="6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ind w:left="4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6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27,128</w:t>
            </w:r>
            <w:r>
              <w:rPr>
                <w:rFonts w:ascii="Arial" w:cs="Arial" w:eastAsia="Arial" w:hAnsi="Arial"/>
                <w:sz w:val="22"/>
                <w:szCs w:val="22"/>
                <w:color w:val="008000"/>
                <w:vertAlign w:val="superscript"/>
              </w:rPr>
              <w:t>(1)</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6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2"/>
          </w:tcPr>
          <w:p>
            <w:pPr>
              <w:ind w:lef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(5)</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212</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03/31/2015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212</w:t>
            </w: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320" w:type="dxa"/>
            <w:vAlign w:val="bottom"/>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(6)</w:t>
            </w:r>
          </w:p>
        </w:tc>
        <w:tc>
          <w:tcPr>
            <w:tcW w:w="6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restart"/>
          </w:tcPr>
          <w:p>
            <w:pPr>
              <w:ind w:left="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jc w:val="right"/>
              <w:ind w:right="178"/>
              <w:spacing w:after="0" w:line="146" w:lineRule="exact"/>
              <w:rPr>
                <w:sz w:val="20"/>
                <w:szCs w:val="20"/>
                <w:color w:val="auto"/>
              </w:rPr>
            </w:pPr>
            <w:r>
              <w:rPr>
                <w:rFonts w:ascii="Arial" w:cs="Arial" w:eastAsia="Arial" w:hAnsi="Arial"/>
                <w:sz w:val="14"/>
                <w:szCs w:val="14"/>
                <w:color w:val="0000FF"/>
              </w:rPr>
              <w:t>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(5)</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125</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03/31/2015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125</w:t>
            </w: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320" w:type="dxa"/>
            <w:vAlign w:val="bottom"/>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(6)</w:t>
            </w:r>
          </w:p>
        </w:tc>
        <w:tc>
          <w:tcPr>
            <w:tcW w:w="6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restart"/>
          </w:tcPr>
          <w:p>
            <w:pPr>
              <w:ind w:left="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125</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(7)</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amended Form 4 is being filed to correct the Form 4 filed by the Reporting Person on April 2, 2015 (the "Latest Form 4 Filing"), which incorrectly reported in Column 5 of Table I the amount of securities beneficially owned following each of the reported transactions. In a Form 4 filing that was filed on February 17, 2015, the shares withheld for tax withholding were inadvertently misstated, which overstated the amounts of shares beneficially owned by 113 shares. This error carried forward in subsequent Form 4 filings. Each of the amounts reported in Column 5 of Table I in the Latest Form 4 Filing was overstated by 113 shares.</w:t>
      </w:r>
    </w:p>
    <w:p>
      <w:pPr>
        <w:spacing w:after="0" w:line="31" w:lineRule="exact"/>
        <w:rPr>
          <w:rFonts w:ascii="Arial" w:cs="Arial" w:eastAsia="Arial" w:hAnsi="Arial"/>
          <w:sz w:val="14"/>
          <w:szCs w:val="14"/>
          <w:color w:val="008000"/>
        </w:rPr>
      </w:pPr>
    </w:p>
    <w:p>
      <w:pPr>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March 31, 2012 pursuant to the Company's Salary Stock Plan (the "GMSSP") and vested upon grant. The portion of this award currently payable was settled on March 31, 2015 in cash, less a portion withheld for taxes.</w:t>
      </w:r>
    </w:p>
    <w:p>
      <w:pPr>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March 31, 2013 pursuant to the Company's Salary Stock Plan (the "GMSSP") and vested upon grant. The portion of this award currently payable was settled on March 31, 2015 in cash, less a portion withheld for taxes.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March 31, 2012 and were settled on March 31, 2015.</w:t>
      </w:r>
    </w:p>
    <w:p>
      <w:pPr>
        <w:spacing w:after="0" w:line="41" w:lineRule="exact"/>
        <w:rPr>
          <w:rFonts w:ascii="Arial" w:cs="Arial" w:eastAsia="Arial" w:hAnsi="Arial"/>
          <w:sz w:val="14"/>
          <w:szCs w:val="14"/>
          <w:color w:val="008000"/>
        </w:rPr>
      </w:pPr>
    </w:p>
    <w:p>
      <w:pPr>
        <w:ind w:left="40" w:right="14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$37.75.</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March 31, 2013 and began being settled in three equal, annual installments on March 31, 2014.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07/02/2015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Stevens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467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6710" cy="8890"/>
                    </a:xfrm>
                    <a:prstGeom prst="rect">
                      <a:avLst/>
                    </a:prstGeom>
                    <a:noFill/>
                  </pic:spPr>
                </pic:pic>
              </a:graphicData>
            </a:graphic>
          </wp:anchor>
        </w:drawing>
      </w:r>
    </w:p>
    <w:p>
      <w:pPr>
        <w:sectPr>
          <w:pgSz w:w="11900" w:h="16838" w:orient="portrait"/>
          <w:cols w:equalWidth="0" w:num="1">
            <w:col w:w="11480"/>
          </w:cols>
          <w:pgMar w:left="240" w:top="226" w:right="179" w:bottom="0" w:gutter="0" w:footer="0" w:header="0"/>
          <w:type w:val="continuous"/>
        </w:sectPr>
      </w:pPr>
    </w:p>
    <w:p>
      <w:pPr>
        <w:spacing w:after="0" w:line="6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80"/>
          </w:cols>
          <w:pgMar w:left="240" w:top="226" w:right="17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714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2019-12-08T21:50:58Z</dcterms:created>
  <dcterms:modified xsi:type="dcterms:W3CDTF">2019-12-08T21:50:58Z</dcterms:modified>
</cp:coreProperties>
</file>