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0757827.xml.htm"/>
      <w:bookmarkStart w:id="1" w:name="kswkform4_17707578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Barra Mary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 WOODWARD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 482-22381-1003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DETROIT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48265-3000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General Motors Co</w:t>
              </w:r>
            </w:hyperlink>
            <w:r>
              <w:rPr/>
              <w:t xml:space="preserve"> [ </w:t>
            </w:r>
            <w:r>
              <w:rPr>
                <w:rFonts w:ascii="Times;serif" w:hAnsi="Times;serif"/>
                <w:color w:val="0000FF"/>
                <w:sz w:val="24"/>
                <w:shd w:fill="FFFFFF" w:val="clear"/>
              </w:rPr>
              <w:t>GM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1003"/>
        <w:gridCol w:w="438"/>
        <w:gridCol w:w="789"/>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42,730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499,161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17,627</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84.24</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481,534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521,778</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1,003,312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227,496</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84.24</w:t>
            </w:r>
            <w:r>
              <w:rPr>
                <w:rFonts w:ascii="Times;serif" w:hAnsi="Times;serif"/>
                <w:color w:val="008000"/>
                <w:position w:val="7"/>
                <w:sz w:val="16"/>
                <w:sz w:val="20"/>
                <w:shd w:fill="FFFFFF" w:val="clear"/>
              </w:rPr>
              <w:t>(2)</w:t>
            </w:r>
            <w:r>
              <w:rPr/>
              <w:t xml:space="preserve"> </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775,816</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71"/>
        <w:gridCol w:w="906"/>
        <w:gridCol w:w="801"/>
        <w:gridCol w:w="891"/>
        <w:gridCol w:w="80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42,730</w:t>
            </w:r>
            <w:r>
              <w:rPr>
                <w:rFonts w:ascii="Times;serif" w:hAnsi="Times;serif"/>
                <w:color w:val="008000"/>
                <w:position w:val="7"/>
                <w:sz w:val="16"/>
                <w:sz w:val="20"/>
                <w:shd w:fill="FFFFFF" w:val="clear"/>
              </w:rPr>
              <w:t>(4)</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42,730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42,729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converts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February 7, 2023, the Reporting Person received a grant of Performance Stock Units ("PSUs"). Under the grant, the PSUs could be earned based on the achievement of certain financial targets. The PSUs vested on February 7, 2026, and were awarded in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do not have a conversion or exercise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were awarded on February 6, 2024. Two-thirds of the RSUs vested on February 6, 2025 and on February 6, 2026, respectively. The remaining one-third will vest on February 6, 2027. Each RSU represents a right to receive one share of the Company's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do not have a date on which they become exercisable or expire.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Tia Y. Turk, Attorney-In-Fact for Ms. Barra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2154" TargetMode="External"/><Relationship Id="rId5" Type="http://schemas.openxmlformats.org/officeDocument/2006/relationships/hyperlink" Target="http://www.sec.gov/cgi-bin/browse-edgar?action=getcompany&amp;CIK=00014678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744</Words>
  <Characters>3922</Characters>
  <CharactersWithSpaces>4571</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