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 -101)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INFORMATION REQUIRED IN PROXY STATEMENT</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320"/>
          </w:cols>
          <w:pgMar w:left="240" w:top="233" w:right="339" w:bottom="1440" w:gutter="0" w:footer="0" w:header="0"/>
        </w:sectPr>
      </w:pP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8" w:lineRule="exact"/>
        <w:rPr>
          <w:sz w:val="24"/>
          <w:szCs w:val="24"/>
          <w:color w:val="auto"/>
        </w:rPr>
      </w:pPr>
    </w:p>
    <w:p>
      <w:pPr>
        <w:sectPr>
          <w:pgSz w:w="11900" w:h="16838" w:orient="portrait"/>
          <w:cols w:equalWidth="0" w:num="2">
            <w:col w:w="7340" w:space="520"/>
            <w:col w:w="3460"/>
          </w:cols>
          <w:pgMar w:left="240" w:top="233" w:right="339" w:bottom="1440" w:gutter="0" w:footer="0" w:header="0"/>
          <w:type w:val="continuous"/>
        </w:sect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PreliminaryProxy Statement</w:t>
      </w:r>
    </w:p>
    <w:p>
      <w:pPr>
        <w:spacing w:after="0" w:line="23"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800" w:hanging="333"/>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800" w:hanging="333"/>
        <w:spacing w:after="0"/>
        <w:tabs>
          <w:tab w:leader="none" w:pos="8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-2526665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-1523365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-442595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type w:val="continuous"/>
        </w:sectPr>
      </w:pPr>
    </w:p>
    <w:bookmarkStart w:id="1" w:name="page2"/>
    <w:bookmarkEnd w:id="1"/>
    <w:p>
      <w:pPr>
        <w:jc w:val="center"/>
        <w:ind w:right="4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53" w:lineRule="exact"/>
        <w:rPr>
          <w:sz w:val="20"/>
          <w:szCs w:val="20"/>
          <w:color w:val="auto"/>
        </w:rPr>
      </w:pPr>
    </w:p>
    <w:p>
      <w:pPr>
        <w:jc w:val="center"/>
        <w:ind w:right="42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1"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Stockholder Meeting to Be Held on June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49530</wp:posOffset>
            </wp:positionV>
            <wp:extent cx="3936365" cy="1517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36365" cy="1517650"/>
                    </a:xfrm>
                    <a:prstGeom prst="rect">
                      <a:avLst/>
                    </a:prstGeom>
                    <a:noFill/>
                  </pic:spPr>
                </pic:pic>
              </a:graphicData>
            </a:graphic>
          </wp:anchor>
        </w:drawing>
      </w:r>
    </w:p>
    <w:p>
      <w:pPr>
        <w:sectPr>
          <w:pgSz w:w="11900" w:h="16838" w:orient="portrait"/>
          <w:cols w:equalWidth="0" w:num="1">
            <w:col w:w="10980"/>
          </w:cols>
          <w:pgMar w:left="680" w:top="247" w:right="239" w:bottom="1440" w:gutter="0" w:footer="0" w:header="0"/>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MOTORS COMPANY</w:t>
      </w:r>
    </w:p>
    <w:p>
      <w:pPr>
        <w:spacing w:after="0" w:line="2" w:lineRule="exact"/>
        <w:rPr>
          <w:sz w:val="20"/>
          <w:szCs w:val="20"/>
          <w:color w:val="auto"/>
        </w:rPr>
      </w:pPr>
    </w:p>
    <w:p>
      <w:pPr>
        <w:ind w:right="1100"/>
        <w:spacing w:after="0" w:line="221" w:lineRule="auto"/>
        <w:rPr>
          <w:sz w:val="20"/>
          <w:szCs w:val="20"/>
          <w:color w:val="auto"/>
        </w:rPr>
      </w:pPr>
      <w:r>
        <w:rPr>
          <w:rFonts w:ascii="Arial" w:cs="Arial" w:eastAsia="Arial" w:hAnsi="Arial"/>
          <w:sz w:val="14"/>
          <w:szCs w:val="14"/>
          <w:i w:val="1"/>
          <w:iCs w:val="1"/>
          <w:color w:val="auto"/>
        </w:rPr>
        <w:t>GENERAL MOTORS GLOBAL HEADQUARTERS MAIL CODE 482-C25-A36 300 RENAISSANCE CENTER</w:t>
      </w:r>
    </w:p>
    <w:p>
      <w:pPr>
        <w:spacing w:after="0" w:line="222" w:lineRule="auto"/>
        <w:rPr>
          <w:sz w:val="20"/>
          <w:szCs w:val="20"/>
          <w:color w:val="auto"/>
        </w:rPr>
      </w:pPr>
      <w:r>
        <w:rPr>
          <w:rFonts w:ascii="Arial" w:cs="Arial" w:eastAsia="Arial" w:hAnsi="Arial"/>
          <w:sz w:val="14"/>
          <w:szCs w:val="14"/>
          <w:i w:val="1"/>
          <w:iCs w:val="1"/>
          <w:color w:val="auto"/>
        </w:rPr>
        <w:t>P.O. BOX 300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DETROIT, MI 48265-3000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575945</wp:posOffset>
            </wp:positionV>
            <wp:extent cx="77470" cy="60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Meeting Information</w:t>
            </w:r>
          </w:p>
        </w:tc>
      </w:tr>
      <w:tr>
        <w:trPr>
          <w:trHeight w:val="353"/>
        </w:trPr>
        <w:tc>
          <w:tcPr>
            <w:tcW w:w="170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680" w:type="dxa"/>
            <w:vAlign w:val="bottom"/>
          </w:tcPr>
          <w:p>
            <w:pPr>
              <w:ind w:left="180"/>
              <w:spacing w:after="0"/>
              <w:rPr>
                <w:sz w:val="20"/>
                <w:szCs w:val="20"/>
                <w:color w:val="auto"/>
              </w:rPr>
            </w:pPr>
            <w:r>
              <w:rPr>
                <w:rFonts w:ascii="Arial" w:cs="Arial" w:eastAsia="Arial" w:hAnsi="Arial"/>
                <w:sz w:val="18"/>
                <w:szCs w:val="18"/>
                <w:color w:val="auto"/>
              </w:rPr>
              <w:t>Annual Meeting</w:t>
            </w:r>
          </w:p>
        </w:tc>
      </w:tr>
      <w:tr>
        <w:trPr>
          <w:trHeight w:val="233"/>
        </w:trPr>
        <w:tc>
          <w:tcPr>
            <w:tcW w:w="170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1680" w:type="dxa"/>
            <w:vAlign w:val="bottom"/>
          </w:tcPr>
          <w:p>
            <w:pPr>
              <w:ind w:left="180"/>
              <w:spacing w:after="0"/>
              <w:rPr>
                <w:sz w:val="20"/>
                <w:szCs w:val="20"/>
                <w:color w:val="auto"/>
              </w:rPr>
            </w:pPr>
            <w:r>
              <w:rPr>
                <w:rFonts w:ascii="Arial" w:cs="Arial" w:eastAsia="Arial" w:hAnsi="Arial"/>
                <w:sz w:val="18"/>
                <w:szCs w:val="18"/>
                <w:color w:val="auto"/>
              </w:rPr>
              <w:t>April 8, 2013</w:t>
            </w:r>
          </w:p>
        </w:tc>
      </w:tr>
    </w:tbl>
    <w:p>
      <w:pPr>
        <w:ind w:left="240"/>
        <w:spacing w:after="0"/>
        <w:tabs>
          <w:tab w:leader="none" w:pos="840" w:val="left"/>
          <w:tab w:leader="none" w:pos="23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June 6, 2013</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9:30 a.m. Eastern Time</w:t>
      </w:r>
    </w:p>
    <w:p>
      <w:pPr>
        <w:spacing w:after="0" w:line="33"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General Motors Global Headquarters</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300 Renaissance Center</w:t>
      </w:r>
    </w:p>
    <w:p>
      <w:pPr>
        <w:ind w:left="1200"/>
        <w:spacing w:after="0"/>
        <w:rPr>
          <w:sz w:val="20"/>
          <w:szCs w:val="20"/>
          <w:color w:val="auto"/>
        </w:rPr>
      </w:pPr>
      <w:r>
        <w:rPr>
          <w:rFonts w:ascii="Arial" w:cs="Arial" w:eastAsia="Arial" w:hAnsi="Arial"/>
          <w:sz w:val="18"/>
          <w:szCs w:val="18"/>
          <w:color w:val="auto"/>
        </w:rPr>
        <w:t>Detroit, Michigan 48243</w:t>
      </w:r>
    </w:p>
    <w:p>
      <w:pPr>
        <w:spacing w:after="0" w:line="77" w:lineRule="exact"/>
        <w:rPr>
          <w:sz w:val="20"/>
          <w:szCs w:val="20"/>
          <w:color w:val="auto"/>
        </w:rPr>
      </w:pPr>
    </w:p>
    <w:p>
      <w:pPr>
        <w:ind w:left="240" w:right="320"/>
        <w:spacing w:after="0" w:line="239" w:lineRule="auto"/>
        <w:rPr>
          <w:sz w:val="20"/>
          <w:szCs w:val="20"/>
          <w:color w:val="auto"/>
        </w:rPr>
      </w:pPr>
      <w:r>
        <w:rPr>
          <w:rFonts w:ascii="Arial" w:cs="Arial" w:eastAsia="Arial" w:hAnsi="Arial"/>
          <w:sz w:val="18"/>
          <w:szCs w:val="18"/>
          <w:color w:val="auto"/>
        </w:rPr>
        <w:t>To attend the meeting, stockholders must request an admission ticket by following the instructions in the Proxy Statement.</w:t>
      </w:r>
    </w:p>
    <w:p>
      <w:pPr>
        <w:spacing w:after="0" w:line="2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scan the QR code on the reverse side with your smartphone or mobile device, or easily request a paper copy (see reverse side).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33" w:lineRule="exact"/>
        <w:rPr>
          <w:sz w:val="20"/>
          <w:szCs w:val="20"/>
          <w:color w:val="auto"/>
        </w:rPr>
      </w:pPr>
    </w:p>
    <w:p>
      <w:pPr>
        <w:ind w:right="200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-276860</wp:posOffset>
            </wp:positionV>
            <wp:extent cx="397891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257175"/>
                    </a:xfrm>
                    <a:prstGeom prst="rect">
                      <a:avLst/>
                    </a:prstGeom>
                    <a:noFill/>
                  </pic:spPr>
                </pic:pic>
              </a:graphicData>
            </a:graphic>
          </wp:anchor>
        </w:drawing>
      </w:r>
    </w:p>
    <w:p>
      <w:pPr>
        <w:sectPr>
          <w:pgSz w:w="11900" w:h="16838" w:orient="portrait"/>
          <w:cols w:equalWidth="0" w:num="2">
            <w:col w:w="4100" w:space="720"/>
            <w:col w:w="6160"/>
          </w:cols>
          <w:pgMar w:left="680" w:top="247"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30480</wp:posOffset>
            </wp:positionV>
            <wp:extent cx="7160895" cy="1646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6465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Proxy Materials Available to VIEW or RECEIVE:</w:t>
      </w:r>
    </w:p>
    <w:p>
      <w:pPr>
        <w:spacing w:after="0" w:line="1" w:lineRule="exact"/>
        <w:rPr>
          <w:sz w:val="20"/>
          <w:szCs w:val="20"/>
          <w:color w:val="auto"/>
        </w:rPr>
      </w:pPr>
    </w:p>
    <w:p>
      <w:pPr>
        <w:ind w:left="320"/>
        <w:spacing w:after="0"/>
        <w:tabs>
          <w:tab w:leader="none" w:pos="2820" w:val="left"/>
        </w:tabs>
        <w:rPr>
          <w:sz w:val="20"/>
          <w:szCs w:val="20"/>
          <w:color w:val="auto"/>
        </w:rPr>
      </w:pPr>
      <w:r>
        <w:rPr>
          <w:rFonts w:ascii="Arial" w:cs="Arial" w:eastAsia="Arial" w:hAnsi="Arial"/>
          <w:sz w:val="14"/>
          <w:szCs w:val="14"/>
          <w:color w:val="auto"/>
        </w:rPr>
        <w:t>NOTICE AND PROXY STATEMENT</w:t>
      </w:r>
      <w:r>
        <w:rPr>
          <w:sz w:val="20"/>
          <w:szCs w:val="20"/>
          <w:color w:val="auto"/>
        </w:rPr>
        <w:tab/>
      </w:r>
      <w:r>
        <w:rPr>
          <w:rFonts w:ascii="Arial" w:cs="Arial" w:eastAsia="Arial" w:hAnsi="Arial"/>
          <w:sz w:val="12"/>
          <w:szCs w:val="12"/>
          <w:color w:val="auto"/>
        </w:rPr>
        <w:t>ANNUAL REPORT</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How to View Online:</w:t>
      </w:r>
    </w:p>
    <w:p>
      <w:pPr>
        <w:ind w:left="360"/>
        <w:spacing w:after="0"/>
        <w:rPr>
          <w:sz w:val="20"/>
          <w:szCs w:val="20"/>
          <w:color w:val="auto"/>
        </w:rPr>
      </w:pPr>
      <w:r>
        <w:rPr>
          <w:rFonts w:ascii="Arial" w:cs="Arial" w:eastAsia="Arial" w:hAnsi="Arial"/>
          <w:sz w:val="12"/>
          <w:szCs w:val="12"/>
          <w:color w:val="auto"/>
        </w:rPr>
        <w:t xml:space="preserve">Have the information that is printed in the box marked by the arrow </w:t>
      </w:r>
      <w:r>
        <w:rPr>
          <w:sz w:val="1"/>
          <w:szCs w:val="1"/>
          <w:color w:val="auto"/>
        </w:rPr>
        <w:drawing>
          <wp:inline distT="0" distB="0" distL="0" distR="0">
            <wp:extent cx="108902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128905"/>
                    </a:xfrm>
                    <a:prstGeom prst="rect">
                      <a:avLst/>
                    </a:prstGeom>
                    <a:noFill/>
                    <a:ln>
                      <a:noFill/>
                    </a:ln>
                  </pic:spPr>
                </pic:pic>
              </a:graphicData>
            </a:graphic>
          </wp:inline>
        </w:drawing>
      </w:r>
      <w:r>
        <w:rPr>
          <w:rFonts w:ascii="Arial" w:cs="Arial" w:eastAsia="Arial" w:hAnsi="Arial"/>
          <w:sz w:val="12"/>
          <w:szCs w:val="12"/>
          <w:color w:val="auto"/>
        </w:rPr>
        <w:t xml:space="preserve"> (located on the following page) and visit: </w:t>
      </w:r>
      <w:r>
        <w:rPr>
          <w:rFonts w:ascii="Arial" w:cs="Arial" w:eastAsia="Arial" w:hAnsi="Arial"/>
          <w:sz w:val="12"/>
          <w:szCs w:val="12"/>
          <w:i w:val="1"/>
          <w:iCs w:val="1"/>
          <w:color w:val="auto"/>
        </w:rPr>
        <w:t>www.proxyvote.com,</w:t>
      </w:r>
      <w:r>
        <w:rPr>
          <w:rFonts w:ascii="Arial" w:cs="Arial" w:eastAsia="Arial" w:hAnsi="Arial"/>
          <w:sz w:val="12"/>
          <w:szCs w:val="12"/>
          <w:color w:val="auto"/>
        </w:rPr>
        <w:t xml:space="preserve"> or scan the QR code below with</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your smartphone or mobile device.</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How to Request and Receive a PAPER or E-MAIL Copy:</w:t>
      </w:r>
    </w:p>
    <w:p>
      <w:pPr>
        <w:ind w:left="360"/>
        <w:spacing w:after="0" w:line="223" w:lineRule="auto"/>
        <w:rPr>
          <w:sz w:val="20"/>
          <w:szCs w:val="20"/>
          <w:color w:val="auto"/>
        </w:rPr>
      </w:pPr>
      <w:r>
        <w:rPr>
          <w:rFonts w:ascii="Arial" w:cs="Arial" w:eastAsia="Arial" w:hAnsi="Arial"/>
          <w:sz w:val="14"/>
          <w:szCs w:val="14"/>
          <w:color w:val="auto"/>
        </w:rPr>
        <w:t>If you want to receive a paper or e-mail copy of these documents, you must request one. There is NO charge for requesting a copy.</w:t>
      </w:r>
    </w:p>
    <w:p>
      <w:pPr>
        <w:ind w:left="360"/>
        <w:spacing w:after="0" w:line="222" w:lineRule="auto"/>
        <w:rPr>
          <w:sz w:val="20"/>
          <w:szCs w:val="20"/>
          <w:color w:val="auto"/>
        </w:rPr>
      </w:pPr>
      <w:r>
        <w:rPr>
          <w:rFonts w:ascii="Arial" w:cs="Arial" w:eastAsia="Arial" w:hAnsi="Arial"/>
          <w:sz w:val="14"/>
          <w:szCs w:val="14"/>
          <w:color w:val="auto"/>
        </w:rPr>
        <w:t>Please choose one of the following methods to make your request:</w:t>
      </w:r>
    </w:p>
    <w:tbl>
      <w:tblPr>
        <w:tblLayout w:type="fixed"/>
        <w:tblInd w:w="1340" w:type="dxa"/>
        <w:tblCellMar>
          <w:top w:w="0" w:type="dxa"/>
          <w:left w:w="0" w:type="dxa"/>
          <w:bottom w:w="0" w:type="dxa"/>
          <w:right w:w="0" w:type="dxa"/>
        </w:tblCellMar>
      </w:tblPr>
      <w:tr>
        <w:trPr>
          <w:trHeight w:val="137"/>
        </w:trPr>
        <w:tc>
          <w:tcPr>
            <w:tcW w:w="160" w:type="dxa"/>
            <w:vAlign w:val="bottom"/>
          </w:tcPr>
          <w:p>
            <w:pPr>
              <w:jc w:val="right"/>
              <w:spacing w:after="0" w:line="137" w:lineRule="exact"/>
              <w:rPr>
                <w:sz w:val="20"/>
                <w:szCs w:val="20"/>
                <w:color w:val="auto"/>
              </w:rPr>
            </w:pPr>
            <w:r>
              <w:rPr>
                <w:rFonts w:ascii="Arial" w:cs="Arial" w:eastAsia="Arial" w:hAnsi="Arial"/>
                <w:sz w:val="14"/>
                <w:szCs w:val="14"/>
                <w:color w:val="auto"/>
                <w:w w:val="96"/>
              </w:rPr>
              <w:t>1)</w:t>
            </w:r>
          </w:p>
        </w:tc>
        <w:tc>
          <w:tcPr>
            <w:tcW w:w="1060" w:type="dxa"/>
            <w:vAlign w:val="bottom"/>
          </w:tcPr>
          <w:p>
            <w:pPr>
              <w:ind w:left="20"/>
              <w:spacing w:after="0" w:line="137" w:lineRule="exact"/>
              <w:rPr>
                <w:sz w:val="20"/>
                <w:szCs w:val="20"/>
                <w:color w:val="auto"/>
              </w:rPr>
            </w:pPr>
            <w:r>
              <w:rPr>
                <w:rFonts w:ascii="Arial" w:cs="Arial" w:eastAsia="Arial" w:hAnsi="Arial"/>
                <w:sz w:val="14"/>
                <w:szCs w:val="14"/>
                <w:i w:val="1"/>
                <w:iCs w:val="1"/>
                <w:color w:val="auto"/>
              </w:rPr>
              <w:t>BY INTERNET</w:t>
            </w:r>
            <w:r>
              <w:rPr>
                <w:rFonts w:ascii="Arial" w:cs="Arial" w:eastAsia="Arial" w:hAnsi="Arial"/>
                <w:sz w:val="14"/>
                <w:szCs w:val="14"/>
                <w:color w:val="auto"/>
              </w:rPr>
              <w:t>:</w:t>
            </w:r>
          </w:p>
        </w:tc>
        <w:tc>
          <w:tcPr>
            <w:tcW w:w="1760" w:type="dxa"/>
            <w:vAlign w:val="bottom"/>
          </w:tcPr>
          <w:p>
            <w:pPr>
              <w:ind w:left="100"/>
              <w:spacing w:after="0" w:line="137" w:lineRule="exact"/>
              <w:rPr>
                <w:sz w:val="20"/>
                <w:szCs w:val="20"/>
                <w:color w:val="auto"/>
              </w:rPr>
            </w:pPr>
            <w:r>
              <w:rPr>
                <w:rFonts w:ascii="Arial" w:cs="Arial" w:eastAsia="Arial" w:hAnsi="Arial"/>
                <w:sz w:val="14"/>
                <w:szCs w:val="14"/>
                <w:color w:val="auto"/>
              </w:rPr>
              <w:t>www.proxyvote.com</w:t>
            </w: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w w:val="94"/>
              </w:rPr>
              <w:t xml:space="preserve">2) </w:t>
            </w:r>
            <w:r>
              <w:rPr>
                <w:rFonts w:ascii="Arial" w:cs="Arial" w:eastAsia="Arial" w:hAnsi="Arial"/>
                <w:sz w:val="14"/>
                <w:szCs w:val="14"/>
                <w:i w:val="1"/>
                <w:iCs w:val="1"/>
                <w:color w:val="auto"/>
                <w:w w:val="94"/>
              </w:rPr>
              <w:t>BY TELEPHONE</w:t>
            </w:r>
            <w:r>
              <w:rPr>
                <w:rFonts w:ascii="Arial" w:cs="Arial" w:eastAsia="Arial" w:hAnsi="Arial"/>
                <w:sz w:val="14"/>
                <w:szCs w:val="14"/>
                <w:color w:val="auto"/>
                <w:w w:val="94"/>
              </w:rPr>
              <w:t>:</w:t>
            </w:r>
          </w:p>
        </w:tc>
        <w:tc>
          <w:tcPr>
            <w:tcW w:w="1760" w:type="dxa"/>
            <w:vAlign w:val="bottom"/>
          </w:tcPr>
          <w:p>
            <w:pPr>
              <w:ind w:left="120"/>
              <w:spacing w:after="0" w:line="149" w:lineRule="exact"/>
              <w:rPr>
                <w:sz w:val="20"/>
                <w:szCs w:val="20"/>
                <w:color w:val="auto"/>
              </w:rPr>
            </w:pPr>
            <w:r>
              <w:rPr>
                <w:rFonts w:ascii="Arial" w:cs="Arial" w:eastAsia="Arial" w:hAnsi="Arial"/>
                <w:sz w:val="14"/>
                <w:szCs w:val="14"/>
                <w:color w:val="auto"/>
              </w:rPr>
              <w:t>1-800-579-1639</w:t>
            </w:r>
          </w:p>
        </w:tc>
      </w:tr>
      <w:tr>
        <w:trPr>
          <w:trHeight w:val="172"/>
        </w:trPr>
        <w:tc>
          <w:tcPr>
            <w:tcW w:w="160" w:type="dxa"/>
            <w:vAlign w:val="bottom"/>
          </w:tcPr>
          <w:p>
            <w:pPr>
              <w:jc w:val="right"/>
              <w:spacing w:after="0"/>
              <w:rPr>
                <w:sz w:val="20"/>
                <w:szCs w:val="20"/>
                <w:color w:val="auto"/>
              </w:rPr>
            </w:pPr>
            <w:r>
              <w:rPr>
                <w:rFonts w:ascii="Arial" w:cs="Arial" w:eastAsia="Arial" w:hAnsi="Arial"/>
                <w:sz w:val="14"/>
                <w:szCs w:val="14"/>
                <w:color w:val="auto"/>
                <w:w w:val="96"/>
              </w:rPr>
              <w:t>3)</w:t>
            </w:r>
          </w:p>
        </w:tc>
        <w:tc>
          <w:tcPr>
            <w:tcW w:w="1060" w:type="dxa"/>
            <w:vAlign w:val="bottom"/>
          </w:tcPr>
          <w:p>
            <w:pPr>
              <w:ind w:left="20"/>
              <w:spacing w:after="0"/>
              <w:rPr>
                <w:sz w:val="20"/>
                <w:szCs w:val="20"/>
                <w:color w:val="auto"/>
              </w:rPr>
            </w:pPr>
            <w:r>
              <w:rPr>
                <w:rFonts w:ascii="Arial" w:cs="Arial" w:eastAsia="Arial" w:hAnsi="Arial"/>
                <w:sz w:val="14"/>
                <w:szCs w:val="14"/>
                <w:i w:val="1"/>
                <w:iCs w:val="1"/>
                <w:color w:val="auto"/>
              </w:rPr>
              <w:t>BY E-MAIL*</w:t>
            </w:r>
            <w:r>
              <w:rPr>
                <w:rFonts w:ascii="Arial" w:cs="Arial" w:eastAsia="Arial" w:hAnsi="Arial"/>
                <w:sz w:val="14"/>
                <w:szCs w:val="14"/>
                <w:color w:val="auto"/>
              </w:rPr>
              <w:t>:</w:t>
            </w:r>
          </w:p>
        </w:tc>
        <w:tc>
          <w:tcPr>
            <w:tcW w:w="1760" w:type="dxa"/>
            <w:vAlign w:val="bottom"/>
          </w:tcPr>
          <w:p>
            <w:pPr>
              <w:ind w:left="120"/>
              <w:spacing w:after="0"/>
              <w:rPr>
                <w:sz w:val="20"/>
                <w:szCs w:val="20"/>
                <w:color w:val="auto"/>
              </w:rPr>
            </w:pPr>
            <w:r>
              <w:rPr>
                <w:rFonts w:ascii="Arial" w:cs="Arial" w:eastAsia="Arial" w:hAnsi="Arial"/>
                <w:sz w:val="14"/>
                <w:szCs w:val="14"/>
                <w:color w:val="auto"/>
                <w:w w:val="87"/>
              </w:rPr>
              <w:t>sendmaterial@proxyvote.com</w:t>
            </w:r>
          </w:p>
        </w:tc>
      </w:tr>
    </w:tbl>
    <w:p>
      <w:pPr>
        <w:spacing w:after="0" w:line="29"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If requesting materials by e-mail, please send a blank e-mail with the information that is printed in the box marked by the arrow</w:t>
      </w:r>
    </w:p>
    <w:p>
      <w:pPr>
        <w:ind w:left="680"/>
        <w:spacing w:after="0"/>
        <w:rPr>
          <w:sz w:val="20"/>
          <w:szCs w:val="20"/>
          <w:color w:val="auto"/>
        </w:rPr>
      </w:pPr>
      <w:r>
        <w:rPr>
          <w:sz w:val="1"/>
          <w:szCs w:val="1"/>
          <w:color w:val="auto"/>
        </w:rPr>
        <w:drawing>
          <wp:inline distT="0" distB="0" distL="0" distR="0">
            <wp:extent cx="1089025"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114300"/>
                    </a:xfrm>
                    <a:prstGeom prst="rect">
                      <a:avLst/>
                    </a:prstGeom>
                    <a:noFill/>
                    <a:ln>
                      <a:noFill/>
                    </a:ln>
                  </pic:spPr>
                </pic:pic>
              </a:graphicData>
            </a:graphic>
          </wp:inline>
        </w:drawing>
      </w:r>
      <w:r>
        <w:rPr>
          <w:rFonts w:ascii="Arial" w:cs="Arial" w:eastAsia="Arial" w:hAnsi="Arial"/>
          <w:sz w:val="14"/>
          <w:szCs w:val="14"/>
          <w:color w:val="auto"/>
        </w:rPr>
        <w:t xml:space="preserve"> (located on the following page) in the subject line.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Please make the request as instructed above on or before May 23, 2013 to facilitate timely delivery.</w:t>
      </w:r>
    </w:p>
    <w:p>
      <w:pPr>
        <w:ind w:left="320"/>
        <w:spacing w:after="0"/>
        <w:rPr>
          <w:sz w:val="20"/>
          <w:szCs w:val="20"/>
          <w:color w:val="auto"/>
        </w:rPr>
      </w:pPr>
      <w:r>
        <w:rPr>
          <w:rFonts w:ascii="Arial" w:cs="Arial" w:eastAsia="Arial" w:hAnsi="Arial"/>
          <w:sz w:val="14"/>
          <w:szCs w:val="14"/>
          <w:color w:val="auto"/>
        </w:rPr>
        <w:t>Requests, instructions and other inquiries sent to this e-mail address will NOT be forwarded to your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59690</wp:posOffset>
            </wp:positionV>
            <wp:extent cx="1869440"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9440" cy="45466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How To Vote</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Please Choose One of the Following Voting Methods</w:t>
      </w:r>
    </w:p>
    <w:p>
      <w:pPr>
        <w:spacing w:after="0" w:line="222" w:lineRule="exact"/>
        <w:rPr>
          <w:sz w:val="20"/>
          <w:szCs w:val="20"/>
          <w:color w:val="auto"/>
        </w:rPr>
      </w:pPr>
    </w:p>
    <w:p>
      <w:pPr>
        <w:ind w:left="340"/>
        <w:spacing w:after="0" w:line="317"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To attend the meeting, you must request an admission ticket in advance by following the instructions in the Proxy Statement.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you will need to request a ballot to vote these shares. Beneficial stockholders must submit a signed legal proxy with their ballot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54875" cy="926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92646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or scan the QR code above with your smartphone or mobile device. Have the information that is printed in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box marked by the arrow </w:t>
      </w:r>
      <w:r>
        <w:rPr>
          <w:sz w:val="1"/>
          <w:szCs w:val="1"/>
          <w:color w:val="auto"/>
        </w:rPr>
        <w:drawing>
          <wp:inline distT="0" distB="0" distL="0" distR="0">
            <wp:extent cx="108902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902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which will include a proxy card or voting instruction form.</w:t>
      </w:r>
    </w:p>
    <w:p>
      <w:pPr>
        <w:sectPr>
          <w:pgSz w:w="11900" w:h="16838" w:orient="portrait"/>
          <w:cols w:equalWidth="0" w:num="1">
            <w:col w:w="11260"/>
          </w:cols>
          <w:pgMar w:left="240" w:top="247" w:right="399" w:bottom="1440" w:gutter="0" w:footer="0" w:header="0"/>
        </w:sectPr>
      </w:pPr>
    </w:p>
    <w:bookmarkStart w:id="3" w:name="page4"/>
    <w:bookmarkEnd w:id="3"/>
    <w:p>
      <w:pPr>
        <w:ind w:left="648"/>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629285</wp:posOffset>
            </wp:positionH>
            <wp:positionV relativeFrom="page">
              <wp:posOffset>183515</wp:posOffset>
            </wp:positionV>
            <wp:extent cx="281305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13050" cy="128905"/>
                    </a:xfrm>
                    <a:prstGeom prst="rect">
                      <a:avLst/>
                    </a:prstGeom>
                    <a:noFill/>
                  </pic:spPr>
                </pic:pic>
              </a:graphicData>
            </a:graphic>
          </wp:anchor>
        </w:drawing>
        <w:t>Voting Items</w:t>
      </w:r>
    </w:p>
    <w:p>
      <w:pPr>
        <w:spacing w:after="0" w:line="96" w:lineRule="exact"/>
        <w:rPr>
          <w:sz w:val="20"/>
          <w:szCs w:val="20"/>
          <w:color w:val="auto"/>
        </w:rPr>
      </w:pPr>
    </w:p>
    <w:p>
      <w:pPr>
        <w:ind w:left="8" w:right="958"/>
        <w:spacing w:after="0" w:line="247" w:lineRule="auto"/>
        <w:rPr>
          <w:sz w:val="20"/>
          <w:szCs w:val="20"/>
          <w:color w:val="auto"/>
        </w:rPr>
      </w:pPr>
      <w:r>
        <w:rPr>
          <w:rFonts w:ascii="Arial" w:cs="Arial" w:eastAsia="Arial" w:hAnsi="Arial"/>
          <w:sz w:val="14"/>
          <w:szCs w:val="14"/>
          <w:b w:val="1"/>
          <w:bCs w:val="1"/>
          <w:color w:val="auto"/>
        </w:rPr>
        <w:t xml:space="preserve">GM 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1-3:</w:t>
      </w:r>
    </w:p>
    <w:p>
      <w:pPr>
        <w:spacing w:after="0" w:line="63" w:lineRule="exact"/>
        <w:rPr>
          <w:sz w:val="20"/>
          <w:szCs w:val="20"/>
          <w:color w:val="auto"/>
        </w:rPr>
      </w:pPr>
    </w:p>
    <w:p>
      <w:pPr>
        <w:ind w:left="308" w:hanging="308"/>
        <w:spacing w:after="0"/>
        <w:tabs>
          <w:tab w:leader="none" w:pos="308"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66"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65"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1a.  Daniel F. Akerson</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1b.  David Bonderman</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1c.  Erroll B. Davis, Jr.</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1d.  Stephen J. Girsky</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1e.  E. Neville Isdell</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1f.   Robert D. Krebs</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1g.  Kathryn V. Marinello</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1h.  Michael G. Mullen</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1i.   James J. Mulva</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1j.   Patricia F. Russo</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1k.  Thomas M. Schoewe</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1l.   Theodore M. Solso</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1m.  Carol M. Stephenson</w:t>
      </w:r>
    </w:p>
    <w:p>
      <w:pPr>
        <w:spacing w:after="0" w:line="68" w:lineRule="exact"/>
        <w:rPr>
          <w:rFonts w:ascii="Arial" w:cs="Arial" w:eastAsia="Arial" w:hAnsi="Arial"/>
          <w:sz w:val="14"/>
          <w:szCs w:val="14"/>
          <w:color w:val="auto"/>
        </w:rPr>
      </w:pPr>
    </w:p>
    <w:p>
      <w:pPr>
        <w:ind w:left="308"/>
        <w:spacing w:after="0"/>
        <w:rPr>
          <w:rFonts w:ascii="Arial" w:cs="Arial" w:eastAsia="Arial" w:hAnsi="Arial"/>
          <w:sz w:val="14"/>
          <w:szCs w:val="14"/>
          <w:color w:val="auto"/>
        </w:rPr>
      </w:pPr>
      <w:r>
        <w:rPr>
          <w:rFonts w:ascii="Arial" w:cs="Arial" w:eastAsia="Arial" w:hAnsi="Arial"/>
          <w:sz w:val="14"/>
          <w:szCs w:val="14"/>
          <w:color w:val="auto"/>
        </w:rPr>
        <w:t>1n.  Cynthia A. 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-615950</wp:posOffset>
            </wp:positionV>
            <wp:extent cx="77470" cy="608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2" w:right="99" w:hanging="382"/>
        <w:spacing w:after="0" w:line="300" w:lineRule="auto"/>
        <w:tabs>
          <w:tab w:leader="none" w:pos="382" w:val="left"/>
        </w:tabs>
        <w:numPr>
          <w:ilvl w:val="0"/>
          <w:numId w:val="7"/>
        </w:numPr>
        <w:rPr>
          <w:rFonts w:ascii="Arial" w:cs="Arial" w:eastAsia="Arial" w:hAnsi="Arial"/>
          <w:sz w:val="12"/>
          <w:szCs w:val="12"/>
          <w:color w:val="auto"/>
        </w:rPr>
      </w:pPr>
      <w:r>
        <w:rPr>
          <w:rFonts w:ascii="Arial" w:cs="Arial" w:eastAsia="Arial" w:hAnsi="Arial"/>
          <w:sz w:val="12"/>
          <w:szCs w:val="12"/>
          <w:color w:val="auto"/>
        </w:rPr>
        <w:t>Ratification of the Selection of Deloitte &amp; Touche LLP as GM’s Independent Registered Public Accounting Firm for 2013</w:t>
      </w:r>
    </w:p>
    <w:p>
      <w:pPr>
        <w:spacing w:after="0" w:line="33" w:lineRule="exact"/>
        <w:rPr>
          <w:rFonts w:ascii="Arial" w:cs="Arial" w:eastAsia="Arial" w:hAnsi="Arial"/>
          <w:sz w:val="12"/>
          <w:szCs w:val="12"/>
          <w:color w:val="auto"/>
        </w:rPr>
      </w:pPr>
    </w:p>
    <w:p>
      <w:pPr>
        <w:ind w:left="382" w:hanging="382"/>
        <w:spacing w:after="0"/>
        <w:tabs>
          <w:tab w:leader="none" w:pos="382" w:val="left"/>
        </w:tabs>
        <w:numPr>
          <w:ilvl w:val="0"/>
          <w:numId w:val="7"/>
        </w:numPr>
        <w:rPr>
          <w:rFonts w:ascii="Arial" w:cs="Arial" w:eastAsia="Arial" w:hAnsi="Arial"/>
          <w:sz w:val="14"/>
          <w:szCs w:val="14"/>
          <w:color w:val="auto"/>
        </w:rPr>
      </w:pPr>
      <w:r>
        <w:rPr>
          <w:rFonts w:ascii="Arial" w:cs="Arial" w:eastAsia="Arial" w:hAnsi="Arial"/>
          <w:sz w:val="14"/>
          <w:szCs w:val="14"/>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-1207135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 w:lineRule="exact"/>
        <w:rPr>
          <w:sz w:val="20"/>
          <w:szCs w:val="20"/>
          <w:color w:val="auto"/>
        </w:rPr>
      </w:pPr>
    </w:p>
    <w:p>
      <w:pPr>
        <w:ind w:left="2" w:right="1079"/>
        <w:spacing w:after="0" w:line="328" w:lineRule="auto"/>
        <w:rPr>
          <w:sz w:val="20"/>
          <w:szCs w:val="20"/>
          <w:color w:val="auto"/>
        </w:rPr>
      </w:pPr>
      <w:r>
        <w:rPr>
          <w:rFonts w:ascii="Arial" w:cs="Arial" w:eastAsia="Arial" w:hAnsi="Arial"/>
          <w:sz w:val="12"/>
          <w:szCs w:val="12"/>
          <w:b w:val="1"/>
          <w:bCs w:val="1"/>
          <w:color w:val="auto"/>
        </w:rPr>
        <w:t xml:space="preserve">Stockholder Proposals – The Board of Directors recommends a vote </w:t>
      </w:r>
      <w:r>
        <w:rPr>
          <w:rFonts w:ascii="Arial" w:cs="Arial" w:eastAsia="Arial" w:hAnsi="Arial"/>
          <w:sz w:val="12"/>
          <w:szCs w:val="12"/>
          <w:b w:val="1"/>
          <w:bCs w:val="1"/>
          <w:u w:val="single" w:color="auto"/>
          <w:color w:val="auto"/>
        </w:rPr>
        <w:t>AGAINST</w:t>
      </w:r>
      <w:r>
        <w:rPr>
          <w:rFonts w:ascii="Arial" w:cs="Arial" w:eastAsia="Arial" w:hAnsi="Arial"/>
          <w:sz w:val="12"/>
          <w:szCs w:val="12"/>
          <w:b w:val="1"/>
          <w:bCs w:val="1"/>
          <w:color w:val="auto"/>
        </w:rPr>
        <w:t xml:space="preserve"> Items 4-5.</w:t>
      </w:r>
    </w:p>
    <w:p>
      <w:pPr>
        <w:spacing w:after="0" w:line="44" w:lineRule="exact"/>
        <w:rPr>
          <w:sz w:val="20"/>
          <w:szCs w:val="20"/>
          <w:color w:val="auto"/>
        </w:rPr>
      </w:pPr>
    </w:p>
    <w:p>
      <w:pPr>
        <w:ind w:left="382" w:hanging="382"/>
        <w:spacing w:after="0"/>
        <w:tabs>
          <w:tab w:leader="none" w:pos="382"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Independent Board Chairman</w:t>
      </w:r>
    </w:p>
    <w:p>
      <w:pPr>
        <w:spacing w:after="0" w:line="41" w:lineRule="exact"/>
        <w:rPr>
          <w:rFonts w:ascii="Arial" w:cs="Arial" w:eastAsia="Arial" w:hAnsi="Arial"/>
          <w:sz w:val="14"/>
          <w:szCs w:val="14"/>
          <w:color w:val="auto"/>
        </w:rPr>
      </w:pPr>
    </w:p>
    <w:p>
      <w:pPr>
        <w:ind w:left="382" w:hanging="382"/>
        <w:spacing w:after="0"/>
        <w:tabs>
          <w:tab w:leader="none" w:pos="382" w:val="left"/>
        </w:tabs>
        <w:numPr>
          <w:ilvl w:val="0"/>
          <w:numId w:val="8"/>
        </w:numPr>
        <w:rPr>
          <w:rFonts w:ascii="Arial" w:cs="Arial" w:eastAsia="Arial" w:hAnsi="Arial"/>
          <w:sz w:val="14"/>
          <w:szCs w:val="14"/>
          <w:color w:val="auto"/>
        </w:rPr>
      </w:pPr>
      <w:r>
        <w:rPr>
          <w:rFonts w:ascii="Arial" w:cs="Arial" w:eastAsia="Arial" w:hAnsi="Arial"/>
          <w:sz w:val="14"/>
          <w:szCs w:val="14"/>
          <w:color w:val="auto"/>
        </w:rPr>
        <w:t>Executive Stock Retention</w:t>
      </w:r>
    </w:p>
    <w:p>
      <w:pPr>
        <w:sectPr>
          <w:pgSz w:w="11900" w:h="16838" w:orient="portrait"/>
          <w:cols w:equalWidth="0" w:num="2">
            <w:col w:w="4466" w:space="720"/>
            <w:col w:w="4161"/>
          </w:cols>
          <w:pgMar w:left="1112" w:top="298" w:right="1440" w:bottom="1440" w:gutter="0" w:footer="0" w:header="0"/>
        </w:sectPr>
      </w:pPr>
    </w:p>
    <w:bookmarkStart w:id="4" w:name="page5"/>
    <w:bookmarkEnd w:id="4"/>
    <w:p>
      <w:pPr>
        <w:spacing w:after="0"/>
        <w:tabs>
          <w:tab w:leader="none" w:pos="38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1555115</wp:posOffset>
            </wp:positionV>
            <wp:extent cx="68091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1529715</wp:posOffset>
            </wp:positionV>
            <wp:extent cx="68091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9105"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2335530</wp:posOffset>
            </wp:positionV>
            <wp:extent cx="77470" cy="608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2019-12-07T20:25:35Z</dcterms:created>
  <dcterms:modified xsi:type="dcterms:W3CDTF">2019-12-07T20:25:35Z</dcterms:modified>
</cp:coreProperties>
</file>