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80"/>
        <w:spacing w:after="0"/>
        <w:rPr>
          <w:sz w:val="20"/>
          <w:szCs w:val="20"/>
          <w:color w:val="auto"/>
        </w:rPr>
      </w:pPr>
      <w:r>
        <w:rPr>
          <w:rFonts w:ascii="Arial" w:cs="Arial" w:eastAsia="Arial" w:hAnsi="Arial"/>
          <w:sz w:val="21"/>
          <w:szCs w:val="21"/>
          <w:b w:val="1"/>
          <w:bCs w:val="1"/>
          <w:color w:val="auto"/>
        </w:rPr>
        <w:t>Date of Report (Date of earliest event reported) January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230" w:right="659" w:bottom="1440" w:gutter="0" w:footer="0" w:header="0"/>
          <w:type w:val="continuous"/>
        </w:sectPr>
      </w:pPr>
    </w:p>
    <w:p>
      <w:pPr>
        <w:ind w:left="158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360" w:space="720"/>
            <w:col w:w="3260" w:space="720"/>
            <w:col w:w="1940"/>
          </w:cols>
          <w:pgMar w:left="240" w:top="230" w:right="659" w:bottom="1440" w:gutter="0" w:footer="0" w:header="0"/>
          <w:type w:val="continuous"/>
        </w:sectPr>
      </w:pPr>
    </w:p>
    <w:p>
      <w:pPr>
        <w:spacing w:after="0" w:line="2"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820"/>
          </w:cols>
          <w:pgMar w:left="240" w:top="230" w:right="65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20"/>
          </w:cols>
          <w:pgMar w:left="240" w:top="230" w:right="659" w:bottom="1440" w:gutter="0" w:footer="0" w:header="0"/>
          <w:type w:val="continuous"/>
        </w:sectPr>
      </w:pPr>
    </w:p>
    <w:p>
      <w:pPr>
        <w:jc w:val="center"/>
        <w:ind w:right="-43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2"/>
          <w:szCs w:val="12"/>
          <w:b w:val="1"/>
          <w:bCs w:val="1"/>
          <w:color w:val="auto"/>
        </w:rPr>
        <w:t>(Company’s telephone number, including area code)</w:t>
      </w:r>
    </w:p>
    <w:p>
      <w:pPr>
        <w:sectPr>
          <w:pgSz w:w="11900" w:h="16838" w:orient="portrait"/>
          <w:cols w:equalWidth="0" w:num="1">
            <w:col w:w="11000"/>
          </w:cols>
          <w:pgMar w:left="240" w:top="230" w:right="659" w:bottom="1440" w:gutter="0" w:footer="0" w:header="0"/>
          <w:type w:val="continuous"/>
        </w:sectPr>
      </w:pPr>
    </w:p>
    <w:p>
      <w:pPr>
        <w:spacing w:after="0" w:line="16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6" w:lineRule="exact"/>
        <w:rPr>
          <w:sz w:val="20"/>
          <w:szCs w:val="20"/>
          <w:color w:val="auto"/>
        </w:rPr>
      </w:pPr>
    </w:p>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Sales Release and Charts Dated January 5, 2010</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January 5, 2010, General Motors Company (GM) issued a news release announcing December sales. The release and charts are attached as Exhibit 99.1.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Form 8-K corrects certain information contained in the original January 5, 2010 news release. The following corrections were made:</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page one, Susan Docherty’s title was changed from GM vice president, U.S. Sales to GM vice president, Sales, Service and Marketing.</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page one under the heading “Other December Key Facts,” the period during which Camaro has been the segment leader was changed from fifth straight month to seventh straight month.</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2"/>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3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2"/>
          </w:tcPr>
          <w:p>
            <w:pPr>
              <w:ind w:left="260"/>
              <w:spacing w:after="0"/>
              <w:rPr>
                <w:sz w:val="20"/>
                <w:szCs w:val="20"/>
                <w:color w:val="auto"/>
              </w:rPr>
            </w:pPr>
            <w:r>
              <w:rPr>
                <w:rFonts w:ascii="Arial" w:cs="Arial" w:eastAsia="Arial" w:hAnsi="Arial"/>
                <w:sz w:val="18"/>
                <w:szCs w:val="18"/>
                <w:color w:val="auto"/>
                <w:w w:val="98"/>
              </w:rPr>
              <w:t>Sales Release and Charts Dated January 5, 2010</w:t>
            </w:r>
          </w:p>
        </w:tc>
        <w:tc>
          <w:tcPr>
            <w:tcW w:w="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January 7, 2010</w:t>
      </w:r>
      <w:r>
        <w:rPr>
          <w:sz w:val="20"/>
          <w:szCs w:val="20"/>
          <w:color w:val="auto"/>
        </w:rPr>
        <w:tab/>
      </w:r>
      <w:r>
        <w:rPr>
          <w:rFonts w:ascii="Arial" w:cs="Arial" w:eastAsia="Arial" w:hAnsi="Arial"/>
          <w:sz w:val="18"/>
          <w:szCs w:val="18"/>
          <w:u w:val="single" w:color="auto"/>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Nick S. Cyprus</w:t>
      </w:r>
    </w:p>
    <w:p>
      <w:pPr>
        <w:jc w:val="center"/>
        <w:ind w:left="6300"/>
        <w:spacing w:after="0" w:line="223" w:lineRule="auto"/>
        <w:rPr>
          <w:sz w:val="20"/>
          <w:szCs w:val="20"/>
          <w:color w:val="auto"/>
        </w:rPr>
      </w:pPr>
      <w:r>
        <w:rPr>
          <w:rFonts w:ascii="Arial" w:cs="Arial" w:eastAsia="Arial" w:hAnsi="Arial"/>
          <w:sz w:val="14"/>
          <w:szCs w:val="14"/>
          <w:b w:val="1"/>
          <w:bCs w:val="1"/>
          <w:color w:val="auto"/>
        </w:rPr>
        <w:t>Vice President, Controller and</w:t>
      </w:r>
    </w:p>
    <w:p>
      <w:pPr>
        <w:jc w:val="center"/>
        <w:ind w:left="6300"/>
        <w:spacing w:after="0"/>
        <w:rPr>
          <w:sz w:val="20"/>
          <w:szCs w:val="20"/>
          <w:color w:val="auto"/>
        </w:rPr>
      </w:pPr>
      <w:r>
        <w:rPr>
          <w:rFonts w:ascii="Arial" w:cs="Arial" w:eastAsia="Arial" w:hAnsi="Arial"/>
          <w:sz w:val="14"/>
          <w:szCs w:val="14"/>
          <w:b w:val="1"/>
          <w:bCs w:val="1"/>
          <w:color w:val="auto"/>
        </w:rPr>
        <w:t>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089015" cy="81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0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Release: 1:45 p.m. 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5, 2010</w:t>
      </w:r>
    </w:p>
    <w:p>
      <w:pPr>
        <w:spacing w:after="0" w:line="3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i w:val="1"/>
          <w:iCs w:val="1"/>
          <w:color w:val="auto"/>
        </w:rPr>
        <w:t>Chevrolet, Buick, GMC and Cadillac Post Sales Gains</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i w:val="1"/>
          <w:iCs w:val="1"/>
          <w:color w:val="auto"/>
        </w:rPr>
        <w:t>Retail Sales of Chevrolet, Buick, GMC and Cadillac Up 13 Percent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GM Retail Market Share Increased Two Share Points in Q4 vs. Q3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U.S. Dealer Inventory Reaches 385,000 – Lowest Year-End Level on Record</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GM dealers in the U.S. reported 160,996 retail deliveries in December – a 7 percent increase compared to last year, and a 50 percent increase over</w:t>
      </w:r>
      <w:r>
        <w:rPr>
          <w:rFonts w:ascii="Arial" w:cs="Arial" w:eastAsia="Arial" w:hAnsi="Arial"/>
          <w:sz w:val="18"/>
          <w:szCs w:val="18"/>
          <w:b w:val="1"/>
          <w:bCs w:val="1"/>
          <w:color w:val="auto"/>
        </w:rPr>
        <w:t xml:space="preserve"> </w:t>
      </w:r>
      <w:r>
        <w:rPr>
          <w:rFonts w:ascii="Arial" w:cs="Arial" w:eastAsia="Arial" w:hAnsi="Arial"/>
          <w:sz w:val="18"/>
          <w:szCs w:val="18"/>
          <w:color w:val="auto"/>
        </w:rPr>
        <w:t>last month. Retail sales of Chevrolet, Buick, GMC and Cadillac brands were 146,419 – up 13 percent for the month. In total, GM dealers in the U.S. delivered 208,511 vehicles in December. This represents a total sales decline of 6 percent from the previous year, driven primarily by declines in fleet sales (33 percent) and in sales of non-core brands (55 percent).</w:t>
      </w:r>
    </w:p>
    <w:p>
      <w:pPr>
        <w:spacing w:after="0" w:line="1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fact that our retail market share has increased two full points from the third to fourth quarters demonstrates that we are strengthening our brands,” said Susan Docherty, GM vice president, Sales, Service and Marketing. “We are delivering a healthier sales mix and earning consumer confidence through our launch vehicles such as Chevy Equinox and Camaro, Buick LaCrosse, GMC Terrain and Cadillac SRX.”</w:t>
      </w:r>
    </w:p>
    <w:p>
      <w:pPr>
        <w:spacing w:after="0" w:line="140"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In 2009, GM dealers delivered 2,084,492 vehicles, down 30 percent compared with 2008. “The year-over-year comparison reflects a 38 percent reduction in fleet, reduced overall incentive spending and the orderly wind-down of the Pontiac and Saturn brands,” Docherty said. “Our sell-down of Pontiac and Saturn inventory is 10 months ahead of schedule and we only have about 1,700 vehicles left – 800 Pontiacs and 900 Saturns. This shows real progress in our action plans.”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December Key Facts:</w:t>
      </w:r>
    </w:p>
    <w:p>
      <w:pPr>
        <w:spacing w:after="0" w:line="96" w:lineRule="exact"/>
        <w:rPr>
          <w:sz w:val="20"/>
          <w:szCs w:val="20"/>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Retail sales of Chevrolet, Buick, GMC and Cadillac brands were 13 percent higher than in 2008 – achieved with 47 percent less inventory than last year</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Chevrolet retail sales were up 14 percent – driven by strong sales of Camaro (7,518 sales – segment leader for seventh straight month), Traverse (up 92 percent), Malibu (up 34 percent) and Equinox (up 137 percent)</w:t>
      </w:r>
    </w:p>
    <w:p>
      <w:pPr>
        <w:sectPr>
          <w:pgSz w:w="11900" w:h="16838" w:orient="portrait"/>
          <w:cols w:equalWidth="0" w:num="1">
            <w:col w:w="11420"/>
          </w:cols>
          <w:pgMar w:left="240" w:top="125" w:right="239" w:bottom="1440" w:gutter="0" w:footer="0" w:header="0"/>
        </w:sectPr>
      </w:pPr>
    </w:p>
    <w:bookmarkStart w:id="5" w:name="page6"/>
    <w:bookmarkEnd w:id="5"/>
    <w:p>
      <w:pPr>
        <w:ind w:left="900" w:hanging="325"/>
        <w:spacing w:after="0"/>
        <w:tabs>
          <w:tab w:leader="none" w:pos="9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Buick retail sales were up 32 percent compared with a year ago on the continued strength of LaCrosse (up 370 percent) and Enclave (up 37 percent)</w:t>
      </w:r>
    </w:p>
    <w:p>
      <w:pPr>
        <w:spacing w:after="0" w:line="124" w:lineRule="exact"/>
        <w:rPr>
          <w:rFonts w:ascii="Arial" w:cs="Arial" w:eastAsia="Arial" w:hAnsi="Arial"/>
          <w:sz w:val="15"/>
          <w:szCs w:val="15"/>
          <w:i w:val="1"/>
          <w:iCs w:val="1"/>
          <w:color w:val="auto"/>
        </w:rPr>
      </w:pPr>
    </w:p>
    <w:p>
      <w:pPr>
        <w:ind w:left="900" w:right="6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GMC retail sales were up 4 percent vs. December 2008 on strong Acadia sales (up 49 percent) and Terrain (up 197 percent vs. the vehicle it replaced, Pontiac Torrent)</w:t>
      </w:r>
    </w:p>
    <w:p>
      <w:pPr>
        <w:spacing w:after="0" w:line="50"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Cadillac retail sales were up 7 percent, led by the 2010 SRX, with sales 357 percent higher than a year ago (4,880 vs. 1,069)</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December month-end dealer inventory of 385,000 – the lowest year-end level on record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Total GM crossover retail sales were up 67 percent</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year 2009 was a watershed year for us in many ways. From our dealer restructuring to our focus on Chevrolet, Cadillac, Buick and GMC, we have made the difficult but necessary decisions to position our new company for success,” Docherty added. “We’re looking forward to 2010 as a year when the economy continues a modest recovery, industry sales begin to improve and our outstanding new products build additional sales momentum.”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the Best Car Win” Campaign – 60-Day Money Back Guarantee</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GM’s 60-day money-back guarantee and “May the Best Car Win” message demonstrated confidence in Chevrolet, Buick, GMC and Cadillac and improved consumer consideration.</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“Americans have given our cars, crossovers and trucks a strong vote of confidence, and we take that very seriously,” Docherty said. “We’ve listened to those who’ve returned their vehicles to help us continue designing and building products our customers deserve.”</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More than 419,000 vehicles have been sold during the campaign and results show that almost all customers chose to keep their vehicles. Just 310 customers have returned their vehicles – approximately 0.007 percent of all eligible vehicles sold.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Brands Sold 14,687 Total Vehicles in December</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GM’s wind-down of non-core brands has been orderly and is now 10 months ahead of schedule. These brands represented 9 percent of retail sales in December, compared with 15 percent in May 2009. Inventories for the combined brands totaled 5,123 units at December month-end, representing a 95 percent decrease compared to the end of May 2009 (112,141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Month-End Inventories of Non-Core Brands (May – Dec, 2009):</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7"/>
              </w:rPr>
              <w:t>May 2009</w:t>
            </w:r>
          </w:p>
        </w:tc>
        <w:tc>
          <w:tcPr>
            <w:tcW w:w="5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w w:val="83"/>
              </w:rPr>
              <w:t>Dec 2009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 Reduction</w:t>
            </w:r>
          </w:p>
        </w:tc>
      </w:tr>
      <w:tr>
        <w:trPr>
          <w:trHeight w:val="20"/>
        </w:trPr>
        <w:tc>
          <w:tcPr>
            <w:tcW w:w="6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Pontiac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70,876</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Saturn</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32,647</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916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Saab</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HUMMER</w:t>
            </w:r>
          </w:p>
        </w:tc>
        <w:tc>
          <w:tcPr>
            <w:tcW w:w="560" w:type="dxa"/>
            <w:vAlign w:val="bottom"/>
          </w:tcPr>
          <w:p>
            <w:pPr>
              <w:jc w:val="right"/>
              <w:spacing w:after="0"/>
              <w:rPr>
                <w:sz w:val="20"/>
                <w:szCs w:val="20"/>
                <w:color w:val="auto"/>
              </w:rPr>
            </w:pPr>
            <w:r>
              <w:rPr>
                <w:rFonts w:ascii="Arial" w:cs="Arial" w:eastAsia="Arial" w:hAnsi="Arial"/>
                <w:sz w:val="18"/>
                <w:szCs w:val="18"/>
                <w:color w:val="auto"/>
              </w:rPr>
              <w:t>4,039</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2,176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Discussion of December Sales Results</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“Increasingly, we are seeing signs of a global economic recovery,” said Mike DiGiovanni, executive director, Global Market and Industry Analysis. “In the U.S., with firm used car prices, low interest rates and an improving economic outlook we expect industry sales to improve after a dismal 2009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Economy</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economic leading indicators point to a continuing recovery in 2010, although risks remain.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Job losses slowed significantly in November, and the unemployment rate dropped from 10.2% to 10%. However, this is still high by historical standards.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Although consumer confidence improved in December to the second highest level in 2009, it is likely to stay tepid due to the high unemployment rate.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Housing market is mixed. Although existing home sales are surging, new home sales and home prices have softened recently.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sector continues to expand due to depleted inventory and better than expected holiday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 S. Auto Industry</w:t>
      </w:r>
    </w:p>
    <w:p>
      <w:pPr>
        <w:spacing w:after="0" w:line="90" w:lineRule="exact"/>
        <w:rPr>
          <w:sz w:val="20"/>
          <w:szCs w:val="20"/>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 December 2009 SAAR is estimated to be approximately the same as November – 11.0 to 11.2 million (total industry estimate) – resulting in total vehicle sales of 10.6 million for the entire 2009 CY, the lowest since 1982.</w:t>
      </w:r>
    </w:p>
    <w:p>
      <w:pPr>
        <w:sectPr>
          <w:pgSz w:w="11900" w:h="16838" w:orient="portrait"/>
          <w:cols w:equalWidth="0" w:num="1">
            <w:col w:w="11320"/>
          </w:cols>
          <w:pgMar w:left="240" w:top="280" w:right="339" w:bottom="1440" w:gutter="0" w:footer="0" w:header="0"/>
        </w:sectPr>
      </w:pPr>
    </w:p>
    <w:bookmarkStart w:id="7" w:name="page8"/>
    <w:bookmarkEnd w:id="7"/>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strengthening U.S. economy, 2010 CY sales are projected to rise to between 11.0 to 12.0 million.</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GM North America Production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w w:val="87"/>
              </w:rPr>
              <w:t>Units 000s</w:t>
            </w:r>
          </w:p>
        </w:tc>
        <w:tc>
          <w:tcPr>
            <w:tcW w:w="3380" w:type="dxa"/>
            <w:vAlign w:val="bottom"/>
          </w:tcPr>
          <w:p>
            <w:pPr>
              <w:spacing w:after="0"/>
              <w:rPr>
                <w:sz w:val="14"/>
                <w:szCs w:val="14"/>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Car</w:t>
            </w: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Truck</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2"/>
        </w:trPr>
        <w:tc>
          <w:tcPr>
            <w:tcW w:w="30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2009 December</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440"/>
              <w:spacing w:after="0"/>
              <w:rPr>
                <w:sz w:val="20"/>
                <w:szCs w:val="20"/>
                <w:color w:val="auto"/>
              </w:rPr>
            </w:pPr>
            <w:r>
              <w:rPr>
                <w:rFonts w:ascii="Arial" w:cs="Arial" w:eastAsia="Arial" w:hAnsi="Arial"/>
                <w:sz w:val="18"/>
                <w:szCs w:val="18"/>
                <w:color w:val="auto"/>
              </w:rPr>
              <w:t>Units O/(U) prior year</w:t>
            </w:r>
          </w:p>
        </w:tc>
        <w:tc>
          <w:tcPr>
            <w:tcW w:w="4360" w:type="dxa"/>
            <w:vAlign w:val="bottom"/>
            <w:gridSpan w:val="3"/>
          </w:tcPr>
          <w:p>
            <w:pPr>
              <w:jc w:val="right"/>
              <w:ind w:right="600"/>
              <w:spacing w:after="0"/>
              <w:rPr>
                <w:sz w:val="20"/>
                <w:szCs w:val="20"/>
                <w:color w:val="auto"/>
              </w:rPr>
            </w:pPr>
            <w:r>
              <w:rPr>
                <w:rFonts w:ascii="Arial" w:cs="Arial" w:eastAsia="Arial" w:hAnsi="Arial"/>
                <w:sz w:val="18"/>
                <w:szCs w:val="18"/>
                <w:color w:val="auto"/>
              </w:rPr>
              <w:t>(38)</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 O/(U) prior year</w:t>
            </w:r>
          </w:p>
        </w:tc>
        <w:tc>
          <w:tcPr>
            <w:tcW w:w="4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2009 Q4</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660" w:type="dxa"/>
            <w:vAlign w:val="bottom"/>
          </w:tcPr>
          <w:p>
            <w:pPr>
              <w:spacing w:after="0"/>
              <w:rPr>
                <w:sz w:val="24"/>
                <w:szCs w:val="2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382</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618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Units O/(U) prior year</w:t>
            </w:r>
          </w:p>
        </w:tc>
        <w:tc>
          <w:tcPr>
            <w:tcW w:w="4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(129)</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(197)</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 change O/(U) prior year</w:t>
            </w:r>
          </w:p>
        </w:tc>
        <w:tc>
          <w:tcPr>
            <w:tcW w:w="4360" w:type="dxa"/>
            <w:vAlign w:val="bottom"/>
            <w:gridSpan w:val="3"/>
          </w:tcPr>
          <w:p>
            <w:pPr>
              <w:jc w:val="right"/>
              <w:ind w:right="44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3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 Q1</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440"/>
              <w:spacing w:after="0"/>
              <w:rPr>
                <w:sz w:val="20"/>
                <w:szCs w:val="20"/>
                <w:color w:val="auto"/>
              </w:rPr>
            </w:pPr>
            <w:r>
              <w:rPr>
                <w:rFonts w:ascii="Arial" w:cs="Arial" w:eastAsia="Arial" w:hAnsi="Arial"/>
                <w:sz w:val="18"/>
                <w:szCs w:val="18"/>
                <w:color w:val="auto"/>
              </w:rPr>
              <w:t>Units O/(U) prior year</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158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279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 O/(U) prior year</w:t>
            </w:r>
          </w:p>
        </w:tc>
        <w:tc>
          <w:tcPr>
            <w:tcW w:w="4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421"/>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GM U.S. Dealer Inventory</w:t>
            </w:r>
          </w:p>
        </w:tc>
        <w:tc>
          <w:tcPr>
            <w:tcW w:w="3380" w:type="dxa"/>
            <w:vAlign w:val="bottom"/>
          </w:tcPr>
          <w:p>
            <w:pPr>
              <w:spacing w:after="0"/>
              <w:rPr>
                <w:sz w:val="24"/>
                <w:szCs w:val="24"/>
                <w:color w:val="auto"/>
              </w:rPr>
            </w:pPr>
          </w:p>
        </w:tc>
        <w:tc>
          <w:tcPr>
            <w:tcW w:w="9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Car</w:t>
            </w:r>
          </w:p>
        </w:tc>
        <w:tc>
          <w:tcPr>
            <w:tcW w:w="1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Truck</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620" w:type="dxa"/>
            <w:vAlign w:val="bottom"/>
          </w:tcPr>
          <w:p>
            <w:pPr>
              <w:ind w:left="20"/>
              <w:spacing w:after="0" w:line="159" w:lineRule="exact"/>
              <w:rPr>
                <w:sz w:val="20"/>
                <w:szCs w:val="20"/>
                <w:color w:val="auto"/>
              </w:rPr>
            </w:pPr>
            <w:r>
              <w:rPr>
                <w:rFonts w:ascii="Arial" w:cs="Arial" w:eastAsia="Arial" w:hAnsi="Arial"/>
                <w:sz w:val="14"/>
                <w:szCs w:val="14"/>
                <w:color w:val="auto"/>
                <w:w w:val="87"/>
              </w:rPr>
              <w:t>Units 000s</w:t>
            </w:r>
          </w:p>
        </w:tc>
        <w:tc>
          <w:tcPr>
            <w:tcW w:w="33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0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January 4, 2010</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ind w:left="440"/>
              <w:spacing w:after="0"/>
              <w:rPr>
                <w:sz w:val="20"/>
                <w:szCs w:val="20"/>
                <w:color w:val="auto"/>
              </w:rPr>
            </w:pPr>
            <w:r>
              <w:rPr>
                <w:rFonts w:ascii="Arial" w:cs="Arial" w:eastAsia="Arial" w:hAnsi="Arial"/>
                <w:sz w:val="18"/>
                <w:szCs w:val="18"/>
                <w:color w:val="auto"/>
              </w:rPr>
              <w:t>Units O/(U) prior year</w:t>
            </w:r>
          </w:p>
        </w:tc>
        <w:tc>
          <w:tcPr>
            <w:tcW w:w="4360" w:type="dxa"/>
            <w:vAlign w:val="bottom"/>
            <w:gridSpan w:val="3"/>
          </w:tcPr>
          <w:p>
            <w:pPr>
              <w:jc w:val="right"/>
              <w:ind w:right="600"/>
              <w:spacing w:after="0"/>
              <w:rPr>
                <w:sz w:val="20"/>
                <w:szCs w:val="20"/>
                <w:color w:val="auto"/>
              </w:rPr>
            </w:pPr>
            <w:r>
              <w:rPr>
                <w:rFonts w:ascii="Arial" w:cs="Arial" w:eastAsia="Arial" w:hAnsi="Arial"/>
                <w:sz w:val="18"/>
                <w:szCs w:val="18"/>
                <w:color w:val="auto"/>
              </w:rPr>
              <w:t>(248)</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(239)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(487)</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 O/(U) prior year</w:t>
            </w:r>
          </w:p>
        </w:tc>
        <w:tc>
          <w:tcPr>
            <w:tcW w:w="4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620" w:type="dxa"/>
            <w:vAlign w:val="bottom"/>
            <w:gridSpan w:val="2"/>
          </w:tcPr>
          <w:p>
            <w:pPr>
              <w:ind w:left="440"/>
              <w:spacing w:after="0"/>
              <w:rPr>
                <w:sz w:val="20"/>
                <w:szCs w:val="20"/>
                <w:color w:val="auto"/>
              </w:rPr>
            </w:pPr>
            <w:r>
              <w:rPr>
                <w:rFonts w:ascii="Arial" w:cs="Arial" w:eastAsia="Arial" w:hAnsi="Arial"/>
                <w:sz w:val="18"/>
                <w:szCs w:val="18"/>
                <w:color w:val="auto"/>
              </w:rPr>
              <w:t>Units O/(U) prior month</w:t>
            </w:r>
          </w:p>
        </w:tc>
        <w:tc>
          <w:tcPr>
            <w:tcW w:w="4360" w:type="dxa"/>
            <w:vAlign w:val="bottom"/>
            <w:gridSpan w:val="3"/>
          </w:tcPr>
          <w:p>
            <w:pPr>
              <w:jc w:val="right"/>
              <w:ind w:right="60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change O/(U) prior month</w:t>
            </w:r>
          </w:p>
        </w:tc>
        <w:tc>
          <w:tcPr>
            <w:tcW w:w="4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January 2, 2009</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660" w:type="dxa"/>
            <w:vAlign w:val="bottom"/>
          </w:tcPr>
          <w:p>
            <w:pPr>
              <w:spacing w:after="0"/>
              <w:rPr>
                <w:sz w:val="24"/>
                <w:szCs w:val="2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475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872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1, 2009</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438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209,000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www.gm.com.</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ectPr>
          <w:pgSz w:w="11900" w:h="16838" w:orient="portrait"/>
          <w:cols w:equalWidth="0" w:num="1">
            <w:col w:w="11340"/>
          </w:cols>
          <w:pgMar w:left="240" w:top="28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dealers in the United States reported the following deliveries:</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740" w:type="dxa"/>
            <w:vAlign w:val="bottom"/>
            <w:tcBorders>
              <w:top w:val="single" w:sz="8" w:color="auto"/>
              <w:left w:val="single" w:sz="8" w:color="auto"/>
              <w:right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jc w:val="right"/>
              <w:ind w:right="316"/>
              <w:spacing w:after="0"/>
              <w:rPr>
                <w:sz w:val="20"/>
                <w:szCs w:val="20"/>
                <w:color w:val="auto"/>
              </w:rPr>
            </w:pPr>
            <w:r>
              <w:rPr>
                <w:rFonts w:ascii="Arial" w:cs="Arial" w:eastAsia="Arial" w:hAnsi="Arial"/>
                <w:sz w:val="14"/>
                <w:szCs w:val="14"/>
                <w:color w:val="auto"/>
              </w:rPr>
              <w:t>December</w:t>
            </w:r>
          </w:p>
        </w:tc>
        <w:tc>
          <w:tcPr>
            <w:tcW w:w="800" w:type="dxa"/>
            <w:vAlign w:val="bottom"/>
            <w:tcBorders>
              <w:top w:val="single" w:sz="8" w:color="auto"/>
              <w:right w:val="single" w:sz="8" w:color="auto"/>
            </w:tcBorders>
          </w:tcPr>
          <w:p>
            <w:pPr>
              <w:spacing w:after="0"/>
              <w:rPr>
                <w:sz w:val="13"/>
                <w:szCs w:val="13"/>
                <w:color w:val="auto"/>
              </w:rPr>
            </w:pPr>
          </w:p>
        </w:tc>
        <w:tc>
          <w:tcPr>
            <w:tcW w:w="2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(Calendar Year-to-Date)</w:t>
            </w:r>
          </w:p>
        </w:tc>
        <w:tc>
          <w:tcPr>
            <w:tcW w:w="5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740" w:type="dxa"/>
            <w:vAlign w:val="bottom"/>
            <w:tcBorders>
              <w:left w:val="single" w:sz="8" w:color="auto"/>
              <w:right w:val="single" w:sz="8" w:color="auto"/>
            </w:tcBorders>
            <w:vMerge w:val="restart"/>
          </w:tcPr>
          <w:p>
            <w:pPr>
              <w:ind w:left="120"/>
              <w:spacing w:after="0" w:line="156" w:lineRule="exact"/>
              <w:rPr>
                <w:sz w:val="20"/>
                <w:szCs w:val="20"/>
                <w:color w:val="auto"/>
              </w:rPr>
            </w:pPr>
            <w:r>
              <w:rPr>
                <w:rFonts w:ascii="Arial" w:cs="Arial" w:eastAsia="Arial" w:hAnsi="Arial"/>
                <w:sz w:val="14"/>
                <w:szCs w:val="14"/>
                <w:color w:val="auto"/>
              </w:rPr>
              <w:t>*S/D Curr: 28</w:t>
            </w:r>
          </w:p>
        </w:tc>
        <w:tc>
          <w:tcPr>
            <w:tcW w:w="8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00" w:type="dxa"/>
            <w:vAlign w:val="bottom"/>
            <w:gridSpan w:val="2"/>
            <w:vMerge w:val="restart"/>
          </w:tcPr>
          <w:p>
            <w:pPr>
              <w:jc w:val="right"/>
              <w:ind w:right="54"/>
              <w:spacing w:after="0" w:line="156" w:lineRule="exact"/>
              <w:rPr>
                <w:sz w:val="20"/>
                <w:szCs w:val="20"/>
                <w:color w:val="auto"/>
              </w:rPr>
            </w:pPr>
            <w:r>
              <w:rPr>
                <w:rFonts w:ascii="Arial" w:cs="Arial" w:eastAsia="Arial" w:hAnsi="Arial"/>
                <w:sz w:val="14"/>
                <w:szCs w:val="14"/>
                <w:color w:val="auto"/>
              </w:rPr>
              <w:t>January - December</w:t>
            </w: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7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gridSpan w:val="2"/>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800" w:type="dxa"/>
            <w:vAlign w:val="bottom"/>
            <w:tcBorders>
              <w:right w:val="single" w:sz="8" w:color="auto"/>
            </w:tcBorders>
          </w:tcPr>
          <w:p>
            <w:pPr>
              <w:jc w:val="right"/>
              <w:ind w:right="16"/>
              <w:spacing w:after="0" w:line="115" w:lineRule="exact"/>
              <w:rPr>
                <w:sz w:val="20"/>
                <w:szCs w:val="20"/>
                <w:color w:val="auto"/>
              </w:rPr>
            </w:pPr>
            <w:r>
              <w:rPr>
                <w:rFonts w:ascii="Arial" w:cs="Arial" w:eastAsia="Arial" w:hAnsi="Arial"/>
                <w:sz w:val="12"/>
                <w:szCs w:val="12"/>
                <w:color w:val="auto"/>
              </w:rPr>
              <w:t>% Chg per</w:t>
            </w: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right"/>
              <w:ind w:right="3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59"/>
        </w:trPr>
        <w:tc>
          <w:tcPr>
            <w:tcW w:w="57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26</w:t>
            </w:r>
          </w:p>
        </w:tc>
        <w:tc>
          <w:tcPr>
            <w:tcW w:w="8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Volume</w:t>
            </w:r>
          </w:p>
        </w:tc>
        <w:tc>
          <w:tcPr>
            <w:tcW w:w="800" w:type="dxa"/>
            <w:vAlign w:val="bottom"/>
            <w:tcBorders>
              <w:bottom w:val="single" w:sz="8" w:color="auto"/>
              <w:right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S/D</w:t>
            </w:r>
          </w:p>
        </w:tc>
        <w:tc>
          <w:tcPr>
            <w:tcW w:w="100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208,511</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221,983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-12.8</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2,084,492</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2,980,688</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Core Brand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193,824</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189,618</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-5.1</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1,815,806</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99"/>
              </w:rPr>
              <w:t>2,476,483</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Non-Core Brand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14,687</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32,365</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-54.6</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-57.9</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268,686</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504,205</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Light Vehicle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207,538</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220,030</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-12.4</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2,071,749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99"/>
              </w:rPr>
              <w:t>2,954,819</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Car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79,417</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87,506</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-15.7</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874,270</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1,257,481</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Light Truck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128,121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132,524</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-10.2</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1,197,479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w w:val="99"/>
              </w:rPr>
              <w:t>1,697,338</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Truck Total **</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129,094</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134,477</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80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-10.9</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1,210,222</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1,723,207</w:t>
            </w:r>
          </w:p>
        </w:tc>
        <w:tc>
          <w:tcPr>
            <w:tcW w:w="58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Vehicle 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57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800" w:type="dxa"/>
            <w:vAlign w:val="bottom"/>
            <w:tcBorders>
              <w:right w:val="single" w:sz="8" w:color="auto"/>
            </w:tcBorders>
          </w:tcPr>
          <w:p>
            <w:pPr>
              <w:jc w:val="right"/>
              <w:ind w:right="16"/>
              <w:spacing w:after="0" w:line="115" w:lineRule="exact"/>
              <w:rPr>
                <w:sz w:val="20"/>
                <w:szCs w:val="20"/>
                <w:color w:val="auto"/>
              </w:rPr>
            </w:pPr>
            <w:r>
              <w:rPr>
                <w:rFonts w:ascii="Arial" w:cs="Arial" w:eastAsia="Arial" w:hAnsi="Arial"/>
                <w:sz w:val="12"/>
                <w:szCs w:val="12"/>
                <w:color w:val="auto"/>
              </w:rPr>
              <w:t>% Chg per</w:t>
            </w: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right"/>
              <w:ind w:right="3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jc w:val="right"/>
              <w:ind w:right="34"/>
              <w:spacing w:after="0" w:line="156"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rPr>
              <w:t>Volume</w:t>
            </w:r>
          </w:p>
        </w:tc>
        <w:tc>
          <w:tcPr>
            <w:tcW w:w="800" w:type="dxa"/>
            <w:vAlign w:val="bottom"/>
            <w:tcBorders>
              <w:bottom w:val="single" w:sz="8" w:color="auto"/>
              <w:right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rPr>
              <w:t>S/D</w:t>
            </w:r>
          </w:p>
        </w:tc>
        <w:tc>
          <w:tcPr>
            <w:tcW w:w="100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6"/>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5740" w:type="dxa"/>
            <w:vAlign w:val="bottom"/>
            <w:tcBorders>
              <w:top w:val="single" w:sz="8" w:color="auto"/>
              <w:left w:val="single" w:sz="8" w:color="auto"/>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88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Arial" w:cs="Arial" w:eastAsia="Arial" w:hAnsi="Arial"/>
                <w:sz w:val="18"/>
                <w:szCs w:val="18"/>
                <w:color w:val="auto"/>
              </w:rPr>
              <w:t>12,237</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8,909</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37.4</w:t>
            </w:r>
          </w:p>
        </w:tc>
        <w:tc>
          <w:tcPr>
            <w:tcW w:w="800" w:type="dxa"/>
            <w:vAlign w:val="bottom"/>
            <w:tcBorders>
              <w:top w:val="single" w:sz="8" w:color="CCEEFF"/>
              <w:right w:val="single" w:sz="8" w:color="auto"/>
            </w:tcBorders>
            <w:shd w:val="clear" w:color="auto" w:fill="CCEEFF"/>
          </w:tcPr>
          <w:p>
            <w:pPr>
              <w:jc w:val="right"/>
              <w:ind w:right="36"/>
              <w:spacing w:after="0" w:line="193" w:lineRule="exact"/>
              <w:rPr>
                <w:sz w:val="20"/>
                <w:szCs w:val="20"/>
                <w:color w:val="auto"/>
              </w:rPr>
            </w:pPr>
            <w:r>
              <w:rPr>
                <w:rFonts w:ascii="Arial" w:cs="Arial" w:eastAsia="Arial" w:hAnsi="Arial"/>
                <w:sz w:val="18"/>
                <w:szCs w:val="18"/>
                <w:color w:val="auto"/>
              </w:rPr>
              <w:t>27.5</w:t>
            </w:r>
          </w:p>
        </w:tc>
        <w:tc>
          <w:tcPr>
            <w:tcW w:w="100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102,306</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Arial" w:cs="Arial" w:eastAsia="Arial" w:hAnsi="Arial"/>
                <w:sz w:val="18"/>
                <w:szCs w:val="18"/>
                <w:color w:val="auto"/>
              </w:rPr>
              <w:t>137,197</w:t>
            </w:r>
          </w:p>
        </w:tc>
        <w:tc>
          <w:tcPr>
            <w:tcW w:w="580" w:type="dxa"/>
            <w:vAlign w:val="bottom"/>
            <w:tcBorders>
              <w:top w:val="single" w:sz="8" w:color="CCEEFF"/>
              <w:right w:val="single" w:sz="8" w:color="auto"/>
            </w:tcBorders>
            <w:shd w:val="clear" w:color="auto" w:fill="CCEEFF"/>
          </w:tcPr>
          <w:p>
            <w:pPr>
              <w:jc w:val="right"/>
              <w:ind w:right="36"/>
              <w:spacing w:after="0" w:line="193"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14,745</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13,235</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109,092</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161,159</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135,622</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137,691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1,344,629</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1,801,131</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31,220</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29,783</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-2.7</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259,779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376,996</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Core Brand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193,824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189,618</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-5.1</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1,815,806</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2,476,483</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2,170</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-85.0</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-86.1</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9,046</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27,485</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8,410</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16,446</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-48.9</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-52.5</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178,300</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267,348</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868</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1,179</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-26.4</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-31.6</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8,680</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21,368</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5,084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12,570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-59.6</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-62.4</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72,660</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188,004</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Non-Core Brand Total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14,687</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32,365</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-54.6</w:t>
            </w:r>
          </w:p>
        </w:tc>
        <w:tc>
          <w:tcPr>
            <w:tcW w:w="80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-57.9</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268,686</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504,205</w:t>
            </w:r>
          </w:p>
        </w:tc>
        <w:tc>
          <w:tcPr>
            <w:tcW w:w="58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208,511</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221,983</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c>
          <w:tcPr>
            <w:tcW w:w="80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-12.8</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2,084,492</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2,980,688</w:t>
            </w:r>
          </w:p>
        </w:tc>
        <w:tc>
          <w:tcPr>
            <w:tcW w:w="58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Car 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57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800" w:type="dxa"/>
            <w:vAlign w:val="bottom"/>
            <w:tcBorders>
              <w:right w:val="single" w:sz="8" w:color="auto"/>
            </w:tcBorders>
          </w:tcPr>
          <w:p>
            <w:pPr>
              <w:jc w:val="right"/>
              <w:ind w:right="16"/>
              <w:spacing w:after="0" w:line="115" w:lineRule="exact"/>
              <w:rPr>
                <w:sz w:val="20"/>
                <w:szCs w:val="20"/>
                <w:color w:val="auto"/>
              </w:rPr>
            </w:pPr>
            <w:r>
              <w:rPr>
                <w:rFonts w:ascii="Arial" w:cs="Arial" w:eastAsia="Arial" w:hAnsi="Arial"/>
                <w:sz w:val="12"/>
                <w:szCs w:val="12"/>
                <w:color w:val="auto"/>
              </w:rPr>
              <w:t>% Chg per</w:t>
            </w: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right"/>
              <w:ind w:right="3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jc w:val="right"/>
              <w:ind w:right="34"/>
              <w:spacing w:after="0" w:line="156"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rPr>
              <w:t>Volume</w:t>
            </w:r>
          </w:p>
        </w:tc>
        <w:tc>
          <w:tcPr>
            <w:tcW w:w="800" w:type="dxa"/>
            <w:vAlign w:val="bottom"/>
            <w:tcBorders>
              <w:bottom w:val="single" w:sz="8" w:color="auto"/>
              <w:right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rPr>
              <w:t>S/D</w:t>
            </w:r>
          </w:p>
        </w:tc>
        <w:tc>
          <w:tcPr>
            <w:tcW w:w="100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6"/>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5740" w:type="dxa"/>
            <w:vAlign w:val="bottom"/>
            <w:tcBorders>
              <w:top w:val="single" w:sz="8" w:color="auto"/>
              <w:left w:val="single" w:sz="8" w:color="auto"/>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88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Arial" w:cs="Arial" w:eastAsia="Arial" w:hAnsi="Arial"/>
                <w:sz w:val="18"/>
                <w:szCs w:val="18"/>
                <w:color w:val="auto"/>
              </w:rPr>
              <w:t>6,788</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5,602</w:t>
            </w:r>
          </w:p>
        </w:tc>
        <w:tc>
          <w:tcPr>
            <w:tcW w:w="64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21.2</w:t>
            </w:r>
          </w:p>
        </w:tc>
        <w:tc>
          <w:tcPr>
            <w:tcW w:w="800" w:type="dxa"/>
            <w:vAlign w:val="bottom"/>
            <w:tcBorders>
              <w:top w:val="single" w:sz="8" w:color="CCEEFF"/>
              <w:right w:val="single" w:sz="8" w:color="auto"/>
            </w:tcBorders>
            <w:shd w:val="clear" w:color="auto" w:fill="CCEEFF"/>
          </w:tcPr>
          <w:p>
            <w:pPr>
              <w:jc w:val="right"/>
              <w:ind w:right="36"/>
              <w:spacing w:after="0" w:line="193" w:lineRule="exact"/>
              <w:rPr>
                <w:sz w:val="20"/>
                <w:szCs w:val="20"/>
                <w:color w:val="auto"/>
              </w:rPr>
            </w:pPr>
            <w:r>
              <w:rPr>
                <w:rFonts w:ascii="Arial" w:cs="Arial" w:eastAsia="Arial" w:hAnsi="Arial"/>
                <w:sz w:val="18"/>
                <w:szCs w:val="18"/>
                <w:color w:val="auto"/>
              </w:rPr>
              <w:t>12.5</w:t>
            </w:r>
          </w:p>
        </w:tc>
        <w:tc>
          <w:tcPr>
            <w:tcW w:w="100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59,110</w:t>
            </w:r>
          </w:p>
        </w:tc>
        <w:tc>
          <w:tcPr>
            <w:tcW w:w="1000" w:type="dxa"/>
            <w:vAlign w:val="bottom"/>
            <w:tcBorders>
              <w:top w:val="single" w:sz="8" w:color="CCEEFF"/>
            </w:tcBorders>
            <w:shd w:val="clear" w:color="auto" w:fill="CCEEFF"/>
          </w:tcPr>
          <w:p>
            <w:pPr>
              <w:jc w:val="right"/>
              <w:ind w:right="94"/>
              <w:spacing w:after="0" w:line="193" w:lineRule="exact"/>
              <w:rPr>
                <w:sz w:val="20"/>
                <w:szCs w:val="20"/>
                <w:color w:val="auto"/>
              </w:rPr>
            </w:pPr>
            <w:r>
              <w:rPr>
                <w:rFonts w:ascii="Arial" w:cs="Arial" w:eastAsia="Arial" w:hAnsi="Arial"/>
                <w:sz w:val="18"/>
                <w:szCs w:val="18"/>
                <w:color w:val="auto"/>
              </w:rPr>
              <w:t>91,803</w:t>
            </w:r>
          </w:p>
        </w:tc>
        <w:tc>
          <w:tcPr>
            <w:tcW w:w="580" w:type="dxa"/>
            <w:vAlign w:val="bottom"/>
            <w:tcBorders>
              <w:top w:val="single" w:sz="8" w:color="CCEEFF"/>
              <w:right w:val="single" w:sz="8" w:color="auto"/>
            </w:tcBorders>
            <w:shd w:val="clear" w:color="auto" w:fill="CCEEFF"/>
          </w:tcPr>
          <w:p>
            <w:pPr>
              <w:jc w:val="right"/>
              <w:ind w:right="36"/>
              <w:spacing w:after="0" w:line="193"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6,484</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7,214</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-16.5</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62,971</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105,293</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53,599</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54,871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-9.3</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545,961</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715,193</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Car Core Brand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66,871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67,687</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-8.3</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668,042</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912,289</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8,165</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14,381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-43.2</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-47.3</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168,662</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246,659</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786</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804</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-9.2</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6,462</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17,708</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3,595</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4,634</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-22.4</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-28.0</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31,104</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80,825</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Car Non-Core Brand Total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12,546</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19,819</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-36.7</w:t>
            </w:r>
          </w:p>
        </w:tc>
        <w:tc>
          <w:tcPr>
            <w:tcW w:w="80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-41.2</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206,228</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345,192</w:t>
            </w:r>
          </w:p>
        </w:tc>
        <w:tc>
          <w:tcPr>
            <w:tcW w:w="58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Car Total</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79,417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87,506</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80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-15.7</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874,270</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1,257,481</w:t>
            </w:r>
          </w:p>
        </w:tc>
        <w:tc>
          <w:tcPr>
            <w:tcW w:w="58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Light TruckDeliveries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5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74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right"/>
              <w:ind w:right="16"/>
              <w:spacing w:after="0" w:line="131" w:lineRule="exact"/>
              <w:rPr>
                <w:sz w:val="20"/>
                <w:szCs w:val="20"/>
                <w:color w:val="auto"/>
              </w:rPr>
            </w:pPr>
            <w:r>
              <w:rPr>
                <w:rFonts w:ascii="Arial" w:cs="Arial" w:eastAsia="Arial" w:hAnsi="Arial"/>
                <w:sz w:val="14"/>
                <w:szCs w:val="14"/>
                <w:color w:val="auto"/>
              </w:rPr>
              <w:t>% Chg</w:t>
            </w:r>
          </w:p>
        </w:tc>
        <w:tc>
          <w:tcPr>
            <w:tcW w:w="800" w:type="dxa"/>
            <w:vAlign w:val="bottom"/>
            <w:tcBorders>
              <w:right w:val="single" w:sz="8" w:color="auto"/>
            </w:tcBorders>
          </w:tcPr>
          <w:p>
            <w:pPr>
              <w:jc w:val="right"/>
              <w:ind w:right="16"/>
              <w:spacing w:after="0" w:line="131" w:lineRule="exact"/>
              <w:rPr>
                <w:sz w:val="20"/>
                <w:szCs w:val="20"/>
                <w:color w:val="auto"/>
              </w:rPr>
            </w:pPr>
            <w:r>
              <w:rPr>
                <w:rFonts w:ascii="Arial" w:cs="Arial" w:eastAsia="Arial" w:hAnsi="Arial"/>
                <w:sz w:val="14"/>
                <w:szCs w:val="14"/>
                <w:color w:val="auto"/>
              </w:rPr>
              <w:t>% Chg per</w:t>
            </w: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Borders>
              <w:right w:val="single" w:sz="8" w:color="auto"/>
            </w:tcBorders>
          </w:tcPr>
          <w:p>
            <w:pPr>
              <w:jc w:val="right"/>
              <w:ind w:right="36"/>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5740" w:type="dxa"/>
            <w:vAlign w:val="bottom"/>
            <w:tcBorders>
              <w:left w:val="single" w:sz="8" w:color="auto"/>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Volume</w:t>
            </w:r>
          </w:p>
        </w:tc>
        <w:tc>
          <w:tcPr>
            <w:tcW w:w="800" w:type="dxa"/>
            <w:vAlign w:val="bottom"/>
            <w:tcBorders>
              <w:bottom w:val="single" w:sz="8" w:color="auto"/>
              <w:right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rPr>
              <w:t>S/D</w:t>
            </w:r>
          </w:p>
        </w:tc>
        <w:tc>
          <w:tcPr>
            <w:tcW w:w="100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5,449</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3,307</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64.8</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53.0</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43,196</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45,394</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8,261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6,021</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37.2</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27.4</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46,121</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55,866</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81,530</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81,862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792,651</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1,075,326</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30,740</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28,788</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-0.8</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253,053</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361,739</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Truck Core Brand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125,980</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119,978</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1,135,021</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1,538,325</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2,170</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-85.0</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-86.1</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9,046</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27,485</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2,065</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-88.1</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-89.0</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9,638</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20,689</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375</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-78.1</w:t>
            </w:r>
          </w:p>
        </w:tc>
        <w:tc>
          <w:tcPr>
            <w:tcW w:w="80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-79.7</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2,218</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3,660</w:t>
            </w:r>
          </w:p>
        </w:tc>
        <w:tc>
          <w:tcPr>
            <w:tcW w:w="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1,489</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7,936</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-81.2</w:t>
            </w:r>
          </w:p>
        </w:tc>
        <w:tc>
          <w:tcPr>
            <w:tcW w:w="80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-82.6</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41,556</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107,179</w:t>
            </w:r>
          </w:p>
        </w:tc>
        <w:tc>
          <w:tcPr>
            <w:tcW w:w="58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3"/>
        </w:trPr>
        <w:tc>
          <w:tcPr>
            <w:tcW w:w="574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Truck Non-Core Brand Total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2,141</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12,546</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-82.9</w:t>
            </w:r>
          </w:p>
        </w:tc>
        <w:tc>
          <w:tcPr>
            <w:tcW w:w="80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-84.2</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62,458</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159,013</w:t>
            </w:r>
          </w:p>
        </w:tc>
        <w:tc>
          <w:tcPr>
            <w:tcW w:w="58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7"/>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Light Truck Total</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128,121</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132,524</w:t>
            </w: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80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1,197,479</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1,697,338</w:t>
            </w:r>
          </w:p>
        </w:tc>
        <w:tc>
          <w:tcPr>
            <w:tcW w:w="58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774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74065"/>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Twenty-eight selling days (S/D) for the December period this year and twenty-seven for last year.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140" w:type="dxa"/>
            <w:vAlign w:val="bottom"/>
            <w:tcBorders>
              <w:top w:val="single" w:sz="8" w:color="auto"/>
              <w:left w:val="single" w:sz="8" w:color="auto"/>
              <w:right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vMerge w:val="restart"/>
          </w:tcPr>
          <w:p>
            <w:pPr>
              <w:jc w:val="right"/>
              <w:ind w:right="333"/>
              <w:spacing w:after="0"/>
              <w:rPr>
                <w:sz w:val="20"/>
                <w:szCs w:val="20"/>
                <w:color w:val="auto"/>
              </w:rPr>
            </w:pPr>
            <w:r>
              <w:rPr>
                <w:rFonts w:ascii="Arial" w:cs="Arial" w:eastAsia="Arial" w:hAnsi="Arial"/>
                <w:sz w:val="14"/>
                <w:szCs w:val="14"/>
                <w:color w:val="auto"/>
              </w:rPr>
              <w:t>December</w:t>
            </w:r>
          </w:p>
        </w:tc>
        <w:tc>
          <w:tcPr>
            <w:tcW w:w="860" w:type="dxa"/>
            <w:vAlign w:val="bottom"/>
            <w:tcBorders>
              <w:top w:val="single" w:sz="8" w:color="auto"/>
              <w:right w:val="single" w:sz="8" w:color="auto"/>
            </w:tcBorders>
          </w:tcPr>
          <w:p>
            <w:pPr>
              <w:spacing w:after="0"/>
              <w:rPr>
                <w:sz w:val="13"/>
                <w:szCs w:val="13"/>
                <w:color w:val="auto"/>
              </w:rPr>
            </w:pPr>
          </w:p>
        </w:tc>
        <w:tc>
          <w:tcPr>
            <w:tcW w:w="230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6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140" w:type="dxa"/>
            <w:vAlign w:val="bottom"/>
            <w:tcBorders>
              <w:left w:val="single" w:sz="8" w:color="auto"/>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320" w:type="dxa"/>
            <w:vAlign w:val="bottom"/>
            <w:vMerge w:val="restart"/>
          </w:tcPr>
          <w:p>
            <w:pPr>
              <w:jc w:val="right"/>
              <w:ind w:right="93"/>
              <w:spacing w:after="0" w:line="159" w:lineRule="exact"/>
              <w:rPr>
                <w:sz w:val="20"/>
                <w:szCs w:val="20"/>
                <w:color w:val="auto"/>
              </w:rPr>
            </w:pPr>
            <w:r>
              <w:rPr>
                <w:rFonts w:ascii="Arial" w:cs="Arial" w:eastAsia="Arial" w:hAnsi="Arial"/>
                <w:sz w:val="14"/>
                <w:szCs w:val="14"/>
                <w:color w:val="auto"/>
                <w:w w:val="88"/>
              </w:rPr>
              <w:t>January - December</w:t>
            </w:r>
          </w:p>
        </w:tc>
        <w:tc>
          <w:tcPr>
            <w:tcW w:w="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140" w:type="dxa"/>
            <w:vAlign w:val="bottom"/>
            <w:tcBorders>
              <w:left w:val="single" w:sz="8" w:color="auto"/>
              <w:right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5140" w:type="dxa"/>
            <w:vAlign w:val="bottom"/>
            <w:tcBorders>
              <w:left w:val="single" w:sz="8" w:color="auto"/>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jc w:val="right"/>
              <w:ind w:right="93"/>
              <w:spacing w:after="0" w:line="131" w:lineRule="exact"/>
              <w:rPr>
                <w:sz w:val="20"/>
                <w:szCs w:val="20"/>
                <w:color w:val="auto"/>
              </w:rPr>
            </w:pPr>
            <w:r>
              <w:rPr>
                <w:rFonts w:ascii="Arial" w:cs="Arial" w:eastAsia="Arial" w:hAnsi="Arial"/>
                <w:sz w:val="14"/>
                <w:szCs w:val="14"/>
                <w:color w:val="auto"/>
              </w:rPr>
              <w:t>% Chg</w:t>
            </w:r>
          </w:p>
        </w:tc>
        <w:tc>
          <w:tcPr>
            <w:tcW w:w="86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rPr>
              <w:t>% Chg per</w:t>
            </w:r>
          </w:p>
        </w:tc>
        <w:tc>
          <w:tcPr>
            <w:tcW w:w="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5140" w:type="dxa"/>
            <w:vAlign w:val="bottom"/>
            <w:tcBorders>
              <w:left w:val="single" w:sz="8" w:color="auto"/>
              <w:bottom w:val="single" w:sz="8" w:color="auto"/>
              <w:right w:val="single" w:sz="8" w:color="auto"/>
            </w:tcBorders>
          </w:tcPr>
          <w:p>
            <w:pPr>
              <w:spacing w:after="0"/>
              <w:rPr>
                <w:sz w:val="13"/>
                <w:szCs w:val="13"/>
                <w:color w:val="auto"/>
              </w:rPr>
            </w:pPr>
          </w:p>
        </w:tc>
        <w:tc>
          <w:tcPr>
            <w:tcW w:w="10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2008</w:t>
            </w:r>
          </w:p>
        </w:tc>
        <w:tc>
          <w:tcPr>
            <w:tcW w:w="70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Volume</w:t>
            </w:r>
          </w:p>
        </w:tc>
        <w:tc>
          <w:tcPr>
            <w:tcW w:w="860" w:type="dxa"/>
            <w:vAlign w:val="bottom"/>
            <w:tcBorders>
              <w:bottom w:val="single" w:sz="8" w:color="auto"/>
              <w:right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S/D</w:t>
            </w: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1320" w:type="dxa"/>
            <w:vAlign w:val="bottom"/>
            <w:tcBorders>
              <w:bottom w:val="single" w:sz="8" w:color="auto"/>
            </w:tcBorders>
          </w:tcPr>
          <w:p>
            <w:pPr>
              <w:jc w:val="right"/>
              <w:ind w:right="213"/>
              <w:spacing w:after="0" w:line="159" w:lineRule="exact"/>
              <w:rPr>
                <w:sz w:val="20"/>
                <w:szCs w:val="20"/>
                <w:color w:val="auto"/>
              </w:rPr>
            </w:pPr>
            <w:r>
              <w:rPr>
                <w:rFonts w:ascii="Arial" w:cs="Arial" w:eastAsia="Arial" w:hAnsi="Arial"/>
                <w:sz w:val="14"/>
                <w:szCs w:val="14"/>
                <w:color w:val="auto"/>
              </w:rPr>
              <w:t>2008</w:t>
            </w:r>
          </w:p>
        </w:tc>
        <w:tc>
          <w:tcPr>
            <w:tcW w:w="62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Volume</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LaCrosse</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4,581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1,451</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215.7</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193.2</w:t>
            </w:r>
          </w:p>
        </w:tc>
        <w:tc>
          <w:tcPr>
            <w:tcW w:w="980" w:type="dxa"/>
            <w:vAlign w:val="bottom"/>
          </w:tcPr>
          <w:p>
            <w:pPr>
              <w:jc w:val="right"/>
              <w:spacing w:after="0"/>
              <w:rPr>
                <w:sz w:val="20"/>
                <w:szCs w:val="20"/>
                <w:color w:val="auto"/>
              </w:rPr>
            </w:pPr>
            <w:r>
              <w:rPr>
                <w:rFonts w:ascii="Arial" w:cs="Arial" w:eastAsia="Arial" w:hAnsi="Arial"/>
                <w:sz w:val="18"/>
                <w:szCs w:val="18"/>
                <w:color w:val="auto"/>
              </w:rPr>
              <w:t>27,818</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36,873</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Lucerne</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2,207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4,151</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-46.8</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54,930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Buick Total</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6,788</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5,602</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21.2</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59,110</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91,803</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CTS</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4,180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4,396</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38,817</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58,774</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DTS</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1,901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1,812</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980" w:type="dxa"/>
            <w:vAlign w:val="bottom"/>
          </w:tcPr>
          <w:p>
            <w:pPr>
              <w:jc w:val="right"/>
              <w:spacing w:after="0"/>
              <w:rPr>
                <w:sz w:val="20"/>
                <w:szCs w:val="20"/>
                <w:color w:val="auto"/>
              </w:rPr>
            </w:pPr>
            <w:r>
              <w:rPr>
                <w:rFonts w:ascii="Arial" w:cs="Arial" w:eastAsia="Arial" w:hAnsi="Arial"/>
                <w:sz w:val="18"/>
                <w:szCs w:val="18"/>
                <w:color w:val="auto"/>
              </w:rPr>
              <w:t>17,330</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30,479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STS</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907</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14,790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XLR</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-56.6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-59.7</w:t>
            </w:r>
          </w:p>
        </w:tc>
        <w:tc>
          <w:tcPr>
            <w:tcW w:w="980" w:type="dxa"/>
            <w:vAlign w:val="bottom"/>
          </w:tcPr>
          <w:p>
            <w:pPr>
              <w:jc w:val="right"/>
              <w:spacing w:after="0"/>
              <w:rPr>
                <w:sz w:val="20"/>
                <w:szCs w:val="20"/>
                <w:color w:val="auto"/>
              </w:rPr>
            </w:pPr>
            <w:r>
              <w:rPr>
                <w:rFonts w:ascii="Arial" w:cs="Arial" w:eastAsia="Arial" w:hAnsi="Arial"/>
                <w:sz w:val="18"/>
                <w:szCs w:val="18"/>
                <w:color w:val="auto"/>
              </w:rPr>
              <w:t>787</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1,250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9"/>
              </w:rPr>
              <w:t>Cadillac Total</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6,484</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7,214</w:t>
            </w: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-10.1</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62,971</w:t>
            </w:r>
          </w:p>
        </w:tc>
        <w:tc>
          <w:tcPr>
            <w:tcW w:w="13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105,293</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3,359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2,257</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48.8</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38.2</w:t>
            </w:r>
          </w:p>
        </w:tc>
        <w:tc>
          <w:tcPr>
            <w:tcW w:w="980" w:type="dxa"/>
            <w:vAlign w:val="bottom"/>
          </w:tcPr>
          <w:p>
            <w:pPr>
              <w:jc w:val="right"/>
              <w:spacing w:after="0"/>
              <w:rPr>
                <w:sz w:val="20"/>
                <w:szCs w:val="20"/>
                <w:color w:val="auto"/>
              </w:rPr>
            </w:pPr>
            <w:r>
              <w:rPr>
                <w:rFonts w:ascii="Arial" w:cs="Arial" w:eastAsia="Arial" w:hAnsi="Arial"/>
                <w:sz w:val="18"/>
                <w:szCs w:val="18"/>
                <w:color w:val="auto"/>
              </w:rPr>
              <w:t>38,516</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55,360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7,548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61,648</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8,672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12,786</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-32.2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-37.0</w:t>
            </w:r>
          </w:p>
        </w:tc>
        <w:tc>
          <w:tcPr>
            <w:tcW w:w="980" w:type="dxa"/>
            <w:vAlign w:val="bottom"/>
          </w:tcPr>
          <w:p>
            <w:pPr>
              <w:jc w:val="right"/>
              <w:spacing w:after="0"/>
              <w:rPr>
                <w:sz w:val="20"/>
                <w:szCs w:val="20"/>
                <w:color w:val="auto"/>
              </w:rPr>
            </w:pPr>
            <w:r>
              <w:rPr>
                <w:rFonts w:ascii="Arial" w:cs="Arial" w:eastAsia="Arial" w:hAnsi="Arial"/>
                <w:sz w:val="18"/>
                <w:szCs w:val="18"/>
                <w:color w:val="auto"/>
              </w:rPr>
              <w:t>104,724</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188,045</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Corvette</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1,033</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1,324</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26,971</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13,613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21,148</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-35.6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-40.2</w:t>
            </w:r>
          </w:p>
        </w:tc>
        <w:tc>
          <w:tcPr>
            <w:tcW w:w="980" w:type="dxa"/>
            <w:vAlign w:val="bottom"/>
          </w:tcPr>
          <w:p>
            <w:pPr>
              <w:jc w:val="right"/>
              <w:spacing w:after="0"/>
              <w:rPr>
                <w:sz w:val="20"/>
                <w:szCs w:val="20"/>
                <w:color w:val="auto"/>
              </w:rPr>
            </w:pPr>
            <w:r>
              <w:rPr>
                <w:rFonts w:ascii="Arial" w:cs="Arial" w:eastAsia="Arial" w:hAnsi="Arial"/>
                <w:sz w:val="18"/>
                <w:szCs w:val="18"/>
                <w:color w:val="auto"/>
              </w:rPr>
              <w:t>165,565</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265,840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19,374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17,355</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161,568</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178,253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711</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SSR</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0"/>
              </w:rPr>
              <w:t>Chevrolet Total</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53,599</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54,871</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-9.3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545,961</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715,193</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Core Brand Total</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66,871</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67,687</w:t>
            </w: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668,042</w:t>
            </w:r>
          </w:p>
        </w:tc>
        <w:tc>
          <w:tcPr>
            <w:tcW w:w="13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912,289</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G3 Wave</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633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6,223</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G5</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1,270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2,464</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-48.5</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25,439</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G6</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3,916</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7,706</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-49.2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-52.8</w:t>
            </w:r>
          </w:p>
        </w:tc>
        <w:tc>
          <w:tcPr>
            <w:tcW w:w="980" w:type="dxa"/>
            <w:vAlign w:val="bottom"/>
          </w:tcPr>
          <w:p>
            <w:pPr>
              <w:jc w:val="right"/>
              <w:spacing w:after="0"/>
              <w:rPr>
                <w:sz w:val="20"/>
                <w:szCs w:val="20"/>
                <w:color w:val="auto"/>
              </w:rPr>
            </w:pPr>
            <w:r>
              <w:rPr>
                <w:rFonts w:ascii="Arial" w:cs="Arial" w:eastAsia="Arial" w:hAnsi="Arial"/>
                <w:sz w:val="18"/>
                <w:szCs w:val="18"/>
                <w:color w:val="auto"/>
              </w:rPr>
              <w:t>87,171</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140,240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G8</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1,202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1,479</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23,157</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15,002</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GTO</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52</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Grand Prix</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-97.7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8,636</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Solstice</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926</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401</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130.9</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114.4</w:t>
            </w:r>
          </w:p>
        </w:tc>
        <w:tc>
          <w:tcPr>
            <w:tcW w:w="980" w:type="dxa"/>
            <w:vAlign w:val="bottom"/>
          </w:tcPr>
          <w:p>
            <w:pPr>
              <w:jc w:val="right"/>
              <w:spacing w:after="0"/>
              <w:rPr>
                <w:sz w:val="20"/>
                <w:szCs w:val="20"/>
                <w:color w:val="auto"/>
              </w:rPr>
            </w:pPr>
            <w:r>
              <w:rPr>
                <w:rFonts w:ascii="Arial" w:cs="Arial" w:eastAsia="Arial" w:hAnsi="Arial"/>
                <w:sz w:val="18"/>
                <w:szCs w:val="18"/>
                <w:color w:val="auto"/>
              </w:rPr>
              <w:t>5,642</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10,739</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Vibe</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2,066</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-89.7</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33,842</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46,551</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Pontiac Total</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8,165</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14,381</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-43.2</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-47.3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168,662</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246,659</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9-2X</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9-3</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699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684</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980" w:type="dxa"/>
            <w:vAlign w:val="bottom"/>
          </w:tcPr>
          <w:p>
            <w:pPr>
              <w:jc w:val="right"/>
              <w:spacing w:after="0"/>
              <w:rPr>
                <w:sz w:val="20"/>
                <w:szCs w:val="20"/>
                <w:color w:val="auto"/>
              </w:rPr>
            </w:pPr>
            <w:r>
              <w:rPr>
                <w:rFonts w:ascii="Arial" w:cs="Arial" w:eastAsia="Arial" w:hAnsi="Arial"/>
                <w:sz w:val="18"/>
                <w:szCs w:val="18"/>
                <w:color w:val="auto"/>
              </w:rPr>
              <w:t>5,428</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15,167</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9-5</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-27.5</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2,538</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4"/>
              </w:rPr>
              <w:t>Saab Total</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786</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804</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17,708</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Astra</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1,155</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-88.9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11,968</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Aura</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3,052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3,186</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980" w:type="dxa"/>
            <w:vAlign w:val="bottom"/>
          </w:tcPr>
          <w:p>
            <w:pPr>
              <w:jc w:val="right"/>
              <w:spacing w:after="0"/>
              <w:rPr>
                <w:sz w:val="20"/>
                <w:szCs w:val="20"/>
                <w:color w:val="auto"/>
              </w:rPr>
            </w:pPr>
            <w:r>
              <w:rPr>
                <w:rFonts w:ascii="Arial" w:cs="Arial" w:eastAsia="Arial" w:hAnsi="Arial"/>
                <w:sz w:val="18"/>
                <w:szCs w:val="18"/>
                <w:color w:val="auto"/>
              </w:rPr>
              <w:t>21,395</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59,380</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ION</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315</w:t>
            </w:r>
          </w:p>
        </w:tc>
        <w:tc>
          <w:tcPr>
            <w:tcW w:w="6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Sky</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415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292</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42.1</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32.0</w:t>
            </w:r>
          </w:p>
        </w:tc>
        <w:tc>
          <w:tcPr>
            <w:tcW w:w="980" w:type="dxa"/>
            <w:vAlign w:val="bottom"/>
          </w:tcPr>
          <w:p>
            <w:pPr>
              <w:jc w:val="right"/>
              <w:spacing w:after="0"/>
              <w:rPr>
                <w:sz w:val="20"/>
                <w:szCs w:val="20"/>
                <w:color w:val="auto"/>
              </w:rPr>
            </w:pPr>
            <w:r>
              <w:rPr>
                <w:rFonts w:ascii="Arial" w:cs="Arial" w:eastAsia="Arial" w:hAnsi="Arial"/>
                <w:sz w:val="18"/>
                <w:szCs w:val="18"/>
                <w:color w:val="auto"/>
              </w:rPr>
              <w:t>3,399</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9,162</w:t>
            </w: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7"/>
              </w:rPr>
              <w:t>Saturn Total</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3,595</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4,634</w:t>
            </w: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-22.4</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31,104</w:t>
            </w:r>
          </w:p>
        </w:tc>
        <w:tc>
          <w:tcPr>
            <w:tcW w:w="13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80,825</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Non-Core Brand Total</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12,546</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19,819</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-36.7</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-41.2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206,228</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345,192</w:t>
            </w:r>
          </w:p>
        </w:tc>
        <w:tc>
          <w:tcPr>
            <w:tcW w:w="6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0"/>
              </w:rPr>
              <w:t>GM Car Total</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79,417</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87,506</w:t>
            </w: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-9.2</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874,270</w:t>
            </w:r>
          </w:p>
        </w:tc>
        <w:tc>
          <w:tcPr>
            <w:tcW w:w="13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1,257,481</w:t>
            </w:r>
          </w:p>
        </w:tc>
        <w:tc>
          <w:tcPr>
            <w:tcW w:w="6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920" w:type="dxa"/>
            <w:vAlign w:val="bottom"/>
            <w:tcBorders>
              <w:top w:val="single" w:sz="8" w:color="auto"/>
              <w:left w:val="single" w:sz="8" w:color="auto"/>
              <w:right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vMerge w:val="restart"/>
          </w:tcPr>
          <w:p>
            <w:pPr>
              <w:jc w:val="right"/>
              <w:ind w:right="473"/>
              <w:spacing w:after="0"/>
              <w:rPr>
                <w:sz w:val="20"/>
                <w:szCs w:val="20"/>
                <w:color w:val="auto"/>
              </w:rPr>
            </w:pPr>
            <w:r>
              <w:rPr>
                <w:rFonts w:ascii="Arial" w:cs="Arial" w:eastAsia="Arial" w:hAnsi="Arial"/>
                <w:sz w:val="14"/>
                <w:szCs w:val="14"/>
                <w:color w:val="auto"/>
              </w:rPr>
              <w:t>December</w:t>
            </w:r>
          </w:p>
        </w:tc>
        <w:tc>
          <w:tcPr>
            <w:tcW w:w="900" w:type="dxa"/>
            <w:vAlign w:val="bottom"/>
            <w:tcBorders>
              <w:top w:val="single" w:sz="8" w:color="auto"/>
              <w:right w:val="single" w:sz="8" w:color="auto"/>
            </w:tcBorders>
          </w:tcPr>
          <w:p>
            <w:pPr>
              <w:spacing w:after="0"/>
              <w:rPr>
                <w:sz w:val="13"/>
                <w:szCs w:val="13"/>
                <w:color w:val="auto"/>
              </w:rPr>
            </w:pPr>
          </w:p>
        </w:tc>
        <w:tc>
          <w:tcPr>
            <w:tcW w:w="2200" w:type="dxa"/>
            <w:vAlign w:val="bottom"/>
            <w:tcBorders>
              <w:top w:val="single" w:sz="8" w:color="auto"/>
            </w:tcBorders>
            <w:gridSpan w:val="2"/>
          </w:tcPr>
          <w:p>
            <w:pPr>
              <w:jc w:val="right"/>
              <w:ind w:right="13"/>
              <w:spacing w:after="0" w:line="151" w:lineRule="exact"/>
              <w:rPr>
                <w:sz w:val="20"/>
                <w:szCs w:val="20"/>
                <w:color w:val="auto"/>
              </w:rPr>
            </w:pPr>
            <w:r>
              <w:rPr>
                <w:rFonts w:ascii="Arial" w:cs="Arial" w:eastAsia="Arial" w:hAnsi="Arial"/>
                <w:sz w:val="14"/>
                <w:szCs w:val="14"/>
                <w:color w:val="auto"/>
              </w:rPr>
              <w:t>(Calendar Year-to-Date)</w:t>
            </w:r>
          </w:p>
        </w:tc>
        <w:tc>
          <w:tcPr>
            <w:tcW w:w="6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4920" w:type="dxa"/>
            <w:vAlign w:val="bottom"/>
            <w:tcBorders>
              <w:left w:val="single" w:sz="8" w:color="auto"/>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300" w:type="dxa"/>
            <w:vAlign w:val="bottom"/>
            <w:vMerge w:val="restart"/>
          </w:tcPr>
          <w:p>
            <w:pPr>
              <w:jc w:val="right"/>
              <w:ind w:right="113"/>
              <w:spacing w:after="0" w:line="159" w:lineRule="exact"/>
              <w:rPr>
                <w:sz w:val="20"/>
                <w:szCs w:val="20"/>
                <w:color w:val="auto"/>
              </w:rPr>
            </w:pPr>
            <w:r>
              <w:rPr>
                <w:rFonts w:ascii="Arial" w:cs="Arial" w:eastAsia="Arial" w:hAnsi="Arial"/>
                <w:sz w:val="14"/>
                <w:szCs w:val="14"/>
                <w:color w:val="auto"/>
                <w:w w:val="85"/>
              </w:rPr>
              <w:t>January - December</w:t>
            </w: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920" w:type="dxa"/>
            <w:vAlign w:val="bottom"/>
            <w:tcBorders>
              <w:left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4920" w:type="dxa"/>
            <w:vAlign w:val="bottom"/>
            <w:tcBorders>
              <w:left w:val="single" w:sz="8" w:color="auto"/>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jc w:val="right"/>
              <w:ind w:right="93"/>
              <w:spacing w:after="0" w:line="131" w:lineRule="exact"/>
              <w:rPr>
                <w:sz w:val="20"/>
                <w:szCs w:val="20"/>
                <w:color w:val="auto"/>
              </w:rPr>
            </w:pPr>
            <w:r>
              <w:rPr>
                <w:rFonts w:ascii="Arial" w:cs="Arial" w:eastAsia="Arial" w:hAnsi="Arial"/>
                <w:sz w:val="14"/>
                <w:szCs w:val="14"/>
                <w:color w:val="auto"/>
              </w:rPr>
              <w:t>% Chg</w:t>
            </w:r>
          </w:p>
        </w:tc>
        <w:tc>
          <w:tcPr>
            <w:tcW w:w="900" w:type="dxa"/>
            <w:vAlign w:val="bottom"/>
            <w:tcBorders>
              <w:right w:val="single" w:sz="8" w:color="auto"/>
            </w:tcBorders>
          </w:tcPr>
          <w:p>
            <w:pPr>
              <w:jc w:val="right"/>
              <w:ind w:right="73"/>
              <w:spacing w:after="0" w:line="131" w:lineRule="exact"/>
              <w:rPr>
                <w:sz w:val="20"/>
                <w:szCs w:val="20"/>
                <w:color w:val="auto"/>
              </w:rPr>
            </w:pPr>
            <w:r>
              <w:rPr>
                <w:rFonts w:ascii="Arial" w:cs="Arial" w:eastAsia="Arial" w:hAnsi="Arial"/>
                <w:sz w:val="14"/>
                <w:szCs w:val="14"/>
                <w:color w:val="auto"/>
              </w:rPr>
              <w:t>% Chg per</w:t>
            </w:r>
          </w:p>
        </w:tc>
        <w:tc>
          <w:tcPr>
            <w:tcW w:w="9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4920" w:type="dxa"/>
            <w:vAlign w:val="bottom"/>
            <w:tcBorders>
              <w:left w:val="single" w:sz="8" w:color="auto"/>
              <w:bottom w:val="single" w:sz="8" w:color="auto"/>
              <w:right w:val="single" w:sz="8" w:color="auto"/>
            </w:tcBorders>
          </w:tcPr>
          <w:p>
            <w:pPr>
              <w:spacing w:after="0"/>
              <w:rPr>
                <w:sz w:val="13"/>
                <w:szCs w:val="13"/>
                <w:color w:val="auto"/>
              </w:rPr>
            </w:pPr>
          </w:p>
        </w:tc>
        <w:tc>
          <w:tcPr>
            <w:tcW w:w="108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2009</w:t>
            </w:r>
          </w:p>
        </w:tc>
        <w:tc>
          <w:tcPr>
            <w:tcW w:w="9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2008</w:t>
            </w:r>
          </w:p>
        </w:tc>
        <w:tc>
          <w:tcPr>
            <w:tcW w:w="76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Volume</w:t>
            </w:r>
          </w:p>
        </w:tc>
        <w:tc>
          <w:tcPr>
            <w:tcW w:w="900" w:type="dxa"/>
            <w:vAlign w:val="bottom"/>
            <w:tcBorders>
              <w:bottom w:val="single" w:sz="8" w:color="auto"/>
              <w:right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S/D</w:t>
            </w: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13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Volume</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5,449</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3,290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65.6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53.8</w:t>
            </w:r>
          </w:p>
        </w:tc>
        <w:tc>
          <w:tcPr>
            <w:tcW w:w="900" w:type="dxa"/>
            <w:vAlign w:val="bottom"/>
          </w:tcPr>
          <w:p>
            <w:pPr>
              <w:jc w:val="right"/>
              <w:spacing w:after="0"/>
              <w:rPr>
                <w:sz w:val="20"/>
                <w:szCs w:val="20"/>
                <w:color w:val="auto"/>
              </w:rPr>
            </w:pPr>
            <w:r>
              <w:rPr>
                <w:rFonts w:ascii="Arial" w:cs="Arial" w:eastAsia="Arial" w:hAnsi="Arial"/>
                <w:sz w:val="18"/>
                <w:szCs w:val="18"/>
                <w:color w:val="auto"/>
              </w:rPr>
              <w:t>43,150</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44,706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Rendezvous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27</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Terraza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544</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Buick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5,449</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3,307</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64.8</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53.0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43,196</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45,394</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2,137</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2,802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23,947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ESV</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875</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1,226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-28.6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-33.7</w:t>
            </w:r>
          </w:p>
        </w:tc>
        <w:tc>
          <w:tcPr>
            <w:tcW w:w="900" w:type="dxa"/>
            <w:vAlign w:val="bottom"/>
          </w:tcPr>
          <w:p>
            <w:pPr>
              <w:jc w:val="right"/>
              <w:spacing w:after="0"/>
              <w:rPr>
                <w:sz w:val="20"/>
                <w:szCs w:val="20"/>
                <w:color w:val="auto"/>
              </w:rPr>
            </w:pPr>
            <w:r>
              <w:rPr>
                <w:rFonts w:ascii="Arial" w:cs="Arial" w:eastAsia="Arial" w:hAnsi="Arial"/>
                <w:sz w:val="18"/>
                <w:szCs w:val="18"/>
                <w:color w:val="auto"/>
              </w:rPr>
              <w:t>6,588</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11,054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EXT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263</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-55.6</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4,709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SRX</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4,986</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1,401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255.9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230.5</w:t>
            </w:r>
          </w:p>
        </w:tc>
        <w:tc>
          <w:tcPr>
            <w:tcW w:w="900" w:type="dxa"/>
            <w:vAlign w:val="bottom"/>
          </w:tcPr>
          <w:p>
            <w:pPr>
              <w:jc w:val="right"/>
              <w:spacing w:after="0"/>
              <w:rPr>
                <w:sz w:val="20"/>
                <w:szCs w:val="20"/>
                <w:color w:val="auto"/>
              </w:rPr>
            </w:pPr>
            <w:r>
              <w:rPr>
                <w:rFonts w:ascii="Arial" w:cs="Arial" w:eastAsia="Arial" w:hAnsi="Arial"/>
                <w:sz w:val="18"/>
                <w:szCs w:val="18"/>
                <w:color w:val="auto"/>
              </w:rPr>
              <w:t>20,237</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16,156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8,261</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6,021</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37.2</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55,866</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-68.8</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-71.0</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345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-53.1</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1,556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Colorado</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1,799</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4,447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-59.5</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-62.4</w:t>
            </w:r>
          </w:p>
        </w:tc>
        <w:tc>
          <w:tcPr>
            <w:tcW w:w="900" w:type="dxa"/>
            <w:vAlign w:val="bottom"/>
          </w:tcPr>
          <w:p>
            <w:pPr>
              <w:jc w:val="right"/>
              <w:spacing w:after="0"/>
              <w:rPr>
                <w:sz w:val="20"/>
                <w:szCs w:val="20"/>
                <w:color w:val="auto"/>
              </w:rPr>
            </w:pPr>
            <w:r>
              <w:rPr>
                <w:rFonts w:ascii="Arial" w:cs="Arial" w:eastAsia="Arial" w:hAnsi="Arial"/>
                <w:sz w:val="18"/>
                <w:szCs w:val="18"/>
                <w:color w:val="auto"/>
              </w:rPr>
              <w:t>32,413</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54,346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12,711</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5,747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121.2</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67,447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5,162</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6,255</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-17.5</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-23.4</w:t>
            </w:r>
          </w:p>
        </w:tc>
        <w:tc>
          <w:tcPr>
            <w:tcW w:w="900" w:type="dxa"/>
            <w:vAlign w:val="bottom"/>
          </w:tcPr>
          <w:p>
            <w:pPr>
              <w:jc w:val="right"/>
              <w:spacing w:after="0"/>
              <w:rPr>
                <w:sz w:val="20"/>
                <w:szCs w:val="20"/>
                <w:color w:val="auto"/>
              </w:rPr>
            </w:pPr>
            <w:r>
              <w:rPr>
                <w:rFonts w:ascii="Arial" w:cs="Arial" w:eastAsia="Arial" w:hAnsi="Arial"/>
                <w:sz w:val="18"/>
                <w:szCs w:val="18"/>
                <w:color w:val="auto"/>
              </w:rPr>
              <w:t>54,302</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86,986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3,440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6,869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70,842</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96,053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4/5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404</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683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-45.1</w:t>
            </w:r>
          </w:p>
        </w:tc>
        <w:tc>
          <w:tcPr>
            <w:tcW w:w="900" w:type="dxa"/>
            <w:vAlign w:val="bottom"/>
          </w:tcPr>
          <w:p>
            <w:pPr>
              <w:jc w:val="right"/>
              <w:spacing w:after="0"/>
              <w:rPr>
                <w:sz w:val="20"/>
                <w:szCs w:val="20"/>
                <w:color w:val="auto"/>
              </w:rPr>
            </w:pPr>
            <w:r>
              <w:rPr>
                <w:rFonts w:ascii="Arial" w:cs="Arial" w:eastAsia="Arial" w:hAnsi="Arial"/>
                <w:sz w:val="18"/>
                <w:szCs w:val="18"/>
                <w:color w:val="auto"/>
              </w:rPr>
              <w:t>4,369</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7,125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6/7/8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-76.4</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1,586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4,705</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6,055</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-22.3</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-27.8</w:t>
            </w:r>
          </w:p>
        </w:tc>
        <w:tc>
          <w:tcPr>
            <w:tcW w:w="900" w:type="dxa"/>
            <w:vAlign w:val="bottom"/>
          </w:tcPr>
          <w:p>
            <w:pPr>
              <w:jc w:val="right"/>
              <w:spacing w:after="0"/>
              <w:rPr>
                <w:sz w:val="20"/>
                <w:szCs w:val="20"/>
                <w:color w:val="auto"/>
              </w:rPr>
            </w:pPr>
            <w:r>
              <w:rPr>
                <w:rFonts w:ascii="Arial" w:cs="Arial" w:eastAsia="Arial" w:hAnsi="Arial"/>
                <w:sz w:val="18"/>
                <w:szCs w:val="18"/>
                <w:color w:val="auto"/>
              </w:rPr>
              <w:t>41,055</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54,058</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9,283</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6,417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44.7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73,254</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91,578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114</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4,087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-97.2</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-97.4</w:t>
            </w:r>
          </w:p>
        </w:tc>
        <w:tc>
          <w:tcPr>
            <w:tcW w:w="900" w:type="dxa"/>
            <w:vAlign w:val="bottom"/>
          </w:tcPr>
          <w:p>
            <w:pPr>
              <w:jc w:val="right"/>
              <w:spacing w:after="0"/>
              <w:rPr>
                <w:sz w:val="20"/>
                <w:szCs w:val="20"/>
                <w:color w:val="auto"/>
              </w:rPr>
            </w:pPr>
            <w:r>
              <w:rPr>
                <w:rFonts w:ascii="Arial" w:cs="Arial" w:eastAsia="Arial" w:hAnsi="Arial"/>
                <w:sz w:val="18"/>
                <w:szCs w:val="18"/>
                <w:color w:val="auto"/>
              </w:rPr>
              <w:t>8,829</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74,878</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8,864</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4,935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79.6</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91,074</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9,456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2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513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-94.0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-94.4</w:t>
            </w:r>
          </w:p>
        </w:tc>
        <w:tc>
          <w:tcPr>
            <w:tcW w:w="900" w:type="dxa"/>
            <w:vAlign w:val="bottom"/>
          </w:tcPr>
          <w:p>
            <w:pPr>
              <w:jc w:val="right"/>
              <w:spacing w:after="0"/>
              <w:rPr>
                <w:sz w:val="20"/>
                <w:szCs w:val="20"/>
                <w:color w:val="auto"/>
              </w:rPr>
            </w:pPr>
            <w:r>
              <w:rPr>
                <w:rFonts w:ascii="Arial" w:cs="Arial" w:eastAsia="Arial" w:hAnsi="Arial"/>
                <w:sz w:val="18"/>
                <w:szCs w:val="18"/>
                <w:color w:val="auto"/>
              </w:rPr>
              <w:t>1,758</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40,456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0"/>
        </w:trPr>
        <w:tc>
          <w:tcPr>
            <w:tcW w:w="492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Avalanche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2,120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3,197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35,003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Silverado-C/K Pickup</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33,301</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33,340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-7.3</w:t>
            </w:r>
          </w:p>
        </w:tc>
        <w:tc>
          <w:tcPr>
            <w:tcW w:w="900" w:type="dxa"/>
            <w:vAlign w:val="bottom"/>
          </w:tcPr>
          <w:p>
            <w:pPr>
              <w:jc w:val="right"/>
              <w:spacing w:after="0"/>
              <w:rPr>
                <w:sz w:val="20"/>
                <w:szCs w:val="20"/>
                <w:color w:val="auto"/>
              </w:rPr>
            </w:pPr>
            <w:r>
              <w:rPr>
                <w:rFonts w:ascii="Arial" w:cs="Arial" w:eastAsia="Arial" w:hAnsi="Arial"/>
                <w:sz w:val="18"/>
                <w:szCs w:val="18"/>
                <w:color w:val="auto"/>
              </w:rPr>
              <w:t>316,544</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465,065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Chevrolet Fullsize Pickups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35,421</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36,537</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332,976</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500,068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82,023</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82,820</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798,668</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1,085,938</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5,986</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3,711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61.3</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53,820</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66,440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626</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1,443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-56.6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-59.7</w:t>
            </w:r>
          </w:p>
        </w:tc>
        <w:tc>
          <w:tcPr>
            <w:tcW w:w="900" w:type="dxa"/>
            <w:vAlign w:val="bottom"/>
          </w:tcPr>
          <w:p>
            <w:pPr>
              <w:jc w:val="right"/>
              <w:spacing w:after="0"/>
              <w:rPr>
                <w:sz w:val="20"/>
                <w:szCs w:val="20"/>
                <w:color w:val="auto"/>
              </w:rPr>
            </w:pPr>
            <w:r>
              <w:rPr>
                <w:rFonts w:ascii="Arial" w:cs="Arial" w:eastAsia="Arial" w:hAnsi="Arial"/>
                <w:sz w:val="18"/>
                <w:szCs w:val="18"/>
                <w:color w:val="auto"/>
              </w:rPr>
              <w:t>10,107</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14,974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Envoy</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1,160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-91.4</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23,876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C/T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-69.1</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-71.3</w:t>
            </w:r>
          </w:p>
        </w:tc>
        <w:tc>
          <w:tcPr>
            <w:tcW w:w="900" w:type="dxa"/>
            <w:vAlign w:val="bottom"/>
          </w:tcPr>
          <w:p>
            <w:pPr>
              <w:jc w:val="right"/>
              <w:spacing w:after="0"/>
              <w:rPr>
                <w:sz w:val="20"/>
                <w:szCs w:val="20"/>
                <w:color w:val="auto"/>
              </w:rPr>
            </w:pPr>
            <w:r>
              <w:rPr>
                <w:rFonts w:ascii="Arial" w:cs="Arial" w:eastAsia="Arial" w:hAnsi="Arial"/>
                <w:sz w:val="18"/>
                <w:szCs w:val="18"/>
                <w:color w:val="auto"/>
              </w:rPr>
              <w:t>454</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566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W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136</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-32.7</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2,570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Savana</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1,046</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1,297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-19.4</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-25.1</w:t>
            </w:r>
          </w:p>
        </w:tc>
        <w:tc>
          <w:tcPr>
            <w:tcW w:w="900" w:type="dxa"/>
            <w:vAlign w:val="bottom"/>
          </w:tcPr>
          <w:p>
            <w:pPr>
              <w:jc w:val="right"/>
              <w:spacing w:after="0"/>
              <w:rPr>
                <w:sz w:val="20"/>
                <w:szCs w:val="20"/>
                <w:color w:val="auto"/>
              </w:rPr>
            </w:pPr>
            <w:r>
              <w:rPr>
                <w:rFonts w:ascii="Arial" w:cs="Arial" w:eastAsia="Arial" w:hAnsi="Arial"/>
                <w:sz w:val="18"/>
                <w:szCs w:val="18"/>
                <w:color w:val="auto"/>
              </w:rPr>
              <w:t>12,164</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22,437</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Sierra</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12,144</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12,980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111,842</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168,544</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Terrain</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5,547</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14,033</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4/5 Series</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194</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-50.4</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7,841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6/7/8 Series</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133</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347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-61.7</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-64.4</w:t>
            </w:r>
          </w:p>
        </w:tc>
        <w:tc>
          <w:tcPr>
            <w:tcW w:w="900" w:type="dxa"/>
            <w:vAlign w:val="bottom"/>
          </w:tcPr>
          <w:p>
            <w:pPr>
              <w:jc w:val="right"/>
              <w:spacing w:after="0"/>
              <w:rPr>
                <w:sz w:val="20"/>
                <w:szCs w:val="20"/>
                <w:color w:val="auto"/>
              </w:rPr>
            </w:pPr>
            <w:r>
              <w:rPr>
                <w:rFonts w:ascii="Arial" w:cs="Arial" w:eastAsia="Arial" w:hAnsi="Arial"/>
                <w:sz w:val="18"/>
                <w:szCs w:val="18"/>
                <w:color w:val="auto"/>
              </w:rPr>
              <w:t>1,840</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4,280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3,338</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4,401</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-24.2</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29,411</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39,064</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 XL</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1,953</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3,796</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-48.6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-52.2</w:t>
            </w:r>
          </w:p>
        </w:tc>
        <w:tc>
          <w:tcPr>
            <w:tcW w:w="900" w:type="dxa"/>
            <w:vAlign w:val="bottom"/>
          </w:tcPr>
          <w:p>
            <w:pPr>
              <w:jc w:val="right"/>
              <w:spacing w:after="0"/>
              <w:rPr>
                <w:sz w:val="20"/>
                <w:szCs w:val="20"/>
                <w:color w:val="auto"/>
              </w:rPr>
            </w:pPr>
            <w:r>
              <w:rPr>
                <w:rFonts w:ascii="Arial" w:cs="Arial" w:eastAsia="Arial" w:hAnsi="Arial"/>
                <w:sz w:val="18"/>
                <w:szCs w:val="18"/>
                <w:color w:val="auto"/>
              </w:rPr>
              <w:t>16,819</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26,404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1"/>
              </w:rPr>
              <w:t>GMC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31,220</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29,783</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259,779</w:t>
            </w: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376,996</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Core Brand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126,953</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121,931</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4.1</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-3.3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1,147,764</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1,564,194</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H1</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H2</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374</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-88.2</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-89.1</w:t>
            </w:r>
          </w:p>
        </w:tc>
        <w:tc>
          <w:tcPr>
            <w:tcW w:w="900" w:type="dxa"/>
            <w:vAlign w:val="bottom"/>
          </w:tcPr>
          <w:p>
            <w:pPr>
              <w:jc w:val="right"/>
              <w:spacing w:after="0"/>
              <w:rPr>
                <w:sz w:val="20"/>
                <w:szCs w:val="20"/>
                <w:color w:val="auto"/>
              </w:rPr>
            </w:pPr>
            <w:r>
              <w:rPr>
                <w:rFonts w:ascii="Arial" w:cs="Arial" w:eastAsia="Arial" w:hAnsi="Arial"/>
                <w:sz w:val="18"/>
                <w:szCs w:val="18"/>
                <w:color w:val="auto"/>
              </w:rPr>
              <w:t>1,513</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6,095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H3</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199</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1,529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-87.0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20,681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H3T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82</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267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-69.3</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-71.5</w:t>
            </w:r>
          </w:p>
        </w:tc>
        <w:tc>
          <w:tcPr>
            <w:tcW w:w="900" w:type="dxa"/>
            <w:vAlign w:val="bottom"/>
          </w:tcPr>
          <w:p>
            <w:pPr>
              <w:jc w:val="right"/>
              <w:spacing w:after="0"/>
              <w:rPr>
                <w:sz w:val="20"/>
                <w:szCs w:val="20"/>
                <w:color w:val="auto"/>
              </w:rPr>
            </w:pPr>
            <w:r>
              <w:rPr>
                <w:rFonts w:ascii="Arial" w:cs="Arial" w:eastAsia="Arial" w:hAnsi="Arial"/>
                <w:sz w:val="18"/>
                <w:szCs w:val="18"/>
                <w:color w:val="auto"/>
              </w:rPr>
              <w:t>2,046</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692</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3"/>
              </w:rPr>
              <w:t>HUMMER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2,170</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-85.0</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-86.1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27,485</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Montana SV6</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64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Torrent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2,065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-88.1</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20,625</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Pontiac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245</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2,065</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-88.1</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-89.0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20,689</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9-7X</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82</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375</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-78.1</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3,660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4"/>
              </w:rPr>
              <w:t>Saab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82</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375</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-78.1</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-79.7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3,660</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Outlook</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494</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1,354</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-63.5</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25,340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Relay</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163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VUE</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6,579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-84.9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-86.0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28,429</w:t>
            </w: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81,676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Saturn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1,489</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7,936</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-81.2</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-82.6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41,556</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107,179</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Non-Core Brand Total</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2,141</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12,546</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-82.9</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-84.2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62,458</w:t>
            </w: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159,013</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1"/>
              </w:rPr>
              <w:t>GM Truck Total</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129,094</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134,477</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-4.0</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-10.9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1,210,222</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1,723,207</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-4771390</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-4351655</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Production Schedule - 01/05/10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auto"/>
                <w:w w:val="90"/>
              </w:rPr>
              <w:t>Memo: Joint Venture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96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83"/>
              </w:rPr>
              <w:t>Total</w:t>
            </w:r>
          </w:p>
        </w:tc>
        <w:tc>
          <w:tcPr>
            <w:tcW w:w="72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860" w:type="dxa"/>
            <w:vAlign w:val="bottom"/>
          </w:tcPr>
          <w:p>
            <w:pPr>
              <w:ind w:left="240"/>
              <w:spacing w:after="0" w:line="229" w:lineRule="exact"/>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2"/>
        </w:trPr>
        <w:tc>
          <w:tcPr>
            <w:tcW w:w="2520" w:type="dxa"/>
            <w:vAlign w:val="bottom"/>
            <w:tcBorders>
              <w:right w:val="single" w:sz="8" w:color="auto"/>
            </w:tcBorders>
            <w:gridSpan w:val="2"/>
          </w:tcPr>
          <w:p>
            <w:pPr>
              <w:ind w:left="800"/>
              <w:spacing w:after="0" w:line="142" w:lineRule="exact"/>
              <w:rPr>
                <w:sz w:val="20"/>
                <w:szCs w:val="20"/>
                <w:color w:val="auto"/>
              </w:rPr>
            </w:pPr>
            <w:r>
              <w:rPr>
                <w:rFonts w:ascii="Arial" w:cs="Arial" w:eastAsia="Arial" w:hAnsi="Arial"/>
                <w:sz w:val="14"/>
                <w:szCs w:val="14"/>
                <w:color w:val="auto"/>
              </w:rPr>
              <w:t>Units 000s</w:t>
            </w:r>
          </w:p>
        </w:tc>
        <w:tc>
          <w:tcPr>
            <w:tcW w:w="1000" w:type="dxa"/>
            <w:vAlign w:val="bottom"/>
          </w:tcPr>
          <w:p>
            <w:pPr>
              <w:ind w:left="40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right"/>
              <w:ind w:right="10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960" w:type="dxa"/>
            <w:vAlign w:val="bottom"/>
            <w:tcBorders>
              <w:right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left="112"/>
              <w:spacing w:after="0" w:line="142" w:lineRule="exact"/>
              <w:rPr>
                <w:sz w:val="20"/>
                <w:szCs w:val="20"/>
                <w:color w:val="auto"/>
              </w:rPr>
            </w:pPr>
            <w:r>
              <w:rPr>
                <w:rFonts w:ascii="Arial" w:cs="Arial" w:eastAsia="Arial" w:hAnsi="Arial"/>
                <w:sz w:val="14"/>
                <w:szCs w:val="14"/>
                <w:b w:val="1"/>
                <w:bCs w:val="1"/>
                <w:color w:val="auto"/>
                <w:w w:val="90"/>
              </w:rPr>
              <w:t>Worldwide</w:t>
            </w:r>
          </w:p>
        </w:tc>
        <w:tc>
          <w:tcPr>
            <w:tcW w:w="720" w:type="dxa"/>
            <w:vAlign w:val="bottom"/>
          </w:tcPr>
          <w:p>
            <w:pPr>
              <w:ind w:left="28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360" w:type="dxa"/>
            <w:vAlign w:val="bottom"/>
          </w:tcPr>
          <w:p>
            <w:pPr>
              <w:spacing w:after="0"/>
              <w:rPr>
                <w:sz w:val="12"/>
                <w:szCs w:val="12"/>
                <w:color w:val="auto"/>
              </w:rPr>
            </w:pPr>
          </w:p>
        </w:tc>
        <w:tc>
          <w:tcPr>
            <w:tcW w:w="1320" w:type="dxa"/>
            <w:vAlign w:val="bottom"/>
          </w:tcPr>
          <w:p>
            <w:pPr>
              <w:ind w:left="28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right w:val="single" w:sz="8" w:color="CCEEFF"/>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180" w:type="dxa"/>
            <w:vAlign w:val="bottom"/>
            <w:tcBorders>
              <w:top w:val="single" w:sz="8" w:color="auto"/>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2009 Q4 # *</w:t>
            </w:r>
          </w:p>
        </w:tc>
        <w:tc>
          <w:tcPr>
            <w:tcW w:w="340" w:type="dxa"/>
            <w:vAlign w:val="bottom"/>
            <w:tcBorders>
              <w:right w:val="single" w:sz="8" w:color="auto"/>
            </w:tcBorders>
          </w:tcPr>
          <w:p>
            <w:pPr>
              <w:spacing w:after="0"/>
              <w:rPr>
                <w:sz w:val="18"/>
                <w:szCs w:val="18"/>
                <w:color w:val="auto"/>
              </w:rPr>
            </w:pPr>
          </w:p>
        </w:tc>
        <w:tc>
          <w:tcPr>
            <w:tcW w:w="11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236</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94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618</w:t>
            </w:r>
          </w:p>
        </w:tc>
        <w:tc>
          <w:tcPr>
            <w:tcW w:w="340" w:type="dxa"/>
            <w:vAlign w:val="bottom"/>
            <w:tcBorders>
              <w:right w:val="single" w:sz="8" w:color="auto"/>
            </w:tcBorders>
          </w:tcPr>
          <w:p>
            <w:pPr>
              <w:spacing w:after="0"/>
              <w:rPr>
                <w:sz w:val="18"/>
                <w:szCs w:val="18"/>
                <w:color w:val="auto"/>
              </w:rPr>
            </w:pPr>
          </w:p>
        </w:tc>
        <w:tc>
          <w:tcPr>
            <w:tcW w:w="94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1,300</w:t>
            </w:r>
          </w:p>
        </w:tc>
        <w:tc>
          <w:tcPr>
            <w:tcW w:w="340" w:type="dxa"/>
            <w:vAlign w:val="bottom"/>
            <w:tcBorders>
              <w:right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O/(U) prior forecast</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94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134</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w:t>
            </w: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w:t>
            </w:r>
          </w:p>
        </w:tc>
        <w:tc>
          <w:tcPr>
            <w:tcW w:w="6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2010 Q1 # *</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940" w:type="dxa"/>
            <w:vAlign w:val="bottom"/>
            <w:tcBorders>
              <w:top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1,926</w:t>
            </w:r>
          </w:p>
        </w:tc>
        <w:tc>
          <w:tcPr>
            <w:tcW w:w="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i w:val="1"/>
                <w:iCs w:val="1"/>
                <w:color w:val="auto"/>
              </w:rPr>
              <w:t>O/(U) prior forecast</w:t>
            </w:r>
          </w:p>
        </w:tc>
        <w:tc>
          <w:tcPr>
            <w:tcW w:w="340" w:type="dxa"/>
            <w:vAlign w:val="bottom"/>
            <w:tcBorders>
              <w:right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i w:val="1"/>
                <w:iCs w:val="1"/>
                <w:color w:val="auto"/>
              </w:rPr>
              <w:t>0</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0</w:t>
            </w:r>
          </w:p>
        </w:tc>
        <w:tc>
          <w:tcPr>
            <w:tcW w:w="9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0</w:t>
            </w:r>
          </w:p>
        </w:tc>
        <w:tc>
          <w:tcPr>
            <w:tcW w:w="3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20</w:t>
            </w:r>
          </w:p>
        </w:tc>
        <w:tc>
          <w:tcPr>
            <w:tcW w:w="340" w:type="dxa"/>
            <w:vAlign w:val="bottom"/>
            <w:tcBorders>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20</w:t>
            </w: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i w:val="1"/>
                <w:iCs w:val="1"/>
                <w:color w:val="auto"/>
              </w:rPr>
              <w:t>(57)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left w:val="single" w:sz="8" w:color="CCEEFF"/>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GMNA</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right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GMNA</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gridSpan w:val="2"/>
          </w:tcPr>
          <w:p>
            <w:pPr>
              <w:jc w:val="right"/>
              <w:ind w:right="160"/>
              <w:spacing w:after="0" w:line="223" w:lineRule="exact"/>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Arial" w:cs="Arial" w:eastAsia="Arial" w:hAnsi="Arial"/>
                <w:sz w:val="14"/>
                <w:szCs w:val="14"/>
                <w:color w:val="auto"/>
                <w:w w:val="87"/>
              </w:rPr>
              <w:t>Units 000s</w:t>
            </w: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760" w:type="dxa"/>
            <w:vAlign w:val="bottom"/>
            <w:tcBorders>
              <w:bottom w:val="single" w:sz="8" w:color="auto"/>
              <w:right w:val="single" w:sz="8" w:color="auto"/>
            </w:tcBorders>
          </w:tcPr>
          <w:p>
            <w:pPr>
              <w:jc w:val="right"/>
              <w:ind w:right="94"/>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Worldwide</w:t>
            </w:r>
          </w:p>
        </w:tc>
        <w:tc>
          <w:tcPr>
            <w:tcW w:w="200" w:type="dxa"/>
            <w:vAlign w:val="bottom"/>
          </w:tcPr>
          <w:p>
            <w:pPr>
              <w:spacing w:after="0"/>
              <w:rPr>
                <w:sz w:val="12"/>
                <w:szCs w:val="12"/>
                <w:color w:val="auto"/>
              </w:rPr>
            </w:pPr>
          </w:p>
        </w:tc>
        <w:tc>
          <w:tcPr>
            <w:tcW w:w="1120" w:type="dxa"/>
            <w:vAlign w:val="bottom"/>
            <w:gridSpan w:val="3"/>
          </w:tcPr>
          <w:p>
            <w:pPr>
              <w:ind w:left="8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1200" w:type="dxa"/>
            <w:vAlign w:val="bottom"/>
            <w:gridSpan w:val="2"/>
          </w:tcPr>
          <w:p>
            <w:pPr>
              <w:jc w:val="right"/>
              <w:ind w:right="72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2003</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860</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1,451</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695</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2,146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837</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1,380</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706</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753</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1,245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648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1,893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827</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1,385</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736</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2,184</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3,277</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5,461</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2,785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8,246</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2004</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820</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1,345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928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2,273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846</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1,389</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1,012</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2,401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746</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1,209</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910</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2,119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811</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1,028</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1,997</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3,223</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5,220</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3,878</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9,098</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2005</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712</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1,182</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1,022</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2,204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789</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1,247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1,094</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723</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1,146</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1,028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2,174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798</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1,281</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1,051</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1,834</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3,022</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4,856</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4,195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9,051</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2006</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759</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1,255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1,160</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2,415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775</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1,237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1,183</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633</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1,050</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1,022</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2,072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661</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1,107</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1,167</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1,821</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2,828</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4,649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4,532</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9,181</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2007</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664</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1,063</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2,340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740</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1,142</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1,268</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653</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1,020</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1,136</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2,156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1,042</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1,337</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1,526</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2,741</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4,267</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5,019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9,286</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2008</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525</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885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1,348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2,233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834</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1,390</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479</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915</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1,124</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2,039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815</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833</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1,543</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1,906</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3,449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4,695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8,144</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255</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371</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959</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1,330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395</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1,143</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7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326</w:t>
            </w: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531</w:t>
            </w:r>
          </w:p>
        </w:tc>
        <w:tc>
          <w:tcPr>
            <w:tcW w:w="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1,178</w:t>
            </w:r>
          </w:p>
        </w:tc>
        <w:tc>
          <w:tcPr>
            <w:tcW w:w="3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1,709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 #</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382</w:t>
            </w: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618</w:t>
            </w:r>
          </w:p>
        </w:tc>
        <w:tc>
          <w:tcPr>
            <w:tcW w:w="34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1,300</w:t>
            </w:r>
          </w:p>
        </w:tc>
        <w:tc>
          <w:tcPr>
            <w:tcW w:w="34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727</w:t>
            </w:r>
          </w:p>
        </w:tc>
        <w:tc>
          <w:tcPr>
            <w:tcW w:w="220" w:type="dxa"/>
            <w:vAlign w:val="bottom"/>
          </w:tcPr>
          <w:p>
            <w:pPr>
              <w:spacing w:after="0"/>
              <w:rPr>
                <w:sz w:val="19"/>
                <w:szCs w:val="19"/>
                <w:color w:val="auto"/>
              </w:rPr>
            </w:pPr>
          </w:p>
        </w:tc>
        <w:tc>
          <w:tcPr>
            <w:tcW w:w="76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1,188</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1,915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4,580</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6,495</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2010</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 #</w:t>
            </w:r>
          </w:p>
        </w:tc>
        <w:tc>
          <w:tcPr>
            <w:tcW w:w="340" w:type="dxa"/>
            <w:vAlign w:val="bottom"/>
            <w:tcBorders>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413</w:t>
            </w:r>
          </w:p>
        </w:tc>
        <w:tc>
          <w:tcPr>
            <w:tcW w:w="940" w:type="dxa"/>
            <w:vAlign w:val="bottom"/>
            <w:tcBorders>
              <w:bottom w:val="single" w:sz="8" w:color="auto"/>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650</w:t>
            </w:r>
          </w:p>
        </w:tc>
        <w:tc>
          <w:tcPr>
            <w:tcW w:w="34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1,276</w:t>
            </w:r>
          </w:p>
        </w:tc>
        <w:tc>
          <w:tcPr>
            <w:tcW w:w="340" w:type="dxa"/>
            <w:vAlign w:val="bottom"/>
            <w:tcBorders>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17"/>
              <w:spacing w:after="0"/>
              <w:rPr>
                <w:sz w:val="20"/>
                <w:szCs w:val="20"/>
                <w:color w:val="auto"/>
              </w:rPr>
            </w:pPr>
            <w:r>
              <w:rPr>
                <w:rFonts w:ascii="Arial" w:cs="Arial" w:eastAsia="Arial" w:hAnsi="Arial"/>
                <w:sz w:val="18"/>
                <w:szCs w:val="18"/>
                <w:b w:val="1"/>
                <w:bCs w:val="1"/>
                <w:color w:val="auto"/>
              </w:rPr>
              <w:t>1,926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Variance reported only if current production estimate differs from prior production estimate by 5K units or more</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Denotes estimate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numbers may vary due to rounding</w:t>
      </w:r>
    </w:p>
    <w:p>
      <w:pPr>
        <w:spacing w:after="0" w:line="9" w:lineRule="exact"/>
        <w:rPr>
          <w:rFonts w:ascii="Arial" w:cs="Arial" w:eastAsia="Arial" w:hAnsi="Arial"/>
          <w:sz w:val="18"/>
          <w:szCs w:val="18"/>
          <w:color w:val="auto"/>
        </w:rPr>
      </w:pP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General Motors Company acquired operations from General Motors Corporation on July 10, 2009, and references to prior periods in this and other materials refer to operations of the old General Motors Corporation</w:t>
      </w:r>
    </w:p>
    <w:p>
      <w:pPr>
        <w:spacing w:after="0" w:line="224" w:lineRule="auto"/>
        <w:rPr>
          <w:rFonts w:ascii="Arial" w:cs="Arial" w:eastAsia="Arial" w:hAnsi="Arial"/>
          <w:sz w:val="18"/>
          <w:szCs w:val="18"/>
          <w:color w:val="auto"/>
        </w:rPr>
      </w:pPr>
      <w:r>
        <w:rPr>
          <w:rFonts w:ascii="Arial" w:cs="Arial" w:eastAsia="Arial" w:hAnsi="Arial"/>
          <w:sz w:val="16"/>
          <w:szCs w:val="16"/>
          <w:color w:val="auto"/>
        </w:rPr>
        <w:t>This report is governed by the Terms and Conditions on the GM Investor Information website: http://www.gm.com/corporate/investor_information/terms.jsp</w:t>
      </w:r>
    </w:p>
    <w:p>
      <w:pPr>
        <w:spacing w:after="0" w:line="3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GMNA includes joint venture production—HUMMER and CAMI units included in GMNA Truck (Starting in Q1 2010, CAMI production is not classified as</w:t>
      </w:r>
    </w:p>
    <w:p>
      <w:pPr>
        <w:sectPr>
          <w:pgSz w:w="11900" w:h="16838" w:orient="portrait"/>
          <w:cols w:equalWidth="0" w:num="1">
            <w:col w:w="11420"/>
          </w:cols>
          <w:pgMar w:left="240" w:top="274" w:right="239" w:bottom="0" w:gutter="0" w:footer="0" w:header="0"/>
        </w:sectPr>
      </w:pPr>
    </w:p>
    <w:bookmarkStart w:id="12" w:name="page13"/>
    <w:bookmarkEnd w:id="12"/>
    <w:p>
      <w:pPr>
        <w:ind w:left="212"/>
        <w:spacing w:after="0"/>
        <w:rPr>
          <w:sz w:val="20"/>
          <w:szCs w:val="20"/>
          <w:color w:val="auto"/>
        </w:rPr>
      </w:pPr>
      <w:r>
        <w:rPr>
          <w:rFonts w:ascii="Arial" w:cs="Arial" w:eastAsia="Arial" w:hAnsi="Arial"/>
          <w:sz w:val="18"/>
          <w:szCs w:val="18"/>
          <w:color w:val="auto"/>
        </w:rPr>
        <w:t>joint venture production) and production historically classified as joint venture production—NUMMI units included in GMNA car</w:t>
      </w:r>
    </w:p>
    <w:p>
      <w:pPr>
        <w:spacing w:after="0" w:line="38" w:lineRule="exact"/>
        <w:rPr>
          <w:sz w:val="20"/>
          <w:szCs w:val="20"/>
          <w:color w:val="auto"/>
        </w:rPr>
      </w:pPr>
    </w:p>
    <w:p>
      <w:pPr>
        <w:jc w:val="both"/>
        <w:ind w:left="212" w:hanging="212"/>
        <w:spacing w:after="0" w:line="262" w:lineRule="auto"/>
        <w:tabs>
          <w:tab w:leader="none" w:pos="212"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GMIO includes GM-AvtoVAZ, SAIC-GM-Wuling and GM Daewoo Auto Technologies (GMDAT) joint venture production beginning in Q1 2004 (Starting in Q3 2005, GMIO joint venture production does not include GMDAT); and GM Egypt, Shanghai GM Norsom Motors (formerly Jinbei GM) and Shanghai GM joint ventures. Beginning September 2009, GMIO joint venture production also includes FAW-GM Light Duty Commercial Vehicle Co., Ltd. (FAW-GM)</w:t>
      </w:r>
    </w:p>
    <w:p>
      <w:pPr>
        <w:spacing w:after="0" w:line="1" w:lineRule="exact"/>
        <w:rPr>
          <w:rFonts w:ascii="Arial" w:cs="Arial" w:eastAsia="Arial" w:hAnsi="Arial"/>
          <w:sz w:val="20"/>
          <w:szCs w:val="20"/>
          <w:color w:val="auto"/>
          <w:vertAlign w:val="superscript"/>
        </w:rPr>
      </w:pPr>
    </w:p>
    <w:p>
      <w:pPr>
        <w:ind w:left="212"/>
        <w:spacing w:after="0"/>
        <w:rPr>
          <w:rFonts w:ascii="Arial" w:cs="Arial" w:eastAsia="Arial" w:hAnsi="Arial"/>
          <w:sz w:val="20"/>
          <w:szCs w:val="20"/>
          <w:color w:val="auto"/>
          <w:vertAlign w:val="superscript"/>
        </w:rPr>
      </w:pPr>
      <w:r>
        <w:rPr>
          <w:rFonts w:ascii="Arial" w:cs="Arial" w:eastAsia="Arial" w:hAnsi="Arial"/>
          <w:sz w:val="18"/>
          <w:szCs w:val="18"/>
          <w:color w:val="auto"/>
        </w:rPr>
        <w:t>GMIO excludes SAAB production in Q1 2010 estimate</w:t>
      </w:r>
    </w:p>
    <w:sectPr>
      <w:pgSz w:w="11900" w:h="16838" w:orient="portrait"/>
      <w:cols w:equalWidth="0" w:num="1">
        <w:col w:w="11352"/>
      </w:cols>
      <w:pgMar w:left="248" w:top="10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2019-12-11T06:40:22Z</dcterms:created>
  <dcterms:modified xsi:type="dcterms:W3CDTF">2019-12-11T06:40:22Z</dcterms:modified>
</cp:coreProperties>
</file>