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20"/>
        <w:spacing w:after="0"/>
        <w:rPr>
          <w:sz w:val="20"/>
          <w:szCs w:val="20"/>
          <w:color w:val="auto"/>
        </w:rPr>
      </w:pPr>
      <w:r>
        <w:rPr>
          <w:rFonts w:ascii="Arial" w:cs="Arial" w:eastAsia="Arial" w:hAnsi="Arial"/>
          <w:sz w:val="14"/>
          <w:szCs w:val="14"/>
          <w:color w:val="auto"/>
        </w:rPr>
        <w:t>Free Writing Prospectus filed pursuant to Rule 433</w:t>
      </w:r>
    </w:p>
    <w:p>
      <w:pPr>
        <w:spacing w:after="0" w:line="1" w:lineRule="exact"/>
        <w:rPr>
          <w:sz w:val="24"/>
          <w:szCs w:val="24"/>
          <w:color w:val="auto"/>
        </w:rPr>
      </w:pPr>
    </w:p>
    <w:p>
      <w:pPr>
        <w:jc w:val="right"/>
        <w:ind w:right="120"/>
        <w:spacing w:after="0"/>
        <w:rPr>
          <w:sz w:val="20"/>
          <w:szCs w:val="20"/>
          <w:color w:val="auto"/>
        </w:rPr>
      </w:pPr>
      <w:r>
        <w:rPr>
          <w:rFonts w:ascii="Arial" w:cs="Arial" w:eastAsia="Arial" w:hAnsi="Arial"/>
          <w:sz w:val="14"/>
          <w:szCs w:val="14"/>
          <w:color w:val="auto"/>
        </w:rPr>
        <w:t>Relating to the Preliminary Prospectus Supplement</w:t>
      </w:r>
    </w:p>
    <w:p>
      <w:pPr>
        <w:spacing w:after="0" w:line="1" w:lineRule="exact"/>
        <w:rPr>
          <w:sz w:val="24"/>
          <w:szCs w:val="24"/>
          <w:color w:val="auto"/>
        </w:rPr>
      </w:pPr>
    </w:p>
    <w:p>
      <w:pPr>
        <w:jc w:val="right"/>
        <w:ind w:right="120"/>
        <w:spacing w:after="0"/>
        <w:rPr>
          <w:sz w:val="20"/>
          <w:szCs w:val="20"/>
          <w:color w:val="auto"/>
        </w:rPr>
      </w:pPr>
      <w:r>
        <w:rPr>
          <w:rFonts w:ascii="Arial" w:cs="Arial" w:eastAsia="Arial" w:hAnsi="Arial"/>
          <w:sz w:val="14"/>
          <w:szCs w:val="14"/>
          <w:color w:val="auto"/>
        </w:rPr>
        <w:t>dated May 7, 2020 to the Prospectus dated</w:t>
      </w:r>
    </w:p>
    <w:p>
      <w:pPr>
        <w:spacing w:after="0" w:line="1" w:lineRule="exact"/>
        <w:rPr>
          <w:sz w:val="24"/>
          <w:szCs w:val="24"/>
          <w:color w:val="auto"/>
        </w:rPr>
      </w:pPr>
    </w:p>
    <w:p>
      <w:pPr>
        <w:jc w:val="right"/>
        <w:ind w:right="120"/>
        <w:spacing w:after="0"/>
        <w:rPr>
          <w:sz w:val="20"/>
          <w:szCs w:val="20"/>
          <w:color w:val="auto"/>
        </w:rPr>
      </w:pPr>
      <w:r>
        <w:rPr>
          <w:rFonts w:ascii="Arial" w:cs="Arial" w:eastAsia="Arial" w:hAnsi="Arial"/>
          <w:sz w:val="14"/>
          <w:szCs w:val="14"/>
          <w:color w:val="auto"/>
        </w:rPr>
        <w:t>February 5, 2020. Registration Statement</w:t>
      </w:r>
    </w:p>
    <w:p>
      <w:pPr>
        <w:spacing w:after="0" w:line="1" w:lineRule="exact"/>
        <w:rPr>
          <w:sz w:val="24"/>
          <w:szCs w:val="24"/>
          <w:color w:val="auto"/>
        </w:rPr>
      </w:pPr>
    </w:p>
    <w:p>
      <w:pPr>
        <w:jc w:val="right"/>
        <w:ind w:right="120"/>
        <w:spacing w:after="0"/>
        <w:rPr>
          <w:sz w:val="20"/>
          <w:szCs w:val="20"/>
          <w:color w:val="auto"/>
        </w:rPr>
      </w:pPr>
      <w:r>
        <w:rPr>
          <w:rFonts w:ascii="Arial" w:cs="Arial" w:eastAsia="Arial" w:hAnsi="Arial"/>
          <w:sz w:val="14"/>
          <w:szCs w:val="14"/>
          <w:color w:val="auto"/>
        </w:rPr>
        <w:t>No. 333-236276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579120</wp:posOffset>
            </wp:positionH>
            <wp:positionV relativeFrom="paragraph">
              <wp:posOffset>151765</wp:posOffset>
            </wp:positionV>
            <wp:extent cx="598360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8360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240"/>
        <w:spacing w:after="0"/>
        <w:rPr>
          <w:sz w:val="20"/>
          <w:szCs w:val="20"/>
          <w:color w:val="auto"/>
        </w:rPr>
      </w:pPr>
      <w:r>
        <w:rPr>
          <w:rFonts w:ascii="Arial" w:cs="Arial" w:eastAsia="Arial" w:hAnsi="Arial"/>
          <w:sz w:val="20"/>
          <w:szCs w:val="20"/>
          <w:color w:val="auto"/>
        </w:rPr>
        <w:t>For Release: Thursday, May 7, 2020</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General Motors Prices $4.0 Billion of Senior Unsecured Notes</w:t>
      </w:r>
    </w:p>
    <w:p>
      <w:pPr>
        <w:spacing w:after="0" w:line="230" w:lineRule="exact"/>
        <w:rPr>
          <w:sz w:val="24"/>
          <w:szCs w:val="24"/>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General Motors Co. (NYSE: GM) announced today the pricing of three series of senior unsecured notes for a total of $4.0 billion. These</w:t>
      </w:r>
      <w:r>
        <w:rPr>
          <w:rFonts w:ascii="Arial" w:cs="Arial" w:eastAsia="Arial" w:hAnsi="Arial"/>
          <w:sz w:val="16"/>
          <w:szCs w:val="16"/>
          <w:b w:val="1"/>
          <w:bCs w:val="1"/>
          <w:color w:val="auto"/>
        </w:rPr>
        <w:t xml:space="preserve"> </w:t>
      </w:r>
      <w:r>
        <w:rPr>
          <w:rFonts w:ascii="Arial" w:cs="Arial" w:eastAsia="Arial" w:hAnsi="Arial"/>
          <w:sz w:val="16"/>
          <w:szCs w:val="16"/>
          <w:color w:val="auto"/>
        </w:rPr>
        <w:t>notes include $1.0 billion of 5.40 percent notes due in 2023, $2.0 billion of 6.125 percent notes due in 2025 and $1.0 billion of 6.80 percent notes due in 2027. The offering is expected to settle on May 12, 2020. In addition, following the closing of the notes offering, GM expects to enter into a new 364-Day Revolving Credit Agreement, subject to certain closing conditions. We expect the New 364-Day Revolving Facility to be unsecured and to provide available borrowing capacity of approximately $2 billion in U.S. Dollars, and we have received commitments from lenders in excess of this amount.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GM intends to use the net proceeds from the sale of the notes for general corporate purposes.</w:t>
      </w:r>
    </w:p>
    <w:p>
      <w:pPr>
        <w:spacing w:after="0" w:line="225" w:lineRule="exact"/>
        <w:rPr>
          <w:sz w:val="24"/>
          <w:szCs w:val="24"/>
          <w:color w:val="auto"/>
        </w:rPr>
      </w:pPr>
    </w:p>
    <w:p>
      <w:pPr>
        <w:jc w:val="both"/>
        <w:ind w:right="20"/>
        <w:spacing w:after="0" w:line="311" w:lineRule="auto"/>
        <w:rPr>
          <w:sz w:val="20"/>
          <w:szCs w:val="20"/>
          <w:color w:val="auto"/>
        </w:rPr>
      </w:pPr>
      <w:r>
        <w:rPr>
          <w:rFonts w:ascii="Arial" w:cs="Arial" w:eastAsia="Arial" w:hAnsi="Arial"/>
          <w:sz w:val="16"/>
          <w:szCs w:val="16"/>
          <w:color w:val="auto"/>
        </w:rPr>
        <w:t>GM has filed a registration statement, including a prospectus and preliminary prospectus supplement, with the SEC for this offering. Prospective investors should read the prospectus in that registration statement, the preliminary prospectus supplement and other documents GM has filed with the SEC for more complete information about GM and this offering. The documents are available for free by visiting EDGAR on the SEC website at sec.gov.</w:t>
      </w:r>
    </w:p>
    <w:p>
      <w:pPr>
        <w:spacing w:after="0" w:line="149"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Alternatively, copies of the preliminary prospectus supplement and the accompanying prospectus may be obtained by contacting the book-running manager: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Attention: Prospectus Group</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60 Wall Street, New York, NY 10005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800-503-4611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prospectus.CPDG@db.com</w:t>
      </w:r>
    </w:p>
    <w:p>
      <w:pPr>
        <w:spacing w:after="0" w:line="21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 Any offer or sale of these securities will be made only by means of a prospectus, including a prospectus supplement, forming a part of the related registration statement.</w:t>
      </w:r>
    </w:p>
    <w:p>
      <w:pPr>
        <w:sectPr>
          <w:pgSz w:w="11900" w:h="16838" w:orient="portrait"/>
          <w:cols w:equalWidth="0" w:num="1">
            <w:col w:w="11140"/>
          </w:cols>
          <w:pgMar w:left="320" w:top="252" w:right="439" w:bottom="1440" w:gutter="0" w:footer="0" w:header="0"/>
        </w:sectPr>
      </w:pPr>
    </w:p>
    <w:bookmarkStart w:id="1" w:name="page2"/>
    <w:bookmarkEnd w:id="1"/>
    <w:p>
      <w:pPr>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Cautionary Note on Forward-Looking Statements: </w:t>
      </w:r>
      <w:r>
        <w:rPr>
          <w:rFonts w:ascii="Arial" w:cs="Arial" w:eastAsia="Arial" w:hAnsi="Arial"/>
          <w:sz w:val="17"/>
          <w:szCs w:val="17"/>
          <w:color w:val="auto"/>
        </w:rPr>
        <w:t>This press release contains forward-looking statements that represent our current judgment about</w:t>
      </w:r>
      <w:r>
        <w:rPr>
          <w:rFonts w:ascii="Arial" w:cs="Arial" w:eastAsia="Arial" w:hAnsi="Arial"/>
          <w:sz w:val="17"/>
          <w:szCs w:val="17"/>
          <w:b w:val="1"/>
          <w:bCs w:val="1"/>
          <w:color w:val="auto"/>
        </w:rPr>
        <w:t xml:space="preserve"> </w:t>
      </w:r>
      <w:r>
        <w:rPr>
          <w:rFonts w:ascii="Arial" w:cs="Arial" w:eastAsia="Arial" w:hAnsi="Arial"/>
          <w:sz w:val="17"/>
          <w:szCs w:val="17"/>
          <w:color w:val="auto"/>
        </w:rPr>
        <w:t>possible future events.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A list and description of these factors can be found in our Annual Report on Form 10-K and our subsequent filings with the U.S. Securities and Exchange Commission. 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Lauren Langille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Finance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931-398-8191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lauren.langille@gm.com</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2020-05-08T05:18:24Z</dcterms:created>
  <dcterms:modified xsi:type="dcterms:W3CDTF">2020-05-08T05:18:24Z</dcterms:modified>
</cp:coreProperties>
</file>