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176530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GENERAL MOTORS COMPANY</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001-34960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27-0756180</w:t>
      </w:r>
    </w:p>
    <w:p>
      <w:pPr>
        <w:spacing w:after="0" w:line="24"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ind w:left="1144"/>
        <w:spacing w:after="0"/>
        <w:rPr>
          <w:sz w:val="20"/>
          <w:szCs w:val="20"/>
          <w:color w:val="auto"/>
        </w:rPr>
      </w:pPr>
      <w:r>
        <w:rPr>
          <w:rFonts w:ascii="Times New Roman" w:cs="Times New Roman" w:eastAsia="Times New Roman" w:hAnsi="Times New Roman"/>
          <w:sz w:val="17"/>
          <w:szCs w:val="17"/>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48265-3000</w:t>
      </w:r>
    </w:p>
    <w:p>
      <w:pPr>
        <w:spacing w:after="0" w:line="31" w:lineRule="exact"/>
        <w:rPr>
          <w:sz w:val="24"/>
          <w:szCs w:val="24"/>
          <w:color w:val="auto"/>
        </w:rPr>
      </w:pPr>
    </w:p>
    <w:p>
      <w:pPr>
        <w:sectPr>
          <w:pgSz w:w="11900" w:h="16838" w:orient="portrait"/>
          <w:cols w:equalWidth="0" w:num="2">
            <w:col w:w="7184" w:space="720"/>
            <w:col w:w="3120"/>
          </w:cols>
          <w:pgMar w:left="436" w:top="443"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00" w:lineRule="exact"/>
        <w:rPr>
          <w:sz w:val="24"/>
          <w:szCs w:val="24"/>
          <w:color w:val="auto"/>
        </w:rPr>
      </w:pPr>
    </w:p>
    <w:p>
      <w:pPr>
        <w:sectPr>
          <w:pgSz w:w="11900" w:h="16838" w:orient="portrait"/>
          <w:cols w:equalWidth="0" w:num="2">
            <w:col w:w="7284" w:space="720"/>
            <w:col w:w="3020"/>
          </w:cols>
          <w:pgMar w:left="436" w:top="443"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(313) 667-1500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2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3444" w:right="2560" w:hanging="3444"/>
        <w:spacing w:after="0" w:line="418" w:lineRule="auto"/>
        <w:tabs>
          <w:tab w:leader="none" w:pos="4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98"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03"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May 5, 2025, General Motors Company (the “Company”) entered into an Underwriting Agreement (the “Underwriting Agreement”) with Citigroup Global Markets Inc., Goldman Sachs &amp; Co. LLC and Wells Fargo Securities, LLC, each acting as representative of the several other underwriters named therein (collectively, the “Underwriters”), pursuant to which the Company agreed to sell to the Underwriters, and the Underwriters agreed to purchase from the Company, $2.0 billion aggregate principal amount of the Company’s senior notes, consisting of $750.0 million aggregate principal amount of 5.350% Senior Notes due 2028 (the “2028 Notes”), $750.0 million aggregate principal amount of the Company’s 5.625% Senior Notes due 2030 (the “2030 Notes”) and $500.0 million aggregate principal amount of 6.250% Senior Notes due 2035 (the “2035 Notes” and, together with the 2028 Notes and the 2030 Notes, the “Notes”).</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May 7, 2025, the Company closed the offering of the Notes. The 2028 Notes, the 2030 Notes and the 2035 Notes were each issued as a separate series of debt securities pursuant to the indenture, dated as of September 27, 2013 (the “Original Indenture”), between the Company and The Bank of New York Mellon, as trustee (the “Trustee”), as amended and supplemented the seventh supplemental indenture, dated as of August 2, 2022 (the “Seventh Supplemental Indenture” and together with the Original Indenture, the “Base Indenture”), and supplemented by an eighth supplemental indenture, dated as of May 7, 2025 (the “Eighth Supplemental Indenture”), between the Company and the Trustee. The Base Indenture, as supplemented by the Eighth Supplemental Indenture (the “Indenture”), governs the terms of the Notes.</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Indenture contains covenants that will limit (i) the ability of the Company and certain of its subsidiaries to incur indebtedness secured by certain principal domestic manufacturing properties or by any shares of stock or indebtedness of certain manufacturing subsidiaries and to enter into certain sale and leaseback transactions with respect to certain principal domestic manufacturing properties and (ii) the ability of the Company to enter into certain mergers or certain conveyances, transfers or leases of all or substantially all of its properties and assets.</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intends to allocate an amount equal to the net proceeds from this offering for general corporate purposes, including to refinance a portion of the $1.25 billion outstanding of its 6.125% senior notes maturing on October 1, 2025, and fund a portion of the $1.8 billion five-year term loan it has agreed to make to Ultium Cells LLC, its joint venture with LG Energy Solution, to facilitate full voluntary prepayment of loans Ultium Cells LLC received under the U.S. Department of Energy’s Advanced Technology Vehicles Manufacturing program.</w:t>
      </w:r>
    </w:p>
    <w:p>
      <w:pPr>
        <w:spacing w:after="0" w:line="18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offering and sale of the Notes was made pursuant to the Company’s effective shelf registration statement on Form S-3 (File No. 333-284557) filed with the Securities and Exchange Commission.</w:t>
      </w:r>
    </w:p>
    <w:p>
      <w:pPr>
        <w:spacing w:after="0" w:line="16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foregoing description of the Underwriting Agreement, Original Indenture, Seventh Supplemental Indenture and Eighth Supplemental Indenture does not constitute a complete summary of these documents and is qualified by reference in its entirety to the full text of the Underwriting Agreement, Original Indenture, Seventh Supplemental Indenture and Eighth Supplemental Indenture, which are filed herewith as Exhibit 1.1, Exhibit 4.1, Exhibit 4.2 and Exhibit 4.3 respectively, and incorporated herein by reference.</w:t>
      </w:r>
    </w:p>
    <w:p>
      <w:pPr>
        <w:sectPr>
          <w:pgSz w:w="11900" w:h="16838" w:orient="portrait"/>
          <w:cols w:equalWidth="0" w:num="1">
            <w:col w:w="11000"/>
          </w:cols>
          <w:pgMar w:left="440" w:top="293"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548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608"/>
        </w:trPr>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80" w:type="dxa"/>
            <w:vAlign w:val="bottom"/>
            <w:gridSpan w:val="3"/>
          </w:tcPr>
          <w:p>
            <w:pPr>
              <w:ind w:left="4100"/>
              <w:spacing w:after="0"/>
              <w:rPr>
                <w:sz w:val="20"/>
                <w:szCs w:val="20"/>
                <w:color w:val="auto"/>
              </w:rPr>
            </w:pPr>
            <w:r>
              <w:rPr>
                <w:rFonts w:ascii="Times New Roman" w:cs="Times New Roman" w:eastAsia="Times New Roman" w:hAnsi="Times New Roman"/>
                <w:sz w:val="18"/>
                <w:szCs w:val="18"/>
                <w:b w:val="1"/>
                <w:bCs w:val="1"/>
                <w:color w:val="auto"/>
              </w:rPr>
              <w:t>EXHIBIT</w:t>
            </w:r>
          </w:p>
        </w:tc>
      </w:tr>
      <w:tr>
        <w:trPr>
          <w:trHeight w:val="20"/>
        </w:trPr>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280" w:type="dxa"/>
            <w:vAlign w:val="bottom"/>
          </w:tcPr>
          <w:p>
            <w:pPr>
              <w:spacing w:after="0"/>
              <w:rPr>
                <w:sz w:val="24"/>
                <w:szCs w:val="24"/>
                <w:color w:val="auto"/>
              </w:rPr>
            </w:pPr>
          </w:p>
        </w:tc>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Exhibit</w:t>
            </w:r>
          </w:p>
        </w:tc>
        <w:tc>
          <w:tcPr>
            <w:tcW w:w="3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1"/>
              </w:rPr>
              <w:t>Description</w:t>
            </w: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ind w:left="1320" w:right="80" w:hanging="1322"/>
        <w:spacing w:after="0" w:line="266" w:lineRule="auto"/>
        <w:tabs>
          <w:tab w:leader="none" w:pos="1300" w:val="left"/>
        </w:tabs>
        <w:rPr>
          <w:sz w:val="20"/>
          <w:szCs w:val="20"/>
          <w:color w:val="auto"/>
        </w:rPr>
      </w:pPr>
      <w:r>
        <w:rPr>
          <w:rFonts w:ascii="Times New Roman" w:cs="Times New Roman" w:eastAsia="Times New Roman" w:hAnsi="Times New Roman"/>
          <w:sz w:val="18"/>
          <w:szCs w:val="18"/>
          <w:color w:val="auto"/>
        </w:rPr>
        <w:t>Exhibit 1.1</w:t>
      </w:r>
      <w:r>
        <w:rPr>
          <w:sz w:val="20"/>
          <w:szCs w:val="20"/>
          <w:color w:val="auto"/>
        </w:rPr>
        <w:tab/>
      </w:r>
      <w:r>
        <w:rPr>
          <w:rFonts w:ascii="Times New Roman" w:cs="Times New Roman" w:eastAsia="Times New Roman" w:hAnsi="Times New Roman"/>
          <w:sz w:val="18"/>
          <w:szCs w:val="18"/>
          <w:u w:val="single" w:color="auto"/>
          <w:color w:val="0000EE"/>
        </w:rPr>
        <w:t>Underwriting Agreement, dated May 5, 2025, by and among General Motors Company, as issuer, and Citigroup Global Markets Inc., Goldman Sachs &amp; Co. LLC and Wells Fargo Securities, LLC, each acting as representative of the several other underwriters named therein</w:t>
      </w:r>
    </w:p>
    <w:p>
      <w:pPr>
        <w:spacing w:after="0" w:line="68" w:lineRule="exact"/>
        <w:rPr>
          <w:sz w:val="20"/>
          <w:szCs w:val="20"/>
          <w:color w:val="auto"/>
        </w:rPr>
      </w:pPr>
    </w:p>
    <w:p>
      <w:pPr>
        <w:ind w:left="1320" w:hanging="1322"/>
        <w:spacing w:after="0" w:line="266" w:lineRule="auto"/>
        <w:tabs>
          <w:tab w:leader="none" w:pos="13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Exhibit 4.1</w:t>
      </w:r>
      <w:r>
        <w:rPr>
          <w:sz w:val="20"/>
          <w:szCs w:val="20"/>
          <w:color w:val="auto"/>
        </w:rPr>
        <w:tab/>
      </w:r>
      <w:hyperlink r:id="rId19">
        <w:r>
          <w:rPr>
            <w:rFonts w:ascii="Times New Roman" w:cs="Times New Roman" w:eastAsia="Times New Roman" w:hAnsi="Times New Roman"/>
            <w:sz w:val="18"/>
            <w:szCs w:val="18"/>
            <w:u w:val="single" w:color="auto"/>
            <w:color w:val="0000EE"/>
          </w:rPr>
          <w:t>Indenture dated as of September 27, 2013, between General Motors Company and The Bank of New York Mellon, as Trustee,</w:t>
        </w:r>
      </w:hyperlink>
      <w:r>
        <w:rPr>
          <w:rFonts w:ascii="Times New Roman" w:cs="Times New Roman" w:eastAsia="Times New Roman" w:hAnsi="Times New Roman"/>
          <w:sz w:val="18"/>
          <w:szCs w:val="18"/>
          <w:u w:val="single" w:color="auto"/>
          <w:color w:val="0000EE"/>
        </w:rPr>
        <w:t xml:space="preserve"> </w:t>
      </w:r>
      <w:hyperlink r:id="rId19">
        <w:r>
          <w:rPr>
            <w:rFonts w:ascii="Times New Roman" w:cs="Times New Roman" w:eastAsia="Times New Roman" w:hAnsi="Times New Roman"/>
            <w:sz w:val="18"/>
            <w:szCs w:val="18"/>
            <w:u w:val="single" w:color="auto"/>
            <w:color w:val="0000EE"/>
          </w:rPr>
          <w:t>incorporated herein by reference to Exhibit 4.2 to the Registration Statement on Form S-3 of General Motors Company filed April 30,</w:t>
        </w:r>
      </w:hyperlink>
      <w:r>
        <w:rPr>
          <w:rFonts w:ascii="Times New Roman" w:cs="Times New Roman" w:eastAsia="Times New Roman" w:hAnsi="Times New Roman"/>
          <w:sz w:val="18"/>
          <w:szCs w:val="18"/>
          <w:u w:val="single" w:color="auto"/>
          <w:color w:val="0000EE"/>
        </w:rPr>
        <w:t xml:space="preserve"> </w:t>
      </w:r>
      <w:hyperlink r:id="rId19">
        <w:r>
          <w:rPr>
            <w:rFonts w:ascii="Times New Roman" w:cs="Times New Roman" w:eastAsia="Times New Roman" w:hAnsi="Times New Roman"/>
            <w:sz w:val="18"/>
            <w:szCs w:val="18"/>
            <w:u w:val="single" w:color="auto"/>
            <w:color w:val="0000EE"/>
          </w:rPr>
          <w:t>2014</w:t>
        </w:r>
      </w:hyperlink>
    </w:p>
    <w:p>
      <w:pPr>
        <w:spacing w:after="0" w:line="68" w:lineRule="exact"/>
        <w:rPr>
          <w:rFonts w:ascii="Times New Roman" w:cs="Times New Roman" w:eastAsia="Times New Roman" w:hAnsi="Times New Roman"/>
          <w:sz w:val="18"/>
          <w:szCs w:val="18"/>
          <w:u w:val="single" w:color="auto"/>
          <w:color w:val="0000EE"/>
        </w:rPr>
      </w:pPr>
    </w:p>
    <w:p>
      <w:pPr>
        <w:jc w:val="both"/>
        <w:ind w:left="1320" w:right="340" w:hanging="1322"/>
        <w:spacing w:after="0" w:line="266" w:lineRule="auto"/>
        <w:tabs>
          <w:tab w:leader="none" w:pos="13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Exhibit 4.2</w:t>
      </w:r>
      <w:r>
        <w:rPr>
          <w:sz w:val="20"/>
          <w:szCs w:val="20"/>
          <w:color w:val="auto"/>
        </w:rPr>
        <w:tab/>
      </w:r>
      <w:hyperlink r:id="rId20">
        <w:r>
          <w:rPr>
            <w:rFonts w:ascii="Times New Roman" w:cs="Times New Roman" w:eastAsia="Times New Roman" w:hAnsi="Times New Roman"/>
            <w:sz w:val="18"/>
            <w:szCs w:val="18"/>
            <w:u w:val="single" w:color="auto"/>
            <w:color w:val="0000EE"/>
          </w:rPr>
          <w:t>Seventh Supplemental Indenture, dated as of August 2, 2022, to the Indenture, dated as of September 27, 2013, between General</w:t>
        </w:r>
      </w:hyperlink>
      <w:r>
        <w:rPr>
          <w:rFonts w:ascii="Times New Roman" w:cs="Times New Roman" w:eastAsia="Times New Roman" w:hAnsi="Times New Roman"/>
          <w:sz w:val="18"/>
          <w:szCs w:val="18"/>
          <w:u w:val="single" w:color="auto"/>
          <w:color w:val="0000EE"/>
        </w:rPr>
        <w:t xml:space="preserve"> </w:t>
      </w:r>
      <w:hyperlink r:id="rId20">
        <w:r>
          <w:rPr>
            <w:rFonts w:ascii="Times New Roman" w:cs="Times New Roman" w:eastAsia="Times New Roman" w:hAnsi="Times New Roman"/>
            <w:sz w:val="18"/>
            <w:szCs w:val="18"/>
            <w:u w:val="single" w:color="auto"/>
            <w:color w:val="0000EE"/>
          </w:rPr>
          <w:t>Motors Company, as issuer, and The Bank of New York Mellon, as Trustee, incorporated herein by reference to Exhibit 4.2 to the</w:t>
        </w:r>
      </w:hyperlink>
      <w:r>
        <w:rPr>
          <w:rFonts w:ascii="Times New Roman" w:cs="Times New Roman" w:eastAsia="Times New Roman" w:hAnsi="Times New Roman"/>
          <w:sz w:val="18"/>
          <w:szCs w:val="18"/>
          <w:u w:val="single" w:color="auto"/>
          <w:color w:val="0000EE"/>
        </w:rPr>
        <w:t xml:space="preserve"> </w:t>
      </w:r>
      <w:hyperlink r:id="rId20">
        <w:r>
          <w:rPr>
            <w:rFonts w:ascii="Times New Roman" w:cs="Times New Roman" w:eastAsia="Times New Roman" w:hAnsi="Times New Roman"/>
            <w:sz w:val="18"/>
            <w:szCs w:val="18"/>
            <w:u w:val="single" w:color="auto"/>
            <w:color w:val="0000EE"/>
          </w:rPr>
          <w:t>Current Report on Form 8-K of General Motors Company filed on August 2, 2022</w:t>
        </w:r>
      </w:hyperlink>
    </w:p>
    <w:p>
      <w:pPr>
        <w:spacing w:after="0" w:line="68" w:lineRule="exact"/>
        <w:rPr>
          <w:rFonts w:ascii="Times New Roman" w:cs="Times New Roman" w:eastAsia="Times New Roman" w:hAnsi="Times New Roman"/>
          <w:sz w:val="18"/>
          <w:szCs w:val="18"/>
          <w:u w:val="single" w:color="auto"/>
          <w:color w:val="0000EE"/>
        </w:rPr>
      </w:pPr>
    </w:p>
    <w:p>
      <w:pPr>
        <w:ind w:left="1320" w:right="120" w:hanging="1322"/>
        <w:spacing w:after="0" w:line="282" w:lineRule="auto"/>
        <w:tabs>
          <w:tab w:leader="none" w:pos="1300" w:val="left"/>
        </w:tabs>
        <w:rPr>
          <w:sz w:val="20"/>
          <w:szCs w:val="20"/>
          <w:color w:val="auto"/>
        </w:rPr>
      </w:pPr>
      <w:r>
        <w:rPr>
          <w:rFonts w:ascii="Times New Roman" w:cs="Times New Roman" w:eastAsia="Times New Roman" w:hAnsi="Times New Roman"/>
          <w:sz w:val="18"/>
          <w:szCs w:val="18"/>
          <w:color w:val="auto"/>
        </w:rPr>
        <w:t>Exhibit 4.3</w:t>
      </w:r>
      <w:r>
        <w:rPr>
          <w:sz w:val="20"/>
          <w:szCs w:val="20"/>
          <w:color w:val="auto"/>
        </w:rPr>
        <w:tab/>
      </w:r>
      <w:r>
        <w:rPr>
          <w:rFonts w:ascii="Times New Roman" w:cs="Times New Roman" w:eastAsia="Times New Roman" w:hAnsi="Times New Roman"/>
          <w:sz w:val="18"/>
          <w:szCs w:val="18"/>
          <w:u w:val="single" w:color="auto"/>
          <w:color w:val="0000EE"/>
        </w:rPr>
        <w:t>Eighth Supplemental Indenture, dated as of May 7, 2025, to the Indenture, dated as of September 27, 2013, between General Motors Company, as issuer, and The Bank of New York Mellon, as Trustee</w:t>
      </w:r>
    </w:p>
    <w:p>
      <w:pPr>
        <w:spacing w:after="0" w:line="54" w:lineRule="exact"/>
        <w:rPr>
          <w:rFonts w:ascii="Times New Roman" w:cs="Times New Roman" w:eastAsia="Times New Roman" w:hAnsi="Times New Roman"/>
          <w:sz w:val="18"/>
          <w:szCs w:val="18"/>
          <w:u w:val="single" w:color="auto"/>
          <w:color w:val="0000EE"/>
        </w:rPr>
      </w:pPr>
    </w:p>
    <w:p>
      <w:pPr>
        <w:spacing w:after="0"/>
        <w:tabs>
          <w:tab w:leader="none" w:pos="1300" w:val="left"/>
        </w:tabs>
        <w:rPr>
          <w:sz w:val="20"/>
          <w:szCs w:val="20"/>
          <w:color w:val="auto"/>
        </w:rPr>
      </w:pPr>
      <w:r>
        <w:rPr>
          <w:rFonts w:ascii="Times New Roman" w:cs="Times New Roman" w:eastAsia="Times New Roman" w:hAnsi="Times New Roman"/>
          <w:sz w:val="18"/>
          <w:szCs w:val="18"/>
          <w:color w:val="auto"/>
        </w:rPr>
        <w:t>Exhibit 4.4</w:t>
      </w:r>
      <w:r>
        <w:rPr>
          <w:sz w:val="20"/>
          <w:szCs w:val="20"/>
          <w:color w:val="auto"/>
        </w:rPr>
        <w:tab/>
      </w:r>
      <w:r>
        <w:rPr>
          <w:rFonts w:ascii="Times New Roman" w:cs="Times New Roman" w:eastAsia="Times New Roman" w:hAnsi="Times New Roman"/>
          <w:sz w:val="18"/>
          <w:szCs w:val="18"/>
          <w:u w:val="single" w:color="auto"/>
          <w:color w:val="0000EE"/>
        </w:rPr>
        <w:t>Form of General Motors Company 5.350% Senior Notes due 2028 (included in Exhibit 4.3)</w:t>
      </w:r>
    </w:p>
    <w:p>
      <w:pPr>
        <w:spacing w:after="0" w:line="117" w:lineRule="exact"/>
        <w:rPr>
          <w:rFonts w:ascii="Times New Roman" w:cs="Times New Roman" w:eastAsia="Times New Roman" w:hAnsi="Times New Roman"/>
          <w:sz w:val="18"/>
          <w:szCs w:val="18"/>
          <w:u w:val="single" w:color="auto"/>
          <w:color w:val="0000EE"/>
        </w:rPr>
      </w:pPr>
    </w:p>
    <w:p>
      <w:pPr>
        <w:spacing w:after="0"/>
        <w:tabs>
          <w:tab w:leader="none" w:pos="1300" w:val="left"/>
        </w:tabs>
        <w:rPr>
          <w:sz w:val="20"/>
          <w:szCs w:val="20"/>
          <w:color w:val="auto"/>
        </w:rPr>
      </w:pPr>
      <w:r>
        <w:rPr>
          <w:rFonts w:ascii="Times New Roman" w:cs="Times New Roman" w:eastAsia="Times New Roman" w:hAnsi="Times New Roman"/>
          <w:sz w:val="18"/>
          <w:szCs w:val="18"/>
          <w:color w:val="auto"/>
        </w:rPr>
        <w:t>Exhibit 4.5</w:t>
      </w:r>
      <w:r>
        <w:rPr>
          <w:sz w:val="20"/>
          <w:szCs w:val="20"/>
          <w:color w:val="auto"/>
        </w:rPr>
        <w:tab/>
      </w:r>
      <w:r>
        <w:rPr>
          <w:rFonts w:ascii="Times New Roman" w:cs="Times New Roman" w:eastAsia="Times New Roman" w:hAnsi="Times New Roman"/>
          <w:sz w:val="18"/>
          <w:szCs w:val="18"/>
          <w:u w:val="single" w:color="auto"/>
          <w:color w:val="0000EE"/>
        </w:rPr>
        <w:t>Form of General Motors Company 5.625% Senior Notes due 2030 (included in Exhibit 4.3)</w:t>
      </w:r>
    </w:p>
    <w:p>
      <w:pPr>
        <w:spacing w:after="0" w:line="117" w:lineRule="exact"/>
        <w:rPr>
          <w:rFonts w:ascii="Times New Roman" w:cs="Times New Roman" w:eastAsia="Times New Roman" w:hAnsi="Times New Roman"/>
          <w:sz w:val="18"/>
          <w:szCs w:val="18"/>
          <w:u w:val="single" w:color="auto"/>
          <w:color w:val="0000EE"/>
        </w:rPr>
      </w:pPr>
    </w:p>
    <w:p>
      <w:pPr>
        <w:spacing w:after="0"/>
        <w:tabs>
          <w:tab w:leader="none" w:pos="1300" w:val="left"/>
        </w:tabs>
        <w:rPr>
          <w:sz w:val="20"/>
          <w:szCs w:val="20"/>
          <w:color w:val="auto"/>
        </w:rPr>
      </w:pPr>
      <w:r>
        <w:rPr>
          <w:rFonts w:ascii="Times New Roman" w:cs="Times New Roman" w:eastAsia="Times New Roman" w:hAnsi="Times New Roman"/>
          <w:sz w:val="18"/>
          <w:szCs w:val="18"/>
          <w:color w:val="auto"/>
        </w:rPr>
        <w:t>Exhibit 4.6</w:t>
      </w:r>
      <w:r>
        <w:rPr>
          <w:sz w:val="20"/>
          <w:szCs w:val="20"/>
          <w:color w:val="auto"/>
        </w:rPr>
        <w:tab/>
      </w:r>
      <w:r>
        <w:rPr>
          <w:rFonts w:ascii="Times New Roman" w:cs="Times New Roman" w:eastAsia="Times New Roman" w:hAnsi="Times New Roman"/>
          <w:sz w:val="18"/>
          <w:szCs w:val="18"/>
          <w:u w:val="single" w:color="auto"/>
          <w:color w:val="0000EE"/>
        </w:rPr>
        <w:t>Form of General Motors Company 6.250% Senior Notes due 2035 (included in Exhibit 4.3)</w:t>
      </w:r>
    </w:p>
    <w:p>
      <w:pPr>
        <w:spacing w:after="0" w:line="117" w:lineRule="exact"/>
        <w:rPr>
          <w:rFonts w:ascii="Times New Roman" w:cs="Times New Roman" w:eastAsia="Times New Roman" w:hAnsi="Times New Roman"/>
          <w:sz w:val="18"/>
          <w:szCs w:val="18"/>
          <w:u w:val="single" w:color="auto"/>
          <w:color w:val="0000EE"/>
        </w:rPr>
      </w:pPr>
    </w:p>
    <w:p>
      <w:pPr>
        <w:spacing w:after="0"/>
        <w:tabs>
          <w:tab w:leader="none" w:pos="1300" w:val="left"/>
        </w:tabs>
        <w:rPr>
          <w:sz w:val="20"/>
          <w:szCs w:val="20"/>
          <w:color w:val="auto"/>
        </w:rPr>
      </w:pPr>
      <w:r>
        <w:rPr>
          <w:rFonts w:ascii="Times New Roman" w:cs="Times New Roman" w:eastAsia="Times New Roman" w:hAnsi="Times New Roman"/>
          <w:sz w:val="18"/>
          <w:szCs w:val="18"/>
          <w:color w:val="auto"/>
        </w:rPr>
        <w:t>Exhibit 5.1</w:t>
      </w:r>
      <w:r>
        <w:rPr>
          <w:sz w:val="20"/>
          <w:szCs w:val="20"/>
          <w:color w:val="auto"/>
        </w:rPr>
        <w:tab/>
      </w:r>
      <w:r>
        <w:rPr>
          <w:rFonts w:ascii="Times New Roman" w:cs="Times New Roman" w:eastAsia="Times New Roman" w:hAnsi="Times New Roman"/>
          <w:sz w:val="17"/>
          <w:szCs w:val="17"/>
          <w:u w:val="single" w:color="auto"/>
          <w:color w:val="0000EE"/>
        </w:rPr>
        <w:t>Opinion of King &amp; Spalding LLP</w:t>
      </w:r>
    </w:p>
    <w:p>
      <w:pPr>
        <w:spacing w:after="0" w:line="117" w:lineRule="exact"/>
        <w:rPr>
          <w:rFonts w:ascii="Times New Roman" w:cs="Times New Roman" w:eastAsia="Times New Roman" w:hAnsi="Times New Roman"/>
          <w:sz w:val="18"/>
          <w:szCs w:val="18"/>
          <w:u w:val="single" w:color="auto"/>
          <w:color w:val="0000EE"/>
        </w:rPr>
      </w:pPr>
    </w:p>
    <w:p>
      <w:pPr>
        <w:spacing w:after="0"/>
        <w:tabs>
          <w:tab w:leader="none" w:pos="1300" w:val="left"/>
        </w:tabs>
        <w:rPr>
          <w:sz w:val="20"/>
          <w:szCs w:val="20"/>
          <w:color w:val="auto"/>
        </w:rPr>
      </w:pPr>
      <w:r>
        <w:rPr>
          <w:rFonts w:ascii="Times New Roman" w:cs="Times New Roman" w:eastAsia="Times New Roman" w:hAnsi="Times New Roman"/>
          <w:sz w:val="18"/>
          <w:szCs w:val="18"/>
          <w:color w:val="auto"/>
        </w:rPr>
        <w:t>Exhibit 23.1</w:t>
      </w:r>
      <w:r>
        <w:rPr>
          <w:sz w:val="20"/>
          <w:szCs w:val="20"/>
          <w:color w:val="auto"/>
        </w:rPr>
        <w:tab/>
      </w:r>
      <w:r>
        <w:rPr>
          <w:rFonts w:ascii="Times New Roman" w:cs="Times New Roman" w:eastAsia="Times New Roman" w:hAnsi="Times New Roman"/>
          <w:sz w:val="17"/>
          <w:szCs w:val="17"/>
          <w:u w:val="single" w:color="auto"/>
          <w:color w:val="0000EE"/>
        </w:rPr>
        <w:t>Consent of King &amp; Spalding LLP (included in Exhibit 5.1)</w:t>
      </w:r>
    </w:p>
    <w:p>
      <w:pPr>
        <w:spacing w:after="0" w:line="117" w:lineRule="exact"/>
        <w:rPr>
          <w:rFonts w:ascii="Times New Roman" w:cs="Times New Roman" w:eastAsia="Times New Roman" w:hAnsi="Times New Roman"/>
          <w:sz w:val="18"/>
          <w:szCs w:val="18"/>
          <w:u w:val="single" w:color="auto"/>
          <w:color w:val="0000EE"/>
        </w:rPr>
      </w:pPr>
    </w:p>
    <w:p>
      <w:pPr>
        <w:spacing w:after="0"/>
        <w:tabs>
          <w:tab w:leader="none" w:pos="1300" w:val="left"/>
        </w:tabs>
        <w:rPr>
          <w:sz w:val="20"/>
          <w:szCs w:val="20"/>
          <w:color w:val="auto"/>
        </w:rPr>
      </w:pPr>
      <w:r>
        <w:rPr>
          <w:rFonts w:ascii="Times New Roman" w:cs="Times New Roman" w:eastAsia="Times New Roman" w:hAnsi="Times New Roman"/>
          <w:sz w:val="18"/>
          <w:szCs w:val="18"/>
          <w:color w:val="auto"/>
        </w:rPr>
        <w:t>Exhibit 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980"/>
          </w:cols>
          <w:pgMar w:left="440" w:top="293" w:right="4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75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GENERAL MOTORS COMPANY (Registrant)</w:t>
            </w:r>
          </w:p>
        </w:tc>
      </w:tr>
      <w:tr>
        <w:trPr>
          <w:trHeight w:val="432"/>
        </w:trPr>
        <w:tc>
          <w:tcPr>
            <w:tcW w:w="3440" w:type="dxa"/>
            <w:vAlign w:val="bottom"/>
          </w:tcPr>
          <w:p>
            <w:pPr>
              <w:spacing w:after="0"/>
              <w:rPr>
                <w:sz w:val="24"/>
                <w:szCs w:val="24"/>
                <w:color w:val="auto"/>
              </w:rPr>
            </w:pPr>
          </w:p>
        </w:tc>
        <w:tc>
          <w:tcPr>
            <w:tcW w:w="272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S. Kim</w:t>
            </w:r>
          </w:p>
        </w:tc>
      </w:tr>
      <w:tr>
        <w:trPr>
          <w:trHeight w:val="205"/>
        </w:trPr>
        <w:tc>
          <w:tcPr>
            <w:tcW w:w="34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Date: May 7, 2025</w:t>
            </w:r>
          </w:p>
        </w:tc>
        <w:tc>
          <w:tcPr>
            <w:tcW w:w="2720" w:type="dxa"/>
            <w:vAlign w:val="bottom"/>
          </w:tcPr>
          <w:p>
            <w:pPr>
              <w:ind w:left="20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John S. Kim</w:t>
            </w:r>
          </w:p>
        </w:tc>
      </w:tr>
      <w:tr>
        <w:trPr>
          <w:trHeight w:val="234"/>
        </w:trPr>
        <w:tc>
          <w:tcPr>
            <w:tcW w:w="3440" w:type="dxa"/>
            <w:vAlign w:val="bottom"/>
          </w:tcPr>
          <w:p>
            <w:pPr>
              <w:spacing w:after="0"/>
              <w:rPr>
                <w:sz w:val="20"/>
                <w:szCs w:val="20"/>
                <w:color w:val="auto"/>
              </w:rPr>
            </w:pPr>
          </w:p>
        </w:tc>
        <w:tc>
          <w:tcPr>
            <w:tcW w:w="272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Assistant Corporate Secretary</w:t>
            </w:r>
          </w:p>
        </w:tc>
      </w:tr>
    </w:tbl>
    <w:p>
      <w:pPr>
        <w:sectPr>
          <w:pgSz w:w="11900" w:h="16838" w:orient="portrait"/>
          <w:cols w:equalWidth="0" w:num="1">
            <w:col w:w="11020"/>
          </w:cols>
          <w:pgMar w:left="440" w:top="293"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3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$2,000,000,000</w:t>
      </w:r>
    </w:p>
    <w:p>
      <w:pPr>
        <w:spacing w:after="0" w:line="9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11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5.350% Senior Notes due 2028</w:t>
      </w:r>
    </w:p>
    <w:p>
      <w:pPr>
        <w:spacing w:after="0" w:line="2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5.625% Senior Notes due 2030</w:t>
      </w:r>
    </w:p>
    <w:p>
      <w:pPr>
        <w:spacing w:after="0" w:line="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6.250% Senior Notes due 2035</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Underwriting Agreement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May 5, 2025</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of the several Underwriters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named in Schedule I hereto</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 Citigroup Global Markets Inc.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388 Greenwich Street</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NY 10013</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 Goldman Sachs &amp; Co. LLC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200 West Street</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NY 10282</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 Wells Fargo Securities, LLC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550 South Tryon Street, 5th Floor</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Charlotte, NC 28202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21" w:lineRule="exact"/>
        <w:rPr>
          <w:sz w:val="20"/>
          <w:szCs w:val="20"/>
          <w:color w:val="auto"/>
        </w:rPr>
      </w:pPr>
    </w:p>
    <w:p>
      <w:pPr>
        <w:ind w:right="100" w:firstLine="440"/>
        <w:spacing w:after="0" w:line="278" w:lineRule="auto"/>
        <w:rPr>
          <w:sz w:val="20"/>
          <w:szCs w:val="20"/>
          <w:color w:val="auto"/>
        </w:rPr>
      </w:pPr>
      <w:r>
        <w:rPr>
          <w:rFonts w:ascii="Times New Roman" w:cs="Times New Roman" w:eastAsia="Times New Roman" w:hAnsi="Times New Roman"/>
          <w:sz w:val="17"/>
          <w:szCs w:val="17"/>
          <w:color w:val="auto"/>
        </w:rPr>
        <w:t>General Motors Company, a Delaware corporation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proposes to issue and sell to the several underwriters named in Schedule I hereto (collectively, the “</w:t>
      </w:r>
      <w:r>
        <w:rPr>
          <w:rFonts w:ascii="Times New Roman" w:cs="Times New Roman" w:eastAsia="Times New Roman" w:hAnsi="Times New Roman"/>
          <w:sz w:val="17"/>
          <w:szCs w:val="17"/>
          <w:b w:val="1"/>
          <w:bCs w:val="1"/>
          <w:color w:val="auto"/>
        </w:rPr>
        <w:t>Underwriters</w:t>
      </w:r>
      <w:r>
        <w:rPr>
          <w:rFonts w:ascii="Times New Roman" w:cs="Times New Roman" w:eastAsia="Times New Roman" w:hAnsi="Times New Roman"/>
          <w:sz w:val="17"/>
          <w:szCs w:val="17"/>
          <w:color w:val="auto"/>
        </w:rPr>
        <w:t>”), for whom Citigroup Global Markets Inc., Goldman Sachs &amp; Co. LLC and Wells Fargo Securities, LLC are acting as representatives (each, a “</w:t>
      </w:r>
      <w:r>
        <w:rPr>
          <w:rFonts w:ascii="Times New Roman" w:cs="Times New Roman" w:eastAsia="Times New Roman" w:hAnsi="Times New Roman"/>
          <w:sz w:val="17"/>
          <w:szCs w:val="17"/>
          <w:b w:val="1"/>
          <w:bCs w:val="1"/>
          <w:color w:val="auto"/>
        </w:rPr>
        <w:t>Representative</w:t>
      </w:r>
      <w:r>
        <w:rPr>
          <w:rFonts w:ascii="Times New Roman" w:cs="Times New Roman" w:eastAsia="Times New Roman" w:hAnsi="Times New Roman"/>
          <w:sz w:val="17"/>
          <w:szCs w:val="17"/>
          <w:color w:val="auto"/>
        </w:rPr>
        <w:t>” and together, the “</w:t>
      </w:r>
      <w:r>
        <w:rPr>
          <w:rFonts w:ascii="Times New Roman" w:cs="Times New Roman" w:eastAsia="Times New Roman" w:hAnsi="Times New Roman"/>
          <w:sz w:val="17"/>
          <w:szCs w:val="17"/>
          <w:b w:val="1"/>
          <w:bCs w:val="1"/>
          <w:color w:val="auto"/>
        </w:rPr>
        <w:t>Representatives</w:t>
      </w:r>
      <w:r>
        <w:rPr>
          <w:rFonts w:ascii="Times New Roman" w:cs="Times New Roman" w:eastAsia="Times New Roman" w:hAnsi="Times New Roman"/>
          <w:sz w:val="17"/>
          <w:szCs w:val="17"/>
          <w:color w:val="auto"/>
        </w:rPr>
        <w:t>”), $750,000,000 aggregate principal amount of its 5.350% Senior Notes due 2028 (the “</w:t>
      </w:r>
      <w:r>
        <w:rPr>
          <w:rFonts w:ascii="Times New Roman" w:cs="Times New Roman" w:eastAsia="Times New Roman" w:hAnsi="Times New Roman"/>
          <w:sz w:val="17"/>
          <w:szCs w:val="17"/>
          <w:b w:val="1"/>
          <w:bCs w:val="1"/>
          <w:color w:val="auto"/>
        </w:rPr>
        <w:t>2028 Securities</w:t>
      </w:r>
      <w:r>
        <w:rPr>
          <w:rFonts w:ascii="Times New Roman" w:cs="Times New Roman" w:eastAsia="Times New Roman" w:hAnsi="Times New Roman"/>
          <w:sz w:val="17"/>
          <w:szCs w:val="17"/>
          <w:color w:val="auto"/>
        </w:rPr>
        <w:t>”), $750,000,000 aggregate principal amount of its 5.625% Senior Notes due 2030 (the “</w:t>
      </w:r>
      <w:r>
        <w:rPr>
          <w:rFonts w:ascii="Times New Roman" w:cs="Times New Roman" w:eastAsia="Times New Roman" w:hAnsi="Times New Roman"/>
          <w:sz w:val="17"/>
          <w:szCs w:val="17"/>
          <w:b w:val="1"/>
          <w:bCs w:val="1"/>
          <w:color w:val="auto"/>
        </w:rPr>
        <w:t>2030 Securities</w:t>
      </w:r>
      <w:r>
        <w:rPr>
          <w:rFonts w:ascii="Times New Roman" w:cs="Times New Roman" w:eastAsia="Times New Roman" w:hAnsi="Times New Roman"/>
          <w:sz w:val="17"/>
          <w:szCs w:val="17"/>
          <w:color w:val="auto"/>
        </w:rPr>
        <w:t>”) and $500,000,000 aggregate principal amount of its 6.250% Senior Notes due 2035 (the “</w:t>
      </w:r>
      <w:r>
        <w:rPr>
          <w:rFonts w:ascii="Times New Roman" w:cs="Times New Roman" w:eastAsia="Times New Roman" w:hAnsi="Times New Roman"/>
          <w:sz w:val="17"/>
          <w:szCs w:val="17"/>
          <w:b w:val="1"/>
          <w:bCs w:val="1"/>
          <w:color w:val="auto"/>
        </w:rPr>
        <w:t>2035 Securities</w:t>
      </w:r>
      <w:r>
        <w:rPr>
          <w:rFonts w:ascii="Times New Roman" w:cs="Times New Roman" w:eastAsia="Times New Roman" w:hAnsi="Times New Roman"/>
          <w:sz w:val="17"/>
          <w:szCs w:val="17"/>
          <w:color w:val="auto"/>
        </w:rPr>
        <w:t>” and, together with the 2028 Securities</w:t>
      </w:r>
    </w:p>
    <w:p>
      <w:pPr>
        <w:sectPr>
          <w:pgSz w:w="11900" w:h="16838" w:orient="portrait"/>
          <w:cols w:equalWidth="0" w:num="1">
            <w:col w:w="11020"/>
          </w:cols>
          <w:pgMar w:left="440" w:top="117" w:right="439" w:bottom="1440" w:gutter="0" w:footer="0" w:header="0"/>
        </w:sectPr>
      </w:pPr>
    </w:p>
    <w:bookmarkStart w:id="5" w:name="page6"/>
    <w:bookmarkEnd w:id="5"/>
    <w:p>
      <w:pPr>
        <w:ind w:right="42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the 2030 Securities,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all to be issued pursuant to the provisions of an Indenture dated as of September 27, 2013 (the “</w:t>
      </w:r>
      <w:r>
        <w:rPr>
          <w:rFonts w:ascii="Times New Roman" w:cs="Times New Roman" w:eastAsia="Times New Roman" w:hAnsi="Times New Roman"/>
          <w:sz w:val="18"/>
          <w:szCs w:val="18"/>
          <w:b w:val="1"/>
          <w:bCs w:val="1"/>
          <w:color w:val="auto"/>
        </w:rPr>
        <w:t>Original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between the Company and The Bank of New York Mellon,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as amended and supplemented by the Seventh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Supplemental Indenture, dated as of August 2, 2022 (the “</w:t>
      </w:r>
      <w:r>
        <w:rPr>
          <w:rFonts w:ascii="Times New Roman" w:cs="Times New Roman" w:eastAsia="Times New Roman" w:hAnsi="Times New Roman"/>
          <w:sz w:val="18"/>
          <w:szCs w:val="18"/>
          <w:b w:val="1"/>
          <w:bCs w:val="1"/>
          <w:color w:val="auto"/>
        </w:rPr>
        <w:t>Seventh Supplemental Indenture</w:t>
      </w:r>
      <w:r>
        <w:rPr>
          <w:rFonts w:ascii="Times New Roman" w:cs="Times New Roman" w:eastAsia="Times New Roman" w:hAnsi="Times New Roman"/>
          <w:sz w:val="18"/>
          <w:szCs w:val="18"/>
          <w:color w:val="auto"/>
        </w:rPr>
        <w:t>” and, together with the Original Indenture, the “</w:t>
      </w:r>
      <w:r>
        <w:rPr>
          <w:rFonts w:ascii="Times New Roman" w:cs="Times New Roman" w:eastAsia="Times New Roman" w:hAnsi="Times New Roman"/>
          <w:sz w:val="18"/>
          <w:szCs w:val="18"/>
          <w:b w:val="1"/>
          <w:bCs w:val="1"/>
          <w:color w:val="auto"/>
        </w:rPr>
        <w:t>Base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between the Company and Trustee, as supplemented by a supplemental indenture to be dated as of the Closing Date (the “</w:t>
      </w:r>
      <w:r>
        <w:rPr>
          <w:rFonts w:ascii="Times New Roman" w:cs="Times New Roman" w:eastAsia="Times New Roman" w:hAnsi="Times New Roman"/>
          <w:sz w:val="18"/>
          <w:szCs w:val="18"/>
          <w:b w:val="1"/>
          <w:bCs w:val="1"/>
          <w:color w:val="auto"/>
        </w:rPr>
        <w:t>Eighth Supplemental Indenture</w:t>
      </w:r>
      <w:r>
        <w:rPr>
          <w:rFonts w:ascii="Times New Roman" w:cs="Times New Roman" w:eastAsia="Times New Roman" w:hAnsi="Times New Roman"/>
          <w:sz w:val="18"/>
          <w:szCs w:val="18"/>
          <w:color w:val="auto"/>
        </w:rPr>
        <w:t>” and, together with the Base Indenture,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between the Company and the Trustee.</w:t>
      </w:r>
    </w:p>
    <w:p>
      <w:pPr>
        <w:spacing w:after="0" w:line="179"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The Company has filed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a registration statement, including a prospectus, (File No. 333-284557) on Form S-3, relating to certain securities of the Company (the “</w:t>
      </w:r>
      <w:r>
        <w:rPr>
          <w:rFonts w:ascii="Times New Roman" w:cs="Times New Roman" w:eastAsia="Times New Roman" w:hAnsi="Times New Roman"/>
          <w:sz w:val="18"/>
          <w:szCs w:val="18"/>
          <w:b w:val="1"/>
          <w:bCs w:val="1"/>
          <w:color w:val="auto"/>
        </w:rPr>
        <w:t>Shelf Securities</w:t>
      </w:r>
      <w:r>
        <w:rPr>
          <w:rFonts w:ascii="Times New Roman" w:cs="Times New Roman" w:eastAsia="Times New Roman" w:hAnsi="Times New Roman"/>
          <w:sz w:val="18"/>
          <w:szCs w:val="18"/>
          <w:color w:val="auto"/>
        </w:rPr>
        <w:t>”), including the Securities, to be sold from time to time by the Company. The registration statement as amended to the date of this Agreement, including the information (if any) deemed to be part of the registration statement at the time of effectiveness pursuant to Rule 430A or Rule 430B under the Securities Act of 1933, as amended (together with the rules and regulations of the Commission promulgated thereunder,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is hereinafter referred to as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and the related prospectus covering the Shelf Securities dated January 28, 2025 in the form first used to confirm sales of the Securities (or in the form first made available to the Underwriters by the Company to meet requests of purchasers pursuant to Rule 173 under the Securities Act) is hereinafter referred to as the “</w:t>
      </w:r>
      <w:r>
        <w:rPr>
          <w:rFonts w:ascii="Times New Roman" w:cs="Times New Roman" w:eastAsia="Times New Roman" w:hAnsi="Times New Roman"/>
          <w:sz w:val="18"/>
          <w:szCs w:val="18"/>
          <w:b w:val="1"/>
          <w:bCs w:val="1"/>
          <w:color w:val="auto"/>
        </w:rPr>
        <w:t>Basic Prospectus</w:t>
      </w:r>
      <w:r>
        <w:rPr>
          <w:rFonts w:ascii="Times New Roman" w:cs="Times New Roman" w:eastAsia="Times New Roman" w:hAnsi="Times New Roman"/>
          <w:sz w:val="18"/>
          <w:szCs w:val="18"/>
          <w:color w:val="auto"/>
        </w:rPr>
        <w:t>.” The Basic Prospectus, as supplemented by the prospectus supplement specifically relating to the Securities in the form first used to confirm sales of the Securities (or in the form first made available to the Underwriters by the Company to meet requests of purchasers pursuant to Rule 173 under the Securities Act) is hereinafter referred to as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and the term “</w:t>
      </w:r>
      <w:r>
        <w:rPr>
          <w:rFonts w:ascii="Times New Roman" w:cs="Times New Roman" w:eastAsia="Times New Roman" w:hAnsi="Times New Roman"/>
          <w:sz w:val="18"/>
          <w:szCs w:val="18"/>
          <w:b w:val="1"/>
          <w:bCs w:val="1"/>
          <w:color w:val="auto"/>
        </w:rPr>
        <w:t>Preliminary Prospectus</w:t>
      </w:r>
      <w:r>
        <w:rPr>
          <w:rFonts w:ascii="Times New Roman" w:cs="Times New Roman" w:eastAsia="Times New Roman" w:hAnsi="Times New Roman"/>
          <w:sz w:val="18"/>
          <w:szCs w:val="18"/>
          <w:color w:val="auto"/>
        </w:rPr>
        <w:t>” means any preliminary form of the Prospectus (including any preliminary prospectus supplement and the Basic Prospectus attached thereto) filed with the Commission pursuant to Rule 424(b) under the Securities Act.</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Permitted Free Writing Prospectus</w:t>
      </w:r>
      <w:r>
        <w:rPr>
          <w:rFonts w:ascii="Times New Roman" w:cs="Times New Roman" w:eastAsia="Times New Roman" w:hAnsi="Times New Roman"/>
          <w:sz w:val="18"/>
          <w:szCs w:val="18"/>
          <w:color w:val="auto"/>
        </w:rPr>
        <w:t>” as used herein means the documents identified as such in Schedule II hereto and any other “</w:t>
      </w:r>
      <w:r>
        <w:rPr>
          <w:rFonts w:ascii="Times New Roman" w:cs="Times New Roman" w:eastAsia="Times New Roman" w:hAnsi="Times New Roman"/>
          <w:sz w:val="18"/>
          <w:szCs w:val="18"/>
          <w:b w:val="1"/>
          <w:bCs w:val="1"/>
          <w:color w:val="auto"/>
        </w:rPr>
        <w:t>free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writing prospectus</w:t>
      </w:r>
      <w:r>
        <w:rPr>
          <w:rFonts w:ascii="Times New Roman" w:cs="Times New Roman" w:eastAsia="Times New Roman" w:hAnsi="Times New Roman"/>
          <w:sz w:val="18"/>
          <w:szCs w:val="18"/>
          <w:color w:val="auto"/>
        </w:rPr>
        <w:t>” (as defined in Rule 405 under the Securities Act) that the Representatives and the Company shall hereafter agree in writing to treat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part of the Disclosure Package. The term “</w:t>
      </w:r>
      <w:r>
        <w:rPr>
          <w:rFonts w:ascii="Times New Roman" w:cs="Times New Roman" w:eastAsia="Times New Roman" w:hAnsi="Times New Roman"/>
          <w:sz w:val="18"/>
          <w:szCs w:val="18"/>
          <w:b w:val="1"/>
          <w:bCs w:val="1"/>
          <w:color w:val="auto"/>
        </w:rPr>
        <w:t>Disclosure Package</w:t>
      </w:r>
      <w:r>
        <w:rPr>
          <w:rFonts w:ascii="Times New Roman" w:cs="Times New Roman" w:eastAsia="Times New Roman" w:hAnsi="Times New Roman"/>
          <w:sz w:val="18"/>
          <w:szCs w:val="18"/>
          <w:color w:val="auto"/>
        </w:rPr>
        <w:t>” as used herein means the Preliminary Prospectus dated May 5, 2025 together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sheet set forth in Annex II-A hereto and any other Permitted Free Writing Prospectuses. “</w:t>
      </w:r>
      <w:r>
        <w:rPr>
          <w:rFonts w:ascii="Times New Roman" w:cs="Times New Roman" w:eastAsia="Times New Roman" w:hAnsi="Times New Roman"/>
          <w:sz w:val="18"/>
          <w:szCs w:val="18"/>
          <w:b w:val="1"/>
          <w:bCs w:val="1"/>
          <w:color w:val="auto"/>
        </w:rPr>
        <w:t>Initial Sale Time</w:t>
      </w:r>
      <w:r>
        <w:rPr>
          <w:rFonts w:ascii="Times New Roman" w:cs="Times New Roman" w:eastAsia="Times New Roman" w:hAnsi="Times New Roman"/>
          <w:sz w:val="18"/>
          <w:szCs w:val="18"/>
          <w:color w:val="auto"/>
        </w:rPr>
        <w:t>” shall mean 5:30 P.M. Eastern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Standard Time on the date of this Agreement. As used herein, the terms “Registration Statement,” “Basic Prospectus,” “Preliminary Prospectus,”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“Disclosure Package” and “Prospectus” shall include the documents, if any, incorporated by reference therein as of the date hereof. The terms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supplement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amendment</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b w:val="1"/>
          <w:bCs w:val="1"/>
          <w:color w:val="auto"/>
        </w:rPr>
        <w:t>amend</w:t>
      </w:r>
      <w:r>
        <w:rPr>
          <w:rFonts w:ascii="Times New Roman" w:cs="Times New Roman" w:eastAsia="Times New Roman" w:hAnsi="Times New Roman"/>
          <w:sz w:val="17"/>
          <w:szCs w:val="17"/>
          <w:color w:val="auto"/>
        </w:rPr>
        <w:t>” as used herein with respect to the Registration Statement, the Basic Prospectus, the Preliminary Prospectus,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 Package or the Prospectus shall include all documents subsequently filed by the Company with the Commission pursuant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that are deemed to be incorporated by reference therein.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II.</w:t>
      </w:r>
    </w:p>
    <w:p>
      <w:pPr>
        <w:spacing w:after="0" w:line="225"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The Company hereby agrees to sell to the several Underwriters, and each Underwriter, upon the basis of the representations and warranties herein contained, but subject to the conditions hereinafter stated, agrees, severally and not jointly, to purchase from the Company the respective principal amount of Securities set forth in Schedule I hereto opposite its name at a purchase price of 99.692% of the principal amount thereof in the case of the 2028 Securities, 99.599% of the principal amount thereof in the case of the 2030 Securities and 99.285% of the principal amount thereof in the case of the 2035 Securities (in respect of each series of Securities,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plus accrued interest, if any, from May 7, 2025, if settlement occurs after that date, to the Closing Date (as defined below).</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25" w:lineRule="exact"/>
        <w:rPr>
          <w:sz w:val="20"/>
          <w:szCs w:val="20"/>
          <w:color w:val="auto"/>
        </w:rPr>
      </w:pPr>
    </w:p>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t>The Company is advised by the Representatives that the Underwriters propose to make a public offering of their respective portions of the Securities as soon as practicable after this Agreement is entered into as in the Representatives’ judgment is advisable upon the basis of the terms and conditions set forth in this Agreement and the Disclosure Package and to be set forth in the Prospectus.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Company will deliver the Securities, against payment of the Purchase Price therefor plus accrued interest, if any, from May 7, 2025, if settlement occurs after that date, to the Closing Date (as defined below) in the form of one or more permanent global securities (the “</w:t>
      </w:r>
      <w:r>
        <w:rPr>
          <w:rFonts w:ascii="Times New Roman" w:cs="Times New Roman" w:eastAsia="Times New Roman" w:hAnsi="Times New Roman"/>
          <w:sz w:val="18"/>
          <w:szCs w:val="18"/>
          <w:b w:val="1"/>
          <w:bCs w:val="1"/>
          <w:color w:val="auto"/>
        </w:rPr>
        <w:t>Global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deposited with the Trustee as custodian for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and registered in the name of Cede &amp; Co. as nominee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DTC. Interests in any permanent Global Securities will be held only in book-entry form through DTC, except in the limited circumstances described in the Registration Statement, the Disclosure Package and the Prospectus. Payment for the Securities shall be made by the several Underwriters through the Representatives by wire transfer in immediately available funds to an account specified by the Company at 10:00 A.M. (New York City time) on May 7, 2025, which date and time may be postponed by agreement between the Representatives and the Company or as provided in Article XV (such date and time of delivery and payment for the Securities being herein called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against delivery to the Trustee as custodian for DTC of the Global Securities representing all of the Securities.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several obligations of the Underwriters hereunder are subject to the following conditions:</w:t>
      </w:r>
    </w:p>
    <w:p>
      <w:pPr>
        <w:spacing w:after="0" w:line="117" w:lineRule="exact"/>
        <w:rPr>
          <w:sz w:val="20"/>
          <w:szCs w:val="20"/>
          <w:color w:val="auto"/>
        </w:rPr>
      </w:pPr>
    </w:p>
    <w:p>
      <w:pPr>
        <w:ind w:right="120" w:firstLine="436"/>
        <w:spacing w:after="0" w:line="266" w:lineRule="auto"/>
        <w:tabs>
          <w:tab w:leader="none" w:pos="68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No stop order suspending the effectiveness of the Registration Statement in the United States shall be in effect and no proceedings for such purpose shall be pending before or threatened by the Commission; (ii) there shall have been no material adverse change (not in the ordinary course of business) or any material development involving a prospective material</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70" w:right="439" w:bottom="1440" w:gutter="0" w:footer="0" w:header="0"/>
        </w:sectPr>
      </w:pPr>
    </w:p>
    <w:bookmarkStart w:id="7" w:name="page8"/>
    <w:bookmarkEnd w:id="7"/>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adverse change (not in the ordinary course of business) in the financial condition of the Company and its subsidiaries, taken as a whole, in each case, from that set forth in the Registration Statement, the Disclosure Package and the Prospectus; (iii) the representations and warranties of the Company in this Agreement that are subject to any limitation as to “materiality” or “material adverse effect” shall be true and correct in all respects on and as of the Closing Date with the same effect as if made on the Closing Date, and the representations and warranties of the Company in this Agreement that are not subject to any limitation as to “materiality” or “material adverse effect” shall be true and correct in all material respects on and as of the Closing Date with the same effect as if made on the Closing Date; and (iv) the Representatives shall have received on the Closing Date a certificate, dated the Closing Date and signed by an executive officer, including without limitation the Treasurer or Assistant Treasurer of the Company (acting on behalf of the Company and without personal liability), to the foregoing effect. The officer making such certificate may rely upon the best of his knowledge as to proceedings threatened or prospective changes.</w:t>
      </w:r>
    </w:p>
    <w:p>
      <w:pPr>
        <w:spacing w:after="0" w:line="188" w:lineRule="exact"/>
        <w:rPr>
          <w:sz w:val="20"/>
          <w:szCs w:val="20"/>
          <w:color w:val="auto"/>
        </w:rPr>
      </w:pPr>
    </w:p>
    <w:p>
      <w:pPr>
        <w:ind w:firstLine="436"/>
        <w:spacing w:after="0" w:line="253" w:lineRule="auto"/>
        <w:tabs>
          <w:tab w:leader="none" w:pos="6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has rated debt outstanding, subsequent to the execution and delivery of this Agreement and prior to the Closing Date, there shall not have occurred any downgrading, nor shall any notice have been given of any intended or potential downgrading or of any review for a possible change that does not indicate the direction of the possible change, in the rating accorded any of the debt securities of the Company by any “nationally recognized statistical rating organization,” as such term is defined in Section 3(a)(62) of the Exchange Act. For the avoidance of doubt, any undrawn balance under the Fifth Amended and Restated 5-Year Revolving Credit Agreement, dated as of March 25, 2025, among the Company, General Motors Financial Company, Inc., the subsidiary borrowers from time to time parties thereto, the several lenders from time to time parties thereto, JPMorgan Chase Bank, N.A., as administrative agent, and Citibank, N.A., as syndication agent, the Sixth Amended and Restated 3-Year Revolving Credit Agreement, dated as of March 25, 2025, among the Company, General Motors Financial Company, Inc., the subsidiary borrowers from time to time parties thereto, the several lenders from time to time parties thereto, JPMorgan Chase Bank, N.A., as administrative agent, and Citibank, N.A., as syndication agent and the Seventh Amended and Restated 364-Day Revolving Credit Agreement, dated as of March 25, 2025, among the Company, General Motors Financial Company, Inc., the subsidiary borrowers from time to time parties thereto, the several lenders from time to time parties thereto, JPMorgan Chase Bank, N.A., as administrative agent, and Citibank, N.A., as syndication agent, shall not be considered outstanding debt for purposes of this clause (b).</w:t>
      </w:r>
    </w:p>
    <w:p>
      <w:pPr>
        <w:spacing w:after="0" w:line="187" w:lineRule="exact"/>
        <w:rPr>
          <w:rFonts w:ascii="Times New Roman" w:cs="Times New Roman" w:eastAsia="Times New Roman" w:hAnsi="Times New Roman"/>
          <w:sz w:val="18"/>
          <w:szCs w:val="18"/>
          <w:color w:val="auto"/>
        </w:rPr>
      </w:pPr>
    </w:p>
    <w:p>
      <w:pPr>
        <w:ind w:right="100" w:firstLine="436"/>
        <w:spacing w:after="0" w:line="261" w:lineRule="auto"/>
        <w:tabs>
          <w:tab w:leader="none" w:pos="68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action shall have been taken and no statute, rule, regulation or order shall have been enacted, adopted or issued by any federal or state governmental or regulatory authority that would, as of the Closing Date, prevent the sale of the Securities by the Company in the United States; and no injunction or order of any federal or state court shall have been issued that would, as of the Closing Date, prevent the sale of the Securities by the Company in the United States.</w:t>
      </w:r>
    </w:p>
    <w:p>
      <w:pPr>
        <w:spacing w:after="0" w:line="179" w:lineRule="exact"/>
        <w:rPr>
          <w:rFonts w:ascii="Times New Roman" w:cs="Times New Roman" w:eastAsia="Times New Roman" w:hAnsi="Times New Roman"/>
          <w:sz w:val="18"/>
          <w:szCs w:val="18"/>
          <w:color w:val="auto"/>
        </w:rPr>
      </w:pPr>
    </w:p>
    <w:p>
      <w:pPr>
        <w:ind w:right="180" w:firstLine="436"/>
        <w:spacing w:after="0" w:line="282" w:lineRule="auto"/>
        <w:tabs>
          <w:tab w:leader="none" w:pos="6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Representatives shall have received on the Closing Date an opinion of an attorney on the Legal Staff of the Company, dated the Closing Date, to the effect set forth in Exhibit A-1.</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440" w:top="270" w:right="499" w:bottom="1440" w:gutter="0" w:footer="0" w:header="0"/>
        </w:sectPr>
      </w:pPr>
    </w:p>
    <w:bookmarkStart w:id="8" w:name="page9"/>
    <w:bookmarkEnd w:id="8"/>
    <w:p>
      <w:pPr>
        <w:ind w:left="-20" w:firstLine="436"/>
        <w:spacing w:after="0" w:line="282" w:lineRule="auto"/>
        <w:tabs>
          <w:tab w:leader="none" w:pos="66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Representatives shall have received on the Closing Date (i) a Rule 10b-5 statement of counsel for the Company, dated the Closing Date, to the effect set forth in Exhibit A-2, and (ii) an opinion of counsel for the Company, dated the Closing Date, to the effect set forth in Exhibit A-3.</w:t>
      </w:r>
    </w:p>
    <w:p>
      <w:pPr>
        <w:spacing w:after="0" w:line="161" w:lineRule="exact"/>
        <w:rPr>
          <w:rFonts w:ascii="Times New Roman" w:cs="Times New Roman" w:eastAsia="Times New Roman" w:hAnsi="Times New Roman"/>
          <w:sz w:val="18"/>
          <w:szCs w:val="18"/>
          <w:color w:val="auto"/>
        </w:rPr>
      </w:pPr>
    </w:p>
    <w:p>
      <w:pPr>
        <w:ind w:left="-20" w:right="160" w:firstLine="436"/>
        <w:spacing w:after="0" w:line="266" w:lineRule="auto"/>
        <w:tabs>
          <w:tab w:leader="none" w:pos="64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Representatives shall have received on the Closing Date (i) an opinion of counsel for the Underwriters, dated the Closing Date, to the effect set forth in Exhibit B-1, and (ii) a Rule 10b-5 statement of counsel for the Underwriters, dated the Closing Date, to the effect set forth in Exhibit B-2.</w:t>
      </w:r>
    </w:p>
    <w:p>
      <w:pPr>
        <w:spacing w:after="0" w:line="175" w:lineRule="exact"/>
        <w:rPr>
          <w:rFonts w:ascii="Times New Roman" w:cs="Times New Roman" w:eastAsia="Times New Roman" w:hAnsi="Times New Roman"/>
          <w:sz w:val="18"/>
          <w:szCs w:val="18"/>
          <w:color w:val="auto"/>
        </w:rPr>
      </w:pPr>
    </w:p>
    <w:p>
      <w:pPr>
        <w:ind w:left="-20" w:right="100" w:firstLine="436"/>
        <w:spacing w:after="0" w:line="282" w:lineRule="auto"/>
        <w:tabs>
          <w:tab w:leader="none" w:pos="6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Representatives shall have received on each of the date hereof and the Closing Date customary “comfort letters,” dated the date hereof or the Closing Date, as the case may be, in form and substance reasonably satisfactory to the Representatives, from Ernst &amp; Young LLP.</w:t>
      </w:r>
    </w:p>
    <w:p>
      <w:pPr>
        <w:spacing w:after="0" w:line="161" w:lineRule="exact"/>
        <w:rPr>
          <w:rFonts w:ascii="Times New Roman" w:cs="Times New Roman" w:eastAsia="Times New Roman" w:hAnsi="Times New Roman"/>
          <w:sz w:val="18"/>
          <w:szCs w:val="18"/>
          <w:color w:val="auto"/>
        </w:rPr>
      </w:pPr>
    </w:p>
    <w:p>
      <w:pPr>
        <w:ind w:left="-20" w:right="200" w:firstLine="436"/>
        <w:spacing w:after="0" w:line="282" w:lineRule="auto"/>
        <w:tabs>
          <w:tab w:leader="none" w:pos="6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Representatives shall have received on the Closing Date (i) duly executed copies of the Indenture and (ii) specimen copies of the global notes representing the Securities.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further consideration of the agreements of the Underwriters contained in this Agreement, the Company covenants as follows:</w:t>
      </w:r>
    </w:p>
    <w:p>
      <w:pPr>
        <w:spacing w:after="0" w:line="117" w:lineRule="exact"/>
        <w:rPr>
          <w:sz w:val="20"/>
          <w:szCs w:val="20"/>
          <w:color w:val="auto"/>
        </w:rPr>
      </w:pPr>
    </w:p>
    <w:p>
      <w:pPr>
        <w:ind w:left="-20" w:right="20" w:firstLine="436"/>
        <w:spacing w:after="0" w:line="255" w:lineRule="auto"/>
        <w:tabs>
          <w:tab w:leader="none" w:pos="66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furnish the Representatives, upon written request, without charge, a copy of the Disclosure Package and the Registration Statement, including exhibits and materials, if any, incorporated by reference therein and, during the period beginning with the Initial Sale Time (and, in the case of the Prospectus, prior to 10:00 A.M. New York City time on the business day next succeeding the date of this Agreement) and ending on the later of the Closing Date, or such date as the Prospectus is no longer required by the Securities Act to be delivered in connection with the initial offering or sale of the Securities (including in circumstances where such requirement may be satisfied pursuant to Rule 172) (the “</w:t>
      </w:r>
      <w:r>
        <w:rPr>
          <w:rFonts w:ascii="Times New Roman" w:cs="Times New Roman" w:eastAsia="Times New Roman" w:hAnsi="Times New Roman"/>
          <w:sz w:val="18"/>
          <w:szCs w:val="18"/>
          <w:b w:val="1"/>
          <w:bCs w:val="1"/>
          <w:color w:val="auto"/>
        </w:rPr>
        <w:t>Prospectus Delivery Period</w:t>
      </w:r>
      <w:r>
        <w:rPr>
          <w:rFonts w:ascii="Times New Roman" w:cs="Times New Roman" w:eastAsia="Times New Roman" w:hAnsi="Times New Roman"/>
          <w:sz w:val="18"/>
          <w:szCs w:val="18"/>
          <w:color w:val="auto"/>
        </w:rPr>
        <w:t>”), as many copies of the Disclosure Package, the Prospectus, any Permitted Free Writing Prospectuses, any documents incorporated by reference therein and any supplements and amendments thereto, as applicable, in all cases as the Representatives may reasonably request.</w:t>
      </w:r>
    </w:p>
    <w:p>
      <w:pPr>
        <w:spacing w:after="0" w:line="188" w:lineRule="exact"/>
        <w:rPr>
          <w:rFonts w:ascii="Times New Roman" w:cs="Times New Roman" w:eastAsia="Times New Roman" w:hAnsi="Times New Roman"/>
          <w:sz w:val="18"/>
          <w:szCs w:val="18"/>
          <w:color w:val="auto"/>
        </w:rPr>
      </w:pPr>
    </w:p>
    <w:p>
      <w:pPr>
        <w:ind w:left="-20" w:firstLine="436"/>
        <w:spacing w:after="0" w:line="261" w:lineRule="auto"/>
        <w:tabs>
          <w:tab w:leader="none" w:pos="6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Prospectus Delivery Period, (x) before amending or supplementing the Registration Statement, the Disclosure Package or the Prospectus (including by way of filing with the Commission any documents incorporated by reference therein), to furnish the Representatives a copy of each such proposed amendment or supplement, and (y) to notify the Representatives as promptly as practicable of the filing with the Commission of any such amendment or supplement to the Registration Statement, the Disclosure Package or the Prospectus.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60"/>
          </w:cols>
          <w:pgMar w:left="460" w:top="270" w:right="479" w:bottom="1440" w:gutter="0" w:footer="0" w:header="0"/>
        </w:sectPr>
      </w:pPr>
    </w:p>
    <w:bookmarkStart w:id="9" w:name="page10"/>
    <w:bookmarkEnd w:id="9"/>
    <w:p>
      <w:pPr>
        <w:ind w:left="-20" w:firstLine="436"/>
        <w:spacing w:after="0" w:line="252" w:lineRule="auto"/>
        <w:tabs>
          <w:tab w:leader="none" w:pos="66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furnish to the Representatives, upon written request, copies of each amendment and supplement to the Registration Statement, the Disclosure Package or the Prospectus (including by way of filing with the Commission any documents incorporated by reference therein), in such quantities as the Representatives may from time to time reasonably request; and if, during the Prospectus Delivery Period, either (i) any event shall have occurred as a result of which the Registration Statement, the Disclosure Package or the Prospectus, in each case as then so amended or supplemented would, as determined by the Company, include any untrue statement of a material fact, or omit to state any material fact required to be stated therein or necessary in order to make the statements therein, in the light of the circumstances under which they were made, not misleading, or (ii) for any other reason, as determined by the Company, it shall be necessary to amend or supplement the Registration Statement, the Disclosure Package or the Prospectus, in each case as then so amended or supplemented, or to file under the Exchange Act any document incorporated by reference in the Registration Statement, the Disclosure Package or the Prospectus, as the case may be, in order to comply with the Securities Act or the Exchange Act, the Company will (A) notify the Underwriters to suspend offers and sales of the Securities and if notified by the Company, the Underwriters shall forthwith suspend such solicitation and cease using the Registration Statement, the Disclosure Package or the Prospectus, as the case may be and in each case as then amended or supplemented, and (B) promptly prepare and file with the Commission such document incorporated by reference in the Registration Statement, the Disclosure Package or the Prospectus, as the case may be, or promptly prepare an amendment or supplement to such Registration Statement, Disclosure Package or Prospectus, as applicable, which will correct such statement or omission or effect such compliance, and will provide to the Underwriters without charge a reasonable number of copies thereof as requested by the Underwriters, which the Underwriters shall use thereafter.</w:t>
      </w:r>
    </w:p>
    <w:p>
      <w:pPr>
        <w:spacing w:after="0" w:line="194" w:lineRule="exact"/>
        <w:rPr>
          <w:rFonts w:ascii="Times New Roman" w:cs="Times New Roman" w:eastAsia="Times New Roman" w:hAnsi="Times New Roman"/>
          <w:sz w:val="18"/>
          <w:szCs w:val="18"/>
          <w:color w:val="auto"/>
        </w:rPr>
      </w:pPr>
    </w:p>
    <w:p>
      <w:pPr>
        <w:ind w:left="-20" w:right="120" w:firstLine="436"/>
        <w:spacing w:after="0" w:line="282" w:lineRule="auto"/>
        <w:tabs>
          <w:tab w:leader="none" w:pos="6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furnish to the Representatives a copy of each proposed free writing prospectus to be prepared by or on behalf of, used by, or referred to by the Company and not to use or refer to any proposed free writing prospectus to which the Representatives reasonably object.</w:t>
      </w:r>
    </w:p>
    <w:p>
      <w:pPr>
        <w:spacing w:after="0" w:line="161" w:lineRule="exact"/>
        <w:rPr>
          <w:rFonts w:ascii="Times New Roman" w:cs="Times New Roman" w:eastAsia="Times New Roman" w:hAnsi="Times New Roman"/>
          <w:sz w:val="18"/>
          <w:szCs w:val="18"/>
          <w:color w:val="auto"/>
        </w:rPr>
      </w:pPr>
    </w:p>
    <w:p>
      <w:pPr>
        <w:ind w:left="-20" w:firstLine="436"/>
        <w:spacing w:after="0" w:line="256" w:lineRule="auto"/>
        <w:tabs>
          <w:tab w:leader="none" w:pos="66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use its reasonable best efforts to cooperate with the Underwriters and their counsel in connection with the qualification or registration of the Securities for offer and sale under the securities or “Blue Sky” laws of such jurisdictions as the Representatives may reasonably request and to maintain such qualification in effect for as long as may be necessary to complete the sale of the Securities pursuant to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connection therewith the Company shall not be required to qualify as a foreign corporation to do business, or to file a general consent to service of process, in any jurisdiction, or to take any other action that would subject it to general service of process or to taxation in respect of doing business in any jurisdiction in which it is not otherwise so subject.</w:t>
      </w:r>
    </w:p>
    <w:p>
      <w:pPr>
        <w:spacing w:after="0" w:line="187" w:lineRule="exact"/>
        <w:rPr>
          <w:rFonts w:ascii="Times New Roman" w:cs="Times New Roman" w:eastAsia="Times New Roman" w:hAnsi="Times New Roman"/>
          <w:sz w:val="18"/>
          <w:szCs w:val="18"/>
          <w:color w:val="auto"/>
        </w:rPr>
      </w:pPr>
    </w:p>
    <w:p>
      <w:pPr>
        <w:ind w:left="-20" w:right="100" w:firstLine="436"/>
        <w:spacing w:after="0" w:line="254" w:lineRule="auto"/>
        <w:tabs>
          <w:tab w:leader="none" w:pos="64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as promptly as practicable notify the Representatives of the issuance by the Commission of any order suspending the effectiveness of the Registration Statement or preventing or suspending the use of any Preliminary Prospectus, any of the Disclosure Package or the Prospectus or having the effect of ceasing or suspending trading in the Securities or the initiation or threatening of any proceeding for that purpose or pursuant to Section 8A of the Securities Act or the receipt by the Company of any notice with respect to any suspension of the qualification or distribution of the Securities for offer and sale in any jurisdiction or the initiation or threatening of any proceeding for such purpose; and the Company will use its reasonable best efforts to prevent the issuance of any such order suspending the effectiveness of the Registration Statement, preventing or suspending the use of any Preliminary Prospectus, any of the Disclosure Package or the Prospectus or suspending any such qualification or distribution of the Securities, or having the effect of ceasing or suspending trading in the Securities, and, if any such order is issued, will use its reasonable best efforts as soon as practicable to obtain the withdrawal thereof.</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0"/>
          </w:cols>
          <w:pgMar w:left="460" w:top="270" w:right="479" w:bottom="1440" w:gutter="0" w:footer="0" w:header="0"/>
        </w:sectPr>
      </w:pPr>
    </w:p>
    <w:bookmarkStart w:id="10" w:name="page11"/>
    <w:bookmarkEnd w:id="10"/>
    <w:p>
      <w:pPr>
        <w:jc w:val="both"/>
        <w:ind w:right="600" w:firstLine="436"/>
        <w:spacing w:after="0" w:line="266" w:lineRule="auto"/>
        <w:tabs>
          <w:tab w:leader="none" w:pos="6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during the Prospectus Delivery Period, will file timely (giving effect to any grace periods or extensions available under applicable Commission regulations) all documents required to be filed with the Commission pursuant to Sections 13(a), 13(c), 14 or 15(d) of the Exchange Act.</w:t>
      </w:r>
    </w:p>
    <w:p>
      <w:pPr>
        <w:spacing w:after="0" w:line="175" w:lineRule="exact"/>
        <w:rPr>
          <w:rFonts w:ascii="Times New Roman" w:cs="Times New Roman" w:eastAsia="Times New Roman" w:hAnsi="Times New Roman"/>
          <w:sz w:val="18"/>
          <w:szCs w:val="18"/>
          <w:color w:val="auto"/>
        </w:rPr>
      </w:pPr>
    </w:p>
    <w:p>
      <w:pPr>
        <w:jc w:val="both"/>
        <w:ind w:firstLine="436"/>
        <w:spacing w:after="0" w:line="289" w:lineRule="auto"/>
        <w:tabs>
          <w:tab w:leader="none" w:pos="69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the prior written consent of the Representatives on behalf of the Underwriters, the Company will not, during the period beginning on the date hereof and continuing to and including the Closing Date, offer, sell, contract to sell or otherwise dispose of any debt securities of the Company or warrants to purchase debt securities of the Company substantially similar to the Securities (other than the sale of the Securities under this Agreement).</w:t>
      </w:r>
    </w:p>
    <w:p>
      <w:pPr>
        <w:spacing w:after="0" w:line="157" w:lineRule="exact"/>
        <w:rPr>
          <w:rFonts w:ascii="Times New Roman" w:cs="Times New Roman" w:eastAsia="Times New Roman" w:hAnsi="Times New Roman"/>
          <w:sz w:val="17"/>
          <w:szCs w:val="17"/>
          <w:color w:val="auto"/>
        </w:rPr>
      </w:pPr>
    </w:p>
    <w:p>
      <w:pPr>
        <w:ind w:right="40" w:firstLine="436"/>
        <w:spacing w:after="0" w:line="26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(i) in respect of the Securities, promptly within the time periods specified therein, effect the filings required of it pursuant to Rule 424 and/or Rule 433 under the Securities Act, and (ii) take such steps as it deems necessary to ascertain promptly whether any Permitted Free Writing Prospectus transmitted for filing under Rule 433 of the Securities Act was received for filing by the Commission and, in the event that such Permitted Free Writing Prospectus was not so received, it will promptly file the relevant Permitted Free Writing Prospectus.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VII.</w:t>
      </w:r>
    </w:p>
    <w:p>
      <w:pPr>
        <w:spacing w:after="0" w:line="225" w:lineRule="exact"/>
        <w:rPr>
          <w:sz w:val="20"/>
          <w:szCs w:val="20"/>
          <w:color w:val="auto"/>
        </w:rPr>
      </w:pPr>
    </w:p>
    <w:p>
      <w:pPr>
        <w:ind w:left="680" w:hanging="244"/>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Underwriters, severally and not jointly, represents and warrants to, and agrees with, the Company that:</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440" w:right="200" w:firstLine="419"/>
        <w:spacing w:after="0" w:line="258" w:lineRule="auto"/>
        <w:tabs>
          <w:tab w:leader="none" w:pos="112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it has only communicated or caused to be communicated and will only communicate or cause to be communicated an invitation or inducement to engage in investment activity (within the meaning of Section 21 of the Financial Services and Markets Act 2000 (the “</w:t>
      </w:r>
      <w:r>
        <w:rPr>
          <w:rFonts w:ascii="Times New Roman" w:cs="Times New Roman" w:eastAsia="Times New Roman" w:hAnsi="Times New Roman"/>
          <w:sz w:val="18"/>
          <w:szCs w:val="18"/>
          <w:b w:val="1"/>
          <w:bCs w:val="1"/>
          <w:color w:val="auto"/>
        </w:rPr>
        <w:t>FSMA</w:t>
      </w:r>
      <w:r>
        <w:rPr>
          <w:rFonts w:ascii="Times New Roman" w:cs="Times New Roman" w:eastAsia="Times New Roman" w:hAnsi="Times New Roman"/>
          <w:sz w:val="18"/>
          <w:szCs w:val="18"/>
          <w:color w:val="auto"/>
        </w:rPr>
        <w:t>”)) received by it in connection with the issue or sale of any Securities in circumstances in which Section 21(1) of the FSMA does not apply to the Company; and (B) it has complied and will comply with all applicable provisions of the FSMA with respect to anything done by it in relation to any Securities in, from or otherwise involving the United Kingdom;</w:t>
      </w:r>
    </w:p>
    <w:p>
      <w:pPr>
        <w:spacing w:after="0" w:line="75"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it has not offered or sold and will not offer or sell in Hong Kong, by means of any document, any Securities other than (i) to</w:t>
      </w:r>
    </w:p>
    <w:p>
      <w:pPr>
        <w:spacing w:after="0" w:line="27" w:lineRule="exact"/>
        <w:rPr>
          <w:sz w:val="20"/>
          <w:szCs w:val="20"/>
          <w:color w:val="auto"/>
        </w:rPr>
      </w:pPr>
    </w:p>
    <w:p>
      <w:pPr>
        <w:ind w:left="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professional investors</w:t>
      </w:r>
      <w:r>
        <w:rPr>
          <w:rFonts w:ascii="Times New Roman" w:cs="Times New Roman" w:eastAsia="Times New Roman" w:hAnsi="Times New Roman"/>
          <w:sz w:val="18"/>
          <w:szCs w:val="18"/>
          <w:color w:val="auto"/>
        </w:rPr>
        <w:t>” as defined in the Securities and Futures Ordinance (Cap. 571) of Hong Kong and any rules made under that Ordinance, or (ii) in other circumstances which do not result in the document being a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as defined in the Companies Ordinance (Cap. 32) of Hong Kong or which do not constitute an offer or invitation to the public within the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11" w:name="page12"/>
    <w:bookmarkEnd w:id="11"/>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meaning of that Ordinance; and (B) it has not issued or had in its possession for the purposes of issue, and will not issue or have in its possession for the purposes of issue, whether in Hong Kong or elsewhere, any advertisement, invitation or document relating to the Securities, which is directed at, or the contents of which are likely to be accessed or read by, the public of Hong Kong (except if permitted to do so under the securities laws of Hong Kong) other than with respect to Securities which are or are intended to be disposed of only to persons outside Hong Kong or only to ‘‘professional investors’’ as defined in the Securities and Futures Ordinance and any rules made under that Ordinance;</w:t>
      </w:r>
    </w:p>
    <w:p>
      <w:pPr>
        <w:spacing w:after="0" w:line="71" w:lineRule="exact"/>
        <w:rPr>
          <w:sz w:val="20"/>
          <w:szCs w:val="20"/>
          <w:color w:val="auto"/>
        </w:rPr>
      </w:pPr>
    </w:p>
    <w:p>
      <w:pPr>
        <w:ind w:right="120" w:firstLine="419"/>
        <w:spacing w:after="0" w:line="257" w:lineRule="auto"/>
        <w:tabs>
          <w:tab w:leader="none" w:pos="7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have not been and will not be registered under the Financial Instruments and Exchange Law of Japan (the “</w:t>
      </w:r>
      <w:r>
        <w:rPr>
          <w:rFonts w:ascii="Times New Roman" w:cs="Times New Roman" w:eastAsia="Times New Roman" w:hAnsi="Times New Roman"/>
          <w:sz w:val="18"/>
          <w:szCs w:val="18"/>
          <w:b w:val="1"/>
          <w:b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Instruments and Exchange Law</w:t>
      </w:r>
      <w:r>
        <w:rPr>
          <w:rFonts w:ascii="Times New Roman" w:cs="Times New Roman" w:eastAsia="Times New Roman" w:hAnsi="Times New Roman"/>
          <w:sz w:val="18"/>
          <w:szCs w:val="18"/>
          <w:color w:val="auto"/>
        </w:rPr>
        <w:t>”) and each Underwriter has agreed that it will not offer or sell any Securities, directly or indirectly, in Japan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78" w:lineRule="exact"/>
        <w:rPr>
          <w:rFonts w:ascii="Times New Roman" w:cs="Times New Roman" w:eastAsia="Times New Roman" w:hAnsi="Times New Roman"/>
          <w:sz w:val="18"/>
          <w:szCs w:val="18"/>
          <w:color w:val="auto"/>
        </w:rPr>
      </w:pPr>
    </w:p>
    <w:p>
      <w:pPr>
        <w:ind w:firstLine="419"/>
        <w:spacing w:after="0" w:line="252" w:lineRule="auto"/>
        <w:tabs>
          <w:tab w:leader="none" w:pos="67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Supplement has not been registered as a prospectus with the Monetary Authority of Singapore. Accordingly, the Prospectus Supplement and any other document or material in connection with the offer or sale, or invitation for subscription or purchase, of the Securities may not be circulated or distributed, nor may the Securities be offered or sold, or be made the subject of an invitation for subscription or purchase, whether directly or indirectly, to persons in Singapore other than (A) to an institutional investor under Section 274 of the Securities and Futures Act, Chapter 289 of Singapore (the “</w:t>
      </w:r>
      <w:r>
        <w:rPr>
          <w:rFonts w:ascii="Times New Roman" w:cs="Times New Roman" w:eastAsia="Times New Roman" w:hAnsi="Times New Roman"/>
          <w:sz w:val="18"/>
          <w:szCs w:val="18"/>
          <w:b w:val="1"/>
          <w:bCs w:val="1"/>
          <w:color w:val="auto"/>
        </w:rPr>
        <w:t>SFA</w:t>
      </w:r>
      <w:r>
        <w:rPr>
          <w:rFonts w:ascii="Times New Roman" w:cs="Times New Roman" w:eastAsia="Times New Roman" w:hAnsi="Times New Roman"/>
          <w:sz w:val="18"/>
          <w:szCs w:val="18"/>
          <w:color w:val="auto"/>
        </w:rPr>
        <w:t>”), (B) to a relevant person pursuant to Section 275(1) of the SFA, or any person pursuant to Section 275(1A), and in accordance with the conditions, specified in Section 275 of the SFA, or (C) otherwise pursuant to, and in accordance with the conditions of, any other applicable provision of the SFA. Where the Securities are subscribed or purchased under Section 275 by a relevant person which is: (y) a corporation (which is not an accredited investor) the sole business of which is to hold investments and the entire share capital of which is owned by one or more individuals, each of whom is an accredited investor; or (z) a trust (where the trustee is not an accredited investor) whose sole purpose is to hold investments and each beneficiary is an accredited investor, securities (as defined in Section 239(1) of the SFA) of that corporation or the beneficiaries’ rights and interest in that trust shall not be transferable for 6 months after that corporation or that trust has acquired the Securities under Section 275 except: (1) to an institutional investor under Section 274 of the SFA or to a relevant person, or any person pursuant to Section 275(1A) or Section 276(4)(i)(B) of the SFA, and in accordance with the conditions, specified in Section 275 of the SFA; (2) where no consideration is given for the transfer; (3) by operation of law; (4) as specified in Section 276(7) of the SFA; or (5) as specified in Regulation 37A of the Securities and Futures (Offers of Investments) (Securities and Securities-based Derivatives Contracts) Regulations 2018 of Singapore.</w:t>
      </w:r>
    </w:p>
    <w:p>
      <w:pPr>
        <w:spacing w:after="0" w:line="12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60"/>
          </w:cols>
          <w:pgMar w:left="880" w:top="270" w:right="459" w:bottom="1440" w:gutter="0" w:footer="0" w:header="0"/>
        </w:sectPr>
      </w:pPr>
    </w:p>
    <w:bookmarkStart w:id="12" w:name="page13"/>
    <w:bookmarkEnd w:id="12"/>
    <w:p>
      <w:pPr>
        <w:ind w:left="264" w:hanging="264"/>
        <w:spacing w:after="0"/>
        <w:tabs>
          <w:tab w:leader="none" w:pos="26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of the Underwriters, severally and not jointly, represents and warrants to, and agrees with, the Company that:</w:t>
      </w:r>
    </w:p>
    <w:p>
      <w:pPr>
        <w:spacing w:after="0" w:line="117" w:lineRule="exact"/>
        <w:rPr>
          <w:rFonts w:ascii="Times New Roman" w:cs="Times New Roman" w:eastAsia="Times New Roman" w:hAnsi="Times New Roman"/>
          <w:sz w:val="18"/>
          <w:szCs w:val="18"/>
          <w:color w:val="auto"/>
        </w:rPr>
      </w:pPr>
    </w:p>
    <w:p>
      <w:pPr>
        <w:ind w:left="4" w:firstLine="419"/>
        <w:spacing w:after="0" w:line="258" w:lineRule="auto"/>
        <w:tabs>
          <w:tab w:leader="none" w:pos="64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not made and will not make any offer relating to the Securities that would constitute a free writing prospectus (other than a free writing prospectus which (A) is a Permitted Free Writing Prospectus or (B) consists of the electronic roadshow slides and accompanying audio recording), without the prior written consent of the Company, and any free writing prospectus or Permitted Free Writing Prospectus prepared by or on behalf of such Underwriter will only be used by such Underwriter if it complies in all material respects with the requirements of the Securities Act;</w:t>
      </w:r>
    </w:p>
    <w:p>
      <w:pPr>
        <w:spacing w:after="0" w:line="75" w:lineRule="exact"/>
        <w:rPr>
          <w:rFonts w:ascii="Times New Roman" w:cs="Times New Roman" w:eastAsia="Times New Roman" w:hAnsi="Times New Roman"/>
          <w:sz w:val="18"/>
          <w:szCs w:val="18"/>
          <w:color w:val="auto"/>
        </w:rPr>
      </w:pPr>
    </w:p>
    <w:p>
      <w:pPr>
        <w:ind w:left="4" w:firstLine="419"/>
        <w:spacing w:after="0" w:line="270" w:lineRule="auto"/>
        <w:tabs>
          <w:tab w:leader="none" w:pos="691"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it is aware that, other than registering and qualifying the Securities under the Securities Act, qualifying the Indenture under the Trust Indenture Act (as defined below) and complying with any applicable U.S. state securities or “Blue Sky” laws, no action has been or will be taken by the Company that would permit the offer or sale of the Securities or possession or distribution of the Preliminary Prospectus, the Disclosure Package or the Prospectus, or any other offering material relating to the Securities, in any jurisdiction where action for that purpose is required and</w:t>
      </w:r>
    </w:p>
    <w:p>
      <w:pPr>
        <w:spacing w:after="0" w:line="2" w:lineRule="exact"/>
        <w:rPr>
          <w:rFonts w:ascii="Times New Roman" w:cs="Times New Roman" w:eastAsia="Times New Roman" w:hAnsi="Times New Roman"/>
          <w:sz w:val="17"/>
          <w:szCs w:val="17"/>
          <w:color w:val="auto"/>
        </w:rPr>
      </w:pPr>
    </w:p>
    <w:p>
      <w:pPr>
        <w:ind w:left="4" w:right="4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accordingly, it will observe all applicable laws and regulations in each jurisdiction in or from which it may directly or indirectly acquire, offer, sell or deliver Securities or have in its possession or distribute the Preliminary Prospectus, the Disclosure Package or the Prospectus or any other offering material relating to the Securities, and it will obtain any consent, approval or permission required by it for the purchase, offer or sale by it of Securities under the laws and regulations in force in any such jurisdiction to which it is subject or in which it makes such purchase, offer or sale;</w:t>
      </w:r>
    </w:p>
    <w:p>
      <w:pPr>
        <w:spacing w:after="0" w:line="78" w:lineRule="exact"/>
        <w:rPr>
          <w:rFonts w:ascii="Times New Roman" w:cs="Times New Roman" w:eastAsia="Times New Roman" w:hAnsi="Times New Roman"/>
          <w:sz w:val="17"/>
          <w:szCs w:val="17"/>
          <w:color w:val="auto"/>
        </w:rPr>
      </w:pPr>
    </w:p>
    <w:p>
      <w:pPr>
        <w:ind w:left="4" w:right="600" w:firstLine="419"/>
        <w:spacing w:after="0" w:line="312" w:lineRule="auto"/>
        <w:tabs>
          <w:tab w:leader="none" w:pos="741"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the Company or any Underwriter shall have any responsibility for determining what compliance is necessary by any Underwriter or any other Underwriter or for the Underwriters or any other Underwriter obtaining such consents, approvals or permissions;</w:t>
      </w:r>
    </w:p>
    <w:p>
      <w:pPr>
        <w:spacing w:after="0" w:line="31" w:lineRule="exact"/>
        <w:rPr>
          <w:rFonts w:ascii="Times New Roman" w:cs="Times New Roman" w:eastAsia="Times New Roman" w:hAnsi="Times New Roman"/>
          <w:sz w:val="17"/>
          <w:szCs w:val="17"/>
          <w:color w:val="auto"/>
        </w:rPr>
      </w:pPr>
    </w:p>
    <w:p>
      <w:pPr>
        <w:ind w:left="4" w:right="40" w:firstLine="419"/>
        <w:spacing w:after="0" w:line="282" w:lineRule="auto"/>
        <w:tabs>
          <w:tab w:leader="none" w:pos="73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take no action that will impose any obligations on the Company or the other Underwriters, except as specifically contemplated by this Agreement; and</w:t>
      </w:r>
    </w:p>
    <w:p>
      <w:pPr>
        <w:spacing w:after="0" w:line="53" w:lineRule="exact"/>
        <w:rPr>
          <w:rFonts w:ascii="Times New Roman" w:cs="Times New Roman" w:eastAsia="Times New Roman" w:hAnsi="Times New Roman"/>
          <w:sz w:val="18"/>
          <w:szCs w:val="18"/>
          <w:color w:val="auto"/>
        </w:rPr>
      </w:pPr>
    </w:p>
    <w:p>
      <w:pPr>
        <w:ind w:left="4" w:right="20" w:firstLine="419"/>
        <w:spacing w:after="0" w:line="261" w:lineRule="auto"/>
        <w:tabs>
          <w:tab w:leader="none" w:pos="68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Company’s consent, the Underwriters are not authorized to give any information or to make any representation not contained in the Preliminary Prospectus, the Disclosure Package or the Prospectus or any documents specifically referred to therein or in any free writing prospectus which (A) is a Permitted Free Writing Prospectus or (B) consists of the electronic roadshow slides and accompanying audio recording, in connection with the offer and sale of the Securities.</w:t>
      </w:r>
    </w:p>
    <w:p>
      <w:pPr>
        <w:spacing w:after="0" w:line="112"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64"/>
          </w:cols>
          <w:pgMar w:left="876" w:top="270" w:right="45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VIII.</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represents and warrants to each of the several Underwriters that:</w:t>
      </w:r>
    </w:p>
    <w:p>
      <w:pPr>
        <w:spacing w:after="0" w:line="117" w:lineRule="exact"/>
        <w:rPr>
          <w:sz w:val="20"/>
          <w:szCs w:val="20"/>
          <w:color w:val="auto"/>
        </w:rPr>
      </w:pPr>
    </w:p>
    <w:p>
      <w:pPr>
        <w:ind w:right="20" w:firstLine="436"/>
        <w:spacing w:after="0" w:line="266" w:lineRule="auto"/>
        <w:tabs>
          <w:tab w:leader="none" w:pos="68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 of the Registration Statement, when such part became effective, did not contain, and each part, as amended or supplemented, will not contain any untrue statement of a material fact or omit to state a material fact required to be stated therein or necessary to make the statements therein not misleading.</w:t>
      </w:r>
    </w:p>
    <w:p>
      <w:pPr>
        <w:spacing w:after="0" w:line="175" w:lineRule="exact"/>
        <w:rPr>
          <w:rFonts w:ascii="Times New Roman" w:cs="Times New Roman" w:eastAsia="Times New Roman" w:hAnsi="Times New Roman"/>
          <w:sz w:val="18"/>
          <w:szCs w:val="18"/>
          <w:color w:val="auto"/>
        </w:rPr>
      </w:pPr>
    </w:p>
    <w:p>
      <w:pPr>
        <w:ind w:right="620" w:firstLine="436"/>
        <w:spacing w:after="0" w:line="282" w:lineRule="auto"/>
        <w:tabs>
          <w:tab w:leader="none" w:pos="6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as of the date hereof does not contain any untrue statement of a material fact or omit to state a material fact required to be stated therein or necessary to make the statements therein not misleading.</w:t>
      </w:r>
    </w:p>
    <w:p>
      <w:pPr>
        <w:spacing w:after="0" w:line="161" w:lineRule="exact"/>
        <w:rPr>
          <w:rFonts w:ascii="Times New Roman" w:cs="Times New Roman" w:eastAsia="Times New Roman" w:hAnsi="Times New Roman"/>
          <w:sz w:val="18"/>
          <w:szCs w:val="18"/>
          <w:color w:val="auto"/>
        </w:rPr>
      </w:pPr>
    </w:p>
    <w:p>
      <w:pPr>
        <w:ind w:right="140" w:firstLine="436"/>
        <w:spacing w:after="0" w:line="266" w:lineRule="auto"/>
        <w:tabs>
          <w:tab w:leader="none" w:pos="68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Preliminary Prospectus does not contain and the Prospectus, in the form used by the Underwriters to confirm sales and on the Closing Date, will not contain any untrue statement of a material fact or omit to state a material fact necessary to make the statements therein, in the light of the circumstances under which they were made, not misleading.</w:t>
      </w:r>
    </w:p>
    <w:p>
      <w:pPr>
        <w:spacing w:after="0" w:line="175" w:lineRule="exact"/>
        <w:rPr>
          <w:rFonts w:ascii="Times New Roman" w:cs="Times New Roman" w:eastAsia="Times New Roman" w:hAnsi="Times New Roman"/>
          <w:sz w:val="18"/>
          <w:szCs w:val="18"/>
          <w:color w:val="auto"/>
        </w:rPr>
      </w:pPr>
    </w:p>
    <w:p>
      <w:pPr>
        <w:ind w:right="80" w:firstLine="436"/>
        <w:spacing w:after="0" w:line="261" w:lineRule="auto"/>
        <w:tabs>
          <w:tab w:leader="none" w:pos="6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Initial Sale Time, the Disclosure Package did not, and at the time of each sale of the Securities in connection with the offering when the Prospectus is not yet available to prospective purchasers and at the Closing Date, the Disclosure Package, as then amended or supplemented by the Company, if applicable, will not, contain any untrue statement of a material fact or omit to state a material fact required to be stated therein or necessary to make the statements therein, in the light of the circumstances under which they were made, not misleading.</w:t>
      </w:r>
    </w:p>
    <w:p>
      <w:pPr>
        <w:spacing w:after="0" w:line="179" w:lineRule="exact"/>
        <w:rPr>
          <w:rFonts w:ascii="Times New Roman" w:cs="Times New Roman" w:eastAsia="Times New Roman" w:hAnsi="Times New Roman"/>
          <w:sz w:val="18"/>
          <w:szCs w:val="18"/>
          <w:color w:val="auto"/>
        </w:rPr>
      </w:pPr>
    </w:p>
    <w:p>
      <w:pPr>
        <w:jc w:val="both"/>
        <w:ind w:right="200" w:firstLine="436"/>
        <w:spacing w:after="0" w:line="266" w:lineRule="auto"/>
        <w:tabs>
          <w:tab w:leader="none" w:pos="68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Permitted Free Writing Prospectus, if any when considered together with the Disclosure Package, and any Additional Written Offering Communication (as defined below), when taken together with the Disclosure Package, does not contain any untrue statement of a material fact or omit to state a material fact necessary to make the statements therein, in the light of the circumstances under which they were made, not misleading.</w:t>
      </w:r>
    </w:p>
    <w:p>
      <w:pPr>
        <w:spacing w:after="0" w:line="175" w:lineRule="exact"/>
        <w:rPr>
          <w:rFonts w:ascii="Times New Roman" w:cs="Times New Roman" w:eastAsia="Times New Roman" w:hAnsi="Times New Roman"/>
          <w:sz w:val="18"/>
          <w:szCs w:val="18"/>
          <w:color w:val="auto"/>
        </w:rPr>
      </w:pPr>
    </w:p>
    <w:p>
      <w:pPr>
        <w:ind w:right="40" w:firstLine="436"/>
        <w:spacing w:after="0" w:line="261" w:lineRule="auto"/>
        <w:tabs>
          <w:tab w:leader="none" w:pos="66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Issuer Free Writing Prospectus (as defined in Rule 433 under the Securities Act), as supplemented and amended by and taken together with the Disclosure Package, conflicts in any material respect with the information contained in the Registration Statement and the Prospectus. Each Issuer Free Writing Prospectus that the Company has filed, or is required to file, pursuant to Rule 433(d) under the Securities Act or that was prepared by or on behalf of or used or referred to by the Company complies or will comply in all material respects with the Securities Act.</w:t>
      </w:r>
    </w:p>
    <w:p>
      <w:pPr>
        <w:spacing w:after="0" w:line="179" w:lineRule="exact"/>
        <w:rPr>
          <w:rFonts w:ascii="Times New Roman" w:cs="Times New Roman" w:eastAsia="Times New Roman" w:hAnsi="Times New Roman"/>
          <w:sz w:val="18"/>
          <w:szCs w:val="18"/>
          <w:color w:val="auto"/>
        </w:rPr>
      </w:pPr>
    </w:p>
    <w:p>
      <w:pPr>
        <w:ind w:firstLine="436"/>
        <w:spacing w:after="0" w:line="266" w:lineRule="auto"/>
        <w:tabs>
          <w:tab w:leader="none" w:pos="6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applicable effective date of the Registration Statement and any amendment thereto, the Registration Statement complied and as of the Closing Date will comply in all material respects with the Securities Act and the Trust Indenture Act of 1939, as amended, and the rules and regulations of the Commission thereunder (collectively, the “</w:t>
      </w:r>
      <w:r>
        <w:rPr>
          <w:rFonts w:ascii="Times New Roman" w:cs="Times New Roman" w:eastAsia="Times New Roman" w:hAnsi="Times New Roman"/>
          <w:sz w:val="18"/>
          <w:szCs w:val="18"/>
          <w:b w:val="1"/>
          <w:bCs w:val="1"/>
          <w:color w:val="auto"/>
        </w:rPr>
        <w:t>Trust Indenture Act</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0"/>
          </w:cols>
          <w:pgMar w:left="440" w:top="270" w:right="439" w:bottom="1440" w:gutter="0" w:footer="0" w:header="0"/>
        </w:sectPr>
      </w:pPr>
    </w:p>
    <w:bookmarkStart w:id="14" w:name="page15"/>
    <w:bookmarkEnd w:id="14"/>
    <w:p>
      <w:pPr>
        <w:ind w:right="40" w:firstLine="436"/>
        <w:spacing w:after="0" w:line="266" w:lineRule="auto"/>
        <w:tabs>
          <w:tab w:leader="none" w:pos="6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document, if any, filed or to be filed pursuant to the Exchange Act and incorporated by reference in the Registration Statement, the Disclosure Package or the Prospectus complied or will comply when so filed in all material respects with the Exchange Act and the applicable rules and regulations of the Commission thereunder.</w:t>
      </w:r>
    </w:p>
    <w:p>
      <w:pPr>
        <w:spacing w:after="0" w:line="175" w:lineRule="exact"/>
        <w:rPr>
          <w:rFonts w:ascii="Times New Roman" w:cs="Times New Roman" w:eastAsia="Times New Roman" w:hAnsi="Times New Roman"/>
          <w:sz w:val="18"/>
          <w:szCs w:val="18"/>
          <w:color w:val="auto"/>
        </w:rPr>
      </w:pPr>
    </w:p>
    <w:p>
      <w:pPr>
        <w:ind w:firstLine="436"/>
        <w:spacing w:after="0" w:line="25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(i) any document not constituting a prospectus pursuant to Section 2(a)(10)(a) of the Securities Act or Rule 134 under the Securities Act, (ii) the Preliminary Prospectus, (iii) the Prospectus, (iv) the Permitted Free Writing Prospectuses identified in Schedule II hereto and (v) the electronic road show slides and accompanying audio recording, if any, furnished to you before first use (any such slides or audio recording, “</w:t>
      </w:r>
      <w:r>
        <w:rPr>
          <w:rFonts w:ascii="Times New Roman" w:cs="Times New Roman" w:eastAsia="Times New Roman" w:hAnsi="Times New Roman"/>
          <w:sz w:val="18"/>
          <w:szCs w:val="18"/>
          <w:b w:val="1"/>
          <w:bCs w:val="1"/>
          <w:color w:val="auto"/>
        </w:rPr>
        <w:t>Additional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Written Offering Communication</w:t>
      </w:r>
      <w:r>
        <w:rPr>
          <w:rFonts w:ascii="Times New Roman" w:cs="Times New Roman" w:eastAsia="Times New Roman" w:hAnsi="Times New Roman"/>
          <w:sz w:val="18"/>
          <w:szCs w:val="18"/>
          <w:color w:val="auto"/>
        </w:rPr>
        <w:t>”), the Company has not prepared, used or referred to, and will not, without your prior consent, prepare, use or refer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any “written communication” (as defined in Rule 405 under the Securities Act) that constitutes an offer to sell or solicitation of an offer to buy the Securities.</w:t>
      </w:r>
    </w:p>
    <w:p>
      <w:pPr>
        <w:spacing w:after="0" w:line="187"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Notwithstanding anything to the contrary in this Agreement, the representations and warranties set forth in the foregoing clauses (a)-(h) shall not apply to statements in or omissions from the Registration Statement, the Disclosure Package, the Prospectus or any Permitted Free Writing Prospectus (or any amendment or supplement to any of the foregoing) (i) made in reliance upon and in conformity with information furnished to the Company in writing by any Underwriter expressly for use therein, or (ii) any information contained in any free writing prospectus prepared by any Underwriter(s), except to the extent such information has been accurately extracted from the Registration Statement, the Disclosure Package or the Prospectus or any Permitted Free Writing Prospectus prepared by the Company, or otherwise provided in writing by the Company and included in such free writing prospectus prepared by or on behalf of any Underwriter(s).</w:t>
      </w:r>
    </w:p>
    <w:p>
      <w:pPr>
        <w:spacing w:after="0" w:line="189" w:lineRule="exact"/>
        <w:rPr>
          <w:sz w:val="20"/>
          <w:szCs w:val="20"/>
          <w:color w:val="auto"/>
        </w:rPr>
      </w:pPr>
    </w:p>
    <w:p>
      <w:pPr>
        <w:ind w:right="20" w:firstLine="436"/>
        <w:spacing w:after="0" w:line="255"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(including the related notes thereto) of the Company and its consolidated subsidiaries included or incorporated by reference in the Registration Statement, the Disclosure Package or the Prospectus comply in all material respects with the applicable requirements of the Securities Act and present fairly in all material respects the financial position of the Company and its consolidated subsidiaries as of the dates indicated and the results of their operations and the changes in their cash flows for the periods specified; such financial statements have been prepared in conformity with generally accepted accounting principles in the United States applied on a consistent basis throughout the periods covered thereby, except as may be expressly stated therein; and any supporting schedules included or incorporated by reference in the Registration Statement, the Disclosure Package or the Prospectus present fairly in all material respects the information required to be stated therein.</w:t>
      </w:r>
    </w:p>
    <w:p>
      <w:pPr>
        <w:spacing w:after="0" w:line="188" w:lineRule="exact"/>
        <w:rPr>
          <w:rFonts w:ascii="Times New Roman" w:cs="Times New Roman" w:eastAsia="Times New Roman" w:hAnsi="Times New Roman"/>
          <w:sz w:val="18"/>
          <w:szCs w:val="18"/>
          <w:color w:val="auto"/>
        </w:rPr>
      </w:pPr>
    </w:p>
    <w:p>
      <w:pPr>
        <w:ind w:right="180" w:firstLine="436"/>
        <w:spacing w:after="0" w:line="261" w:lineRule="auto"/>
        <w:tabs>
          <w:tab w:leader="none" w:pos="6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each case as otherwise disclosed or incorporated by reference in the Registration Statement, the Disclosure Package or the Prospectus, since the date of the most recent financial statements of the Company included or incorporated by reference in the Registration Statement, the Disclosure Package or the Prospectus, (i) there has not been any material change in the capital stock of the Company (other than the exercise of warrants described in the Registration Statement, the Disclosure Package or the Prospectus or the grant</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70"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and/or exercise of options or other equity-based awards under existing equity incentive plans described in the Registration Statement, the Disclosure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Package or the Prospectus), or long-term debt of the Company or any of the subsidiaries of the Company listed on Schedule III hereto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Subsidiaries</w:t>
      </w:r>
      <w:r>
        <w:rPr>
          <w:rFonts w:ascii="Times New Roman" w:cs="Times New Roman" w:eastAsia="Times New Roman" w:hAnsi="Times New Roman"/>
          <w:sz w:val="18"/>
          <w:szCs w:val="18"/>
          <w:color w:val="auto"/>
        </w:rPr>
        <w:t>”), or any dividend or distribution of any kind declared, set aside for payment, paid or made by the Company on any class of capital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than regular quarterly dividends on the Company’s common stock), or any material adverse change in or affecting the business, properties,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financial position or results of operations of the Company and its subsidiaries, taken as a whole; (ii) neither the Company nor any of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has entered into any transaction or agreement (whether or not in the ordinary course of business) that is material to the Company and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taken as a whole, or incurred any liability or obligation, direct or contingent, that is material to the Company and its subsidiaries, taken as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whole; and (iii) neither the Company nor any of its Subsidiaries has sustained any loss or interference with its business from fire, explosion, flood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calamity, whether or not covered by insurance, or from any labor disturbance or dispute or any action, order or decree of any court or arbitrator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governmental or regulatory authority, except as would not have a material adverse effect on the Company and its subsidiaries, taken as a whole.</w:t>
      </w:r>
    </w:p>
    <w:p>
      <w:pPr>
        <w:spacing w:after="0" w:line="207" w:lineRule="exact"/>
        <w:rPr>
          <w:sz w:val="20"/>
          <w:szCs w:val="20"/>
          <w:color w:val="auto"/>
        </w:rPr>
      </w:pPr>
    </w:p>
    <w:p>
      <w:pPr>
        <w:ind w:firstLine="436"/>
        <w:spacing w:after="0" w:line="272" w:lineRule="auto"/>
        <w:tabs>
          <w:tab w:leader="none" w:pos="65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pending or, to the knowledge of the Company, threatened legal or governmental proceedings to which the Company or any of its Subsidiaries is a party or to which any of the properties of the Company or any of its Subsidiaries is subject and that are required by the Securities Act to be disclosed in the Registration Statement, the Disclosure Package or the Prospectus have been accurately described or incorporated by reference therein in all material respects. There are no material regulations, contracts or other documents that are required to be described in the Registration Statement, the Disclosure Package or the Prospectus or to be filed as exhibits to the Company’s reports incorporated by reference therein filed by the Company with the Commission pursuant to the Exchange Act that are not described or incorporated by reference or filed as required. No litigation or proceeding is pending, or, to the knowledge of the Company, threatened to restrain or enjoin the power or ability of the Company to perform its obligations under this Agreement, the Indenture or the Securities or to consummate the transactions contemplated by the Disclosure Package or the Prospectus.</w:t>
      </w:r>
    </w:p>
    <w:p>
      <w:pPr>
        <w:spacing w:after="0" w:line="171" w:lineRule="exact"/>
        <w:rPr>
          <w:rFonts w:ascii="Times New Roman" w:cs="Times New Roman" w:eastAsia="Times New Roman" w:hAnsi="Times New Roman"/>
          <w:sz w:val="17"/>
          <w:szCs w:val="17"/>
          <w:color w:val="auto"/>
        </w:rPr>
      </w:pPr>
    </w:p>
    <w:p>
      <w:pPr>
        <w:ind w:firstLine="436"/>
        <w:spacing w:after="0" w:line="255" w:lineRule="auto"/>
        <w:tabs>
          <w:tab w:leader="none" w:pos="74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filed the Registration Statement with the Commission, and such Registration Statement has become effective under the Securities Act. The Registration Statement is an automatic shelf registration statement as defined in Rule 405 under the Securities Act, the Company is a well-known seasoned issuer (as defined in Rule 405 under the Securities Act) eligible to use the Registration Statement as an automatic shelf registration statement and the Company has not received notice that the Commission objects to the use of the Registration Statement as an automatic shelf registration statement. The Company is not an “ineligible issuer,” as defined under the Securities Act, at the times specified in the Securities Act in connection with the offering of the Securities. No stop order suspending the effectiveness of the Registration Statement in the United States is in effect, and no proceedings for such purpose are pending before, or, to the knowledge of the Company, threatened by, the Commission.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16" w:name="page17"/>
    <w:bookmarkEnd w:id="16"/>
    <w:p>
      <w:pPr>
        <w:ind w:left="4" w:firstLine="436"/>
        <w:spacing w:after="0" w:line="254" w:lineRule="auto"/>
        <w:tabs>
          <w:tab w:leader="none" w:pos="69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Neither the Company nor any of its Subsidiaries is (i) in violation of its charter or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properties or assets of the Company or any of its Subsidiaries are subject; or (iii) in violation of any law or statute or any judgment, order, rule or regulation of any court or arbitrator or governmental or regulatory authority, except, in the case of clauses (ii) and (iii) above, for any such default or violation that would not, individually or in the aggregate, have a material adverse effect on the Company and its subsidiaries, taken as a whole, or on the power or ability of the Company to perform its obligations under this Agreement or to consummate the transactions contemplated by the Disclosure Package or the Prospectus.</w:t>
      </w:r>
    </w:p>
    <w:p>
      <w:pPr>
        <w:spacing w:after="0" w:line="191" w:lineRule="exact"/>
        <w:rPr>
          <w:rFonts w:ascii="Times New Roman" w:cs="Times New Roman" w:eastAsia="Times New Roman" w:hAnsi="Times New Roman"/>
          <w:sz w:val="18"/>
          <w:szCs w:val="18"/>
          <w:color w:val="auto"/>
        </w:rPr>
      </w:pPr>
    </w:p>
    <w:p>
      <w:pPr>
        <w:ind w:left="4" w:right="60" w:firstLine="436"/>
        <w:spacing w:after="0" w:line="258" w:lineRule="auto"/>
        <w:tabs>
          <w:tab w:leader="none" w:pos="69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the Company of, and the performance by the Company of its obligations under, each of this Agreement, the Indenture and the Securities, do not and will not contravene or violate (i) any provision of applicable law, (ii) the certificate of incorporation or by-laws of the Company, (iii) any indenture, mortgage or other agreement or instrument binding upon the Company or any of its Subsidiaries that is material to the Company and its subsidiaries, taken as a whole, or (iv) any judgment, order or decree of any governmental body, agency or court having jurisdiction over the Company or any Subsidiary.</w:t>
      </w:r>
    </w:p>
    <w:p>
      <w:pPr>
        <w:spacing w:after="0" w:line="183" w:lineRule="exact"/>
        <w:rPr>
          <w:rFonts w:ascii="Times New Roman" w:cs="Times New Roman" w:eastAsia="Times New Roman" w:hAnsi="Times New Roman"/>
          <w:sz w:val="18"/>
          <w:szCs w:val="18"/>
          <w:color w:val="auto"/>
        </w:rPr>
      </w:pPr>
    </w:p>
    <w:p>
      <w:pPr>
        <w:ind w:left="4" w:right="60" w:firstLine="436"/>
        <w:spacing w:after="0" w:line="270" w:lineRule="auto"/>
        <w:tabs>
          <w:tab w:leader="none" w:pos="699"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material authorization, consent or approval of, or registration or filing with, any governmental or public body or regulatory authority in the United States is required on the part of the Company for the sale of the Securities in accordance with this Agreement or the performance by the Company of its obligations under this Agreement, the Indenture and the Securities, other than (i) the registration of the Securities under the Securities Act, (ii) the qualification of the Indenture under the Trust Indenture Act, (iii) compliance with the securities or “Blue Sky” laws of various jurisdictions,</w:t>
      </w:r>
    </w:p>
    <w:p>
      <w:pPr>
        <w:spacing w:after="0" w:line="2" w:lineRule="exact"/>
        <w:rPr>
          <w:rFonts w:ascii="Times New Roman" w:cs="Times New Roman" w:eastAsia="Times New Roman" w:hAnsi="Times New Roman"/>
          <w:sz w:val="17"/>
          <w:szCs w:val="17"/>
          <w:color w:val="auto"/>
        </w:rPr>
      </w:pPr>
    </w:p>
    <w:p>
      <w:pPr>
        <w:ind w:left="4" w:right="400" w:hanging="4"/>
        <w:spacing w:after="0" w:line="260" w:lineRule="auto"/>
        <w:tabs>
          <w:tab w:leader="none" w:pos="30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required by the rules and regulations of the Financial Industry Regulatory Authority, Inc. (“</w:t>
      </w:r>
      <w:r>
        <w:rPr>
          <w:rFonts w:ascii="Times New Roman" w:cs="Times New Roman" w:eastAsia="Times New Roman" w:hAnsi="Times New Roman"/>
          <w:sz w:val="18"/>
          <w:szCs w:val="18"/>
          <w:b w:val="1"/>
          <w:bCs w:val="1"/>
          <w:color w:val="auto"/>
        </w:rPr>
        <w:t>FINRA</w:t>
      </w:r>
      <w:r>
        <w:rPr>
          <w:rFonts w:ascii="Times New Roman" w:cs="Times New Roman" w:eastAsia="Times New Roman" w:hAnsi="Times New Roman"/>
          <w:sz w:val="18"/>
          <w:szCs w:val="18"/>
          <w:color w:val="auto"/>
        </w:rPr>
        <w:t>”), or (v) those that have already been obtained.</w:t>
      </w:r>
    </w:p>
    <w:p>
      <w:pPr>
        <w:spacing w:after="0" w:line="181" w:lineRule="exact"/>
        <w:rPr>
          <w:rFonts w:ascii="Times New Roman" w:cs="Times New Roman" w:eastAsia="Times New Roman" w:hAnsi="Times New Roman"/>
          <w:sz w:val="18"/>
          <w:szCs w:val="18"/>
          <w:color w:val="auto"/>
        </w:rPr>
      </w:pPr>
    </w:p>
    <w:p>
      <w:pPr>
        <w:ind w:left="4" w:firstLine="436"/>
        <w:spacing w:after="0" w:line="258" w:lineRule="auto"/>
        <w:tabs>
          <w:tab w:leader="none" w:pos="69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been duly incorporated, is validly existing as a corporation in good standing under the laws of the State of Delaware, has the corporate power and authority to own its property and to conduct its business as described in the Disclosure Package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Company and its subsidiaries, taken as a whole.</w:t>
      </w:r>
    </w:p>
    <w:p>
      <w:pPr>
        <w:spacing w:after="0" w:line="183" w:lineRule="exact"/>
        <w:rPr>
          <w:rFonts w:ascii="Times New Roman" w:cs="Times New Roman" w:eastAsia="Times New Roman" w:hAnsi="Times New Roman"/>
          <w:sz w:val="18"/>
          <w:szCs w:val="18"/>
          <w:color w:val="auto"/>
        </w:rPr>
      </w:pPr>
    </w:p>
    <w:p>
      <w:pPr>
        <w:ind w:left="4" w:right="40" w:firstLine="436"/>
        <w:spacing w:after="0" w:line="258" w:lineRule="auto"/>
        <w:tabs>
          <w:tab w:leader="none" w:pos="66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full power and authority to execute and deliver each of this Agreement, the Indenture and the Securities and to perform its obligations under each of this Agreement, the Indenture and the Securities; and all action required to be taken for the due and proper authorization, execution and delivery of each of this Agreement, the Indenture and the Securities (and the consummation of the transactions contemplated thereby) has been duly and validly taken (other than, in the case of the Eighth Supplemental Indenture and the Securities, the actual execution and delivery of such documents).</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4"/>
          </w:cols>
          <w:pgMar w:left="436" w:top="270" w:right="459" w:bottom="1440" w:gutter="0" w:footer="0" w:header="0"/>
        </w:sectPr>
      </w:pPr>
    </w:p>
    <w:bookmarkStart w:id="17" w:name="page18"/>
    <w:bookmarkEnd w:id="17"/>
    <w:p>
      <w:pPr>
        <w:ind w:left="-20" w:right="180" w:firstLine="436"/>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authorized and outstanding capitalization of the Company conforms in all material respects to the description thereof set forth in each of the Registration Statement, the Disclosure Package and the Prospectus.</w:t>
      </w:r>
    </w:p>
    <w:p>
      <w:pPr>
        <w:spacing w:after="0" w:line="161" w:lineRule="exact"/>
        <w:rPr>
          <w:rFonts w:ascii="Times New Roman" w:cs="Times New Roman" w:eastAsia="Times New Roman" w:hAnsi="Times New Roman"/>
          <w:sz w:val="18"/>
          <w:szCs w:val="18"/>
          <w:color w:val="auto"/>
        </w:rPr>
      </w:pPr>
    </w:p>
    <w:p>
      <w:pPr>
        <w:ind w:left="-20" w:firstLine="436"/>
        <w:spacing w:after="0" w:line="258"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outstanding shares of capital stock or other equity interests of each Subsidiary owned, directly or indirectly, by the Company have been duly and validly authorized and issued, are fully paid and non-assessable (except, in the case of any foreign subsidiary, for directors’ qualifying shares and except as otherwise described in the Registration Statement, the Disclosure Package and the Prospectus) and are so owned free and clear of any lien, charge, encumbrance or security interest, except for such liens, charges, encumbrances or security interests that would not have a material adverse effect on the Company and its subsidiaries, taken as a whole.</w:t>
      </w:r>
    </w:p>
    <w:p>
      <w:pPr>
        <w:spacing w:after="0" w:line="183" w:lineRule="exact"/>
        <w:rPr>
          <w:rFonts w:ascii="Times New Roman" w:cs="Times New Roman" w:eastAsia="Times New Roman" w:hAnsi="Times New Roman"/>
          <w:sz w:val="18"/>
          <w:szCs w:val="18"/>
          <w:color w:val="auto"/>
        </w:rPr>
      </w:pPr>
    </w:p>
    <w:p>
      <w:pPr>
        <w:ind w:left="-20" w:right="40" w:firstLine="436"/>
        <w:spacing w:after="0" w:line="281" w:lineRule="auto"/>
        <w:tabs>
          <w:tab w:leader="none" w:pos="67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Securities have been duly authorized and, when executed, authenticated and issued in accordance with the provisions of the Indenture and delivered to and paid for by the Underwriters in accordance with the terms of this Agreement, will be valid and binding obligations of the Company, enforceable in accordance with their terms, subject to applicable bankruptcy, insolvency and similar laws affecting creditors’ rights generally and equitable principles of general applicability, and will be entitled to the benefits of the Indenture pursuant to which such Securities are to be issued.</w:t>
      </w:r>
    </w:p>
    <w:p>
      <w:pPr>
        <w:spacing w:after="0" w:line="164" w:lineRule="exact"/>
        <w:rPr>
          <w:rFonts w:ascii="Times New Roman" w:cs="Times New Roman" w:eastAsia="Times New Roman" w:hAnsi="Times New Roman"/>
          <w:sz w:val="17"/>
          <w:szCs w:val="17"/>
          <w:color w:val="auto"/>
        </w:rPr>
      </w:pPr>
    </w:p>
    <w:p>
      <w:pPr>
        <w:ind w:left="680" w:hanging="264"/>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20" w:right="20" w:firstLine="436"/>
        <w:spacing w:after="0" w:line="256" w:lineRule="auto"/>
        <w:tabs>
          <w:tab w:leader="none" w:pos="7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Indenture has been duly authorized by the Company, (ii) upon effectiveness of the Registration Statement, the Indenture was duly qualified under the Trust Indenture Act, (iii) the Base Indenture is a valid and binding agreement of the Company, enforceable in accordance with its terms, subject to applicable bankruptcy, insolvency and similar laws affecting creditors’ rights generally and equitable principles of general applicability and (iv) the Eighth Supplemental Indenture will be, when executed and delivered by the Company and each other party thereto, a valid and binding agreement of the Company, enforceable in accordance with its terms, subject to applicable bankruptcy, insolvency and similar laws affecting creditors’ rights generally and equitable principles of general applicability.</w:t>
      </w:r>
    </w:p>
    <w:p>
      <w:pPr>
        <w:spacing w:after="0" w:line="187" w:lineRule="exact"/>
        <w:rPr>
          <w:rFonts w:ascii="Times New Roman" w:cs="Times New Roman" w:eastAsia="Times New Roman" w:hAnsi="Times New Roman"/>
          <w:sz w:val="18"/>
          <w:szCs w:val="18"/>
          <w:color w:val="auto"/>
        </w:rPr>
      </w:pPr>
    </w:p>
    <w:p>
      <w:pPr>
        <w:ind w:left="-20" w:right="100" w:firstLine="436"/>
        <w:spacing w:after="0" w:line="266" w:lineRule="auto"/>
        <w:tabs>
          <w:tab w:leader="none" w:pos="6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the Registration Statement, the Disclosure Package and the Prospectus, no person has the right to require the Company or any of its Subsidiaries to register any securities for sale under the Securities Act by reason of the issuance and sale of the Securities and the public offering thereof upon the terms and conditions set forth in this Agreement and the Disclosure Package and to be set forth in the Prospectus.</w:t>
      </w:r>
    </w:p>
    <w:p>
      <w:pPr>
        <w:spacing w:after="0" w:line="175" w:lineRule="exact"/>
        <w:rPr>
          <w:rFonts w:ascii="Times New Roman" w:cs="Times New Roman" w:eastAsia="Times New Roman" w:hAnsi="Times New Roman"/>
          <w:sz w:val="18"/>
          <w:szCs w:val="18"/>
          <w:color w:val="auto"/>
        </w:rPr>
      </w:pPr>
    </w:p>
    <w:p>
      <w:pPr>
        <w:ind w:left="-20" w:right="280" w:firstLine="436"/>
        <w:spacing w:after="0" w:line="266" w:lineRule="auto"/>
        <w:tabs>
          <w:tab w:leader="none" w:pos="6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and will not, (i) used any free writing prospectus in connection with the offer or sale of the Securities other than a Permitted Free Writing Prospectus or (ii) used a Permitted Free Writing Prospectus except in compliance with Rule 433 under the Securities Act and otherwise in compliance with the Securities Act, in each case, without the prior consent of the Representatives.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60"/>
          </w:cols>
          <w:pgMar w:left="460" w:top="270" w:right="479" w:bottom="1440" w:gutter="0" w:footer="0" w:header="0"/>
        </w:sectPr>
      </w:pPr>
    </w:p>
    <w:bookmarkStart w:id="18" w:name="page19"/>
    <w:bookmarkEnd w:id="18"/>
    <w:p>
      <w:pPr>
        <w:ind w:right="160" w:firstLine="436"/>
        <w:spacing w:after="0" w:line="256" w:lineRule="auto"/>
        <w:tabs>
          <w:tab w:leader="none" w:pos="68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and its Subsidiaries own, license or otherwise possess, or can acquire on reasonable terms, adequate rights to use all material patents, patent rights, inventions, copyrights, trade secrets, trademarks, service marks and trade names currently employed by them in connection with the business now operated by them as described in the Registration Statement, the Disclosure Package and the Prospectus, except as such would not have a material adverse effect on the Company and its subsidiaries, taken as a whole; and neither the Company nor any of its Subsidiaries has received any notice of infringement of or conflict with asserted rights of others with respect to any of the foregoing, which, if determined adversely to the Company or its Subsidiaries, would have a material adverse effect on the Company and its subsidiaries, taken as a whole.</w:t>
      </w:r>
    </w:p>
    <w:p>
      <w:pPr>
        <w:spacing w:after="0" w:line="187" w:lineRule="exact"/>
        <w:rPr>
          <w:sz w:val="20"/>
          <w:szCs w:val="20"/>
          <w:color w:val="auto"/>
        </w:rPr>
      </w:pPr>
    </w:p>
    <w:p>
      <w:pPr>
        <w:ind w:right="500" w:firstLine="436"/>
        <w:spacing w:after="0" w:line="266" w:lineRule="auto"/>
        <w:tabs>
          <w:tab w:leader="none" w:pos="76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matters that are described in the Registration Statement, the Disclosure Package and the Prospectus or that would not have a material adverse effect on the Company and its subsidiaries, taken as a whole, no labor dispute with the employees of the Company or any of its Subsidiaries exists or, to the knowledge of the Company, is imminent.</w:t>
      </w:r>
    </w:p>
    <w:p>
      <w:pPr>
        <w:spacing w:after="0" w:line="175" w:lineRule="exact"/>
        <w:rPr>
          <w:rFonts w:ascii="Times New Roman" w:cs="Times New Roman" w:eastAsia="Times New Roman" w:hAnsi="Times New Roman"/>
          <w:sz w:val="18"/>
          <w:szCs w:val="18"/>
          <w:color w:val="auto"/>
        </w:rPr>
      </w:pPr>
    </w:p>
    <w:p>
      <w:pPr>
        <w:ind w:firstLine="436"/>
        <w:spacing w:after="0" w:line="252" w:lineRule="auto"/>
        <w:tabs>
          <w:tab w:leader="none" w:pos="78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give rise to any material liabilities under Environmental Laws, the Company represents to the best of its knowledge and belief that, except for matters that are described in the Registration Statement and the Disclosure Package: (i) the Company and its Subsidiaries are in material compliance with all applicable federal, state, local and foreign laws, rules and regulations relating to pollution or the protection of the environment, natural resources or human health or safety, including those relating to the generation, storage, treatment, use, handling, transportation, or Release of Hazardous Materials (collectively, “</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(ii) the Company and its Subsidiaries are in material compliance with all permits, licenses, certificates or other authorizations or approvals required of them under applicable Environmental Laws to conduct their respective businesses, (iii) the Company and its Subsidiaries have not received notice of any liability under or relating to violation of, any Environmental Laws, including for the investigation or remediation of any Release of Hazardous Materials, (iv) there are no proceedings that are pending against the Company or any of its Subsidiaries under any Environmental Laws in which a governmental entity is also a party, other than such proceedings in which it is reasonably believed that no monetary sanctions in excess of $300,000 will be imposed, (v) the Company and its Subsidiaries are not aware of any facts or issues regarding compliance with Environmental Laws, or liabilities or other obligations under Environmental Laws, including the Release of Hazardous Materials, that could reasonably be expected to have a material effect on the capital expenditures, earnings or competitive position of the Company and its subsidiaries, taken as a whole, and (vi) none of the Company and its Subsidiaries anticipates material capital expenditures relating to any Environmental Laws. “</w:t>
      </w:r>
      <w:r>
        <w:rPr>
          <w:rFonts w:ascii="Times New Roman" w:cs="Times New Roman" w:eastAsia="Times New Roman" w:hAnsi="Times New Roman"/>
          <w:sz w:val="18"/>
          <w:szCs w:val="18"/>
          <w:b w:val="1"/>
          <w:bCs w:val="1"/>
          <w:color w:val="auto"/>
        </w:rPr>
        <w:t>Hazardous Materials</w:t>
      </w:r>
      <w:r>
        <w:rPr>
          <w:rFonts w:ascii="Times New Roman" w:cs="Times New Roman" w:eastAsia="Times New Roman" w:hAnsi="Times New Roman"/>
          <w:sz w:val="18"/>
          <w:szCs w:val="18"/>
          <w:color w:val="auto"/>
        </w:rPr>
        <w:t>” means any material, chemical, substance, waste, pollutant, contaminant, compound, mixture, or constituent thereof, in any form or amount, including petroleum (including crude oil or any fraction thereof) and petroleum products, natural gas liquids, asbestos and asbestos containing materials, naturally occurring radioactive materials, brine, and drilling mud, regulated or which can give rise to liability under any Environmental Law. “</w:t>
      </w:r>
      <w:r>
        <w:rPr>
          <w:rFonts w:ascii="Times New Roman" w:cs="Times New Roman" w:eastAsia="Times New Roman" w:hAnsi="Times New Roman"/>
          <w:sz w:val="18"/>
          <w:szCs w:val="18"/>
          <w:b w:val="1"/>
          <w:bCs w:val="1"/>
          <w:color w:val="auto"/>
        </w:rPr>
        <w:t>Release</w:t>
      </w:r>
      <w:r>
        <w:rPr>
          <w:rFonts w:ascii="Times New Roman" w:cs="Times New Roman" w:eastAsia="Times New Roman" w:hAnsi="Times New Roman"/>
          <w:sz w:val="18"/>
          <w:szCs w:val="18"/>
          <w:color w:val="auto"/>
        </w:rPr>
        <w:t>” means any spilling, leaking, seepage, pumping, pouring, emitting, emptying, discharging, injecting, escaping, leaching, dumping, disposing, depositing, dispersing, or migrating in, into or through the environment.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19" w:name="page20"/>
    <w:bookmarkEnd w:id="19"/>
    <w:p>
      <w:pPr>
        <w:ind w:left="-20" w:firstLine="436"/>
        <w:spacing w:after="0" w:line="252" w:lineRule="auto"/>
        <w:tabs>
          <w:tab w:leader="none" w:pos="74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disclosed in the Registration Statement, the Disclosure Package or the Prospectus or as would not have a material adverse effect on the Company and its subsidiaries, taken as a whole: (i) each employee benefit plan, within the meaning of Section 3(3) of the Employee Retirement Income Security Act of 1974, as amended (“</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which is subject to ERISA, for which the Company or any member of its “Controlled Group” (defined as any organization which is a member of a controlled group of corporations within the meaning of Section 414(b) or (c)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would have any liability (other than a “multiemployer plan” within the meaning of Section 3(37) of ERISA) (each, a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has been maintained in compliance with its terms and the requirements of any applicable statutes, orders, rules and regulations, including but not limited to ERISA and the Code; (ii) no prohibited transaction, within the meaning of Section 406 of ERISA or Section 4975 of the Code, has occurred with respect to any Plan, excluding transactions effected pursuant to a statutory or administrative exemption; (iii) for each Plan that is subject to the funding rules of Section 412 of the Code or Section 302 of ERISA, the minimum funding standard of Section 412 of the Code or Section 302 of ERISA, as applicable, has been satisfied (without taking into account any funding variance pursuant to Section 412(c) of the Code or Section 302(c) of ERISA) and is reasonably expected to be satisfied in the future (without taking into account any funding variance pursuant to Section 412(c) of the Code or Section 302(c) of ERISA); (iv) no “reportable event” (within the meaning of Section 4043(c) of ERISA) has occurred or is reasonably expected to occur with respect to a Plan covered by Title IV of ERISA; (v) neither the Company nor any member of the Controlled Group has incurred, nor reasonably expects to incur, any liability under Title IV of ERISA with respect to the termination of, or withdrawal from, a Plan (other than contributions to the Plan or premiums to the Pension Benefit Guaranty Corporation, in the ordinary course and without default) in respect of a Plan (including a “multiemployer plan,” within the meaning of Section 4001(a)(3) of ERISA); (vi) there is no pending audit or investigation by the Internal Revenue Service, the U.S. Department of Labor, the Pension Benefit Guaranty Corporation or any other governmental agency or any foreign regulatory agency with respect to any Plan that could reasonably be expected to result in material liability to the Company and its subsidiaries, taken as a whole; and (vii) there has not been and is not reasonably likely to be a material increase in the aggregate amount of contributions required to be made to all Plans by the Company and its subsidiaries in the current fiscal year of the Company and its subsidiaries compared to the amount of such contributions made in the Company and its subsidiaries’ most recently completed fiscal year.</w:t>
      </w:r>
    </w:p>
    <w:p>
      <w:pPr>
        <w:spacing w:after="0" w:line="187" w:lineRule="exact"/>
        <w:rPr>
          <w:rFonts w:ascii="Times New Roman" w:cs="Times New Roman" w:eastAsia="Times New Roman" w:hAnsi="Times New Roman"/>
          <w:sz w:val="18"/>
          <w:szCs w:val="18"/>
          <w:color w:val="auto"/>
        </w:rPr>
      </w:pPr>
    </w:p>
    <w:p>
      <w:pPr>
        <w:ind w:left="-20" w:right="140" w:firstLine="436"/>
        <w:spacing w:after="0" w:line="254" w:lineRule="auto"/>
        <w:tabs>
          <w:tab w:leader="none" w:pos="76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the Registration Statement, the Disclosure Package and the Prospectus: (i) the Company maintains a system of “disclosure controls and procedures” (as such term is defined in Rule 13a-15(e) of the Exchange Act) that complies in all material respects with the requirements of the Exchange Act and has been designed to provide reasonable assurance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and (ii) the Company has carried out an evaluation of the effectiveness of its disclosure controls and procedures as required by Rule 13a-15 of the Exchange Act. Except as disclosed in the Registration Statement, the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60"/>
          </w:cols>
          <w:pgMar w:left="460" w:top="270" w:right="479" w:bottom="1440" w:gutter="0" w:footer="0" w:header="0"/>
        </w:sectPr>
      </w:pPr>
    </w:p>
    <w:bookmarkStart w:id="20" w:name="page21"/>
    <w:bookmarkEnd w:id="20"/>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Disclosure Package and the Prospectus, the Company maintains a system of “internal control over financial reporting” (as defined in Rule 13a-15(f) of the Exchange Act) that complies in all material respects with the requirements of the Exchange Act and has been designed by, or under the supervision of, its principal executive and principal financial officers, or persons performing similar functions, to provide reasonable assurance regarding the reliability of financial reporting and the preparation of financial statements for external purposes in accordance with United States generally accepted accounting principles and include policies and procedures that: (A) pertain to the maintenance of records that, in reasonable detail, accurately and fairly reflect the transactions of and dispositions of the assets of the Company; (B) provide reasonable assurance that transactions are recorded as necessary to permit preparation of the consolidated financial statements of the Company and its subsidiaries in accordance with United States generally accepted accounting principles, and that the receipts and expenditures of the Company are being made only in accordance with authorizations of management and directors of the Company; and (C) provide reasonable assurance regarding the prevention or timely detection of unauthorized acquisition, use, or disposition of assets that could have a material effect on the consolidated financial statements of the Company and its subsidiaries. Except as disclosed in the Registration Statement, the Disclosure Package and the Prospectus, the Company is not aware of any material weaknesses in the Company’s internal control over financial reporting. The Company’s auditors and the Audit Committee of the Board of Directors of the Company have been advised of: (X) all significant deficiencies and material weaknesses in the design or operation of internal control over financial reporting that have materially adversely affected or are reasonably likely to materially adversely affect the Company’s ability to record, process, summarize and report financial information; and (Y) any fraud, whether or not material, that involves management or other employees who have a significant role in the Company’s internal control over financial reporting.</w:t>
      </w:r>
    </w:p>
    <w:p>
      <w:pPr>
        <w:spacing w:after="0" w:line="195" w:lineRule="exact"/>
        <w:rPr>
          <w:sz w:val="20"/>
          <w:szCs w:val="20"/>
          <w:color w:val="auto"/>
        </w:rPr>
      </w:pPr>
    </w:p>
    <w:p>
      <w:pPr>
        <w:ind w:right="260" w:firstLine="436"/>
        <w:spacing w:after="0" w:line="266" w:lineRule="auto"/>
        <w:tabs>
          <w:tab w:leader="none" w:pos="76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interactive data in eXtensible Business Reporting Language included or incorporated by reference in the Registration Statement, the Disclosure Package and the Prospectus fairly presents the information called for in all material respects and has been prepared in accordance with the Commission’s rules and guidelines applicable thereto.</w:t>
      </w:r>
    </w:p>
    <w:p>
      <w:pPr>
        <w:spacing w:after="0" w:line="175" w:lineRule="exact"/>
        <w:rPr>
          <w:rFonts w:ascii="Times New Roman" w:cs="Times New Roman" w:eastAsia="Times New Roman" w:hAnsi="Times New Roman"/>
          <w:sz w:val="18"/>
          <w:szCs w:val="18"/>
          <w:color w:val="auto"/>
        </w:rPr>
      </w:pPr>
    </w:p>
    <w:p>
      <w:pPr>
        <w:ind w:firstLine="436"/>
        <w:spacing w:after="0" w:line="254" w:lineRule="auto"/>
        <w:tabs>
          <w:tab w:leader="none" w:pos="72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matters that would not, either individually or collectively, materially adversely affect the Company’s results of operations and financial condition: (A) neither the Company nor any of its subsidiaries, nor to the Company’s knowledge, any director, officer, affiliate, agent, employee or representative acting on behalf of the Company or any of its subsidiaries, has violated any provision of the U.S. Foreign Corrupt Practices Act of 1977, as amended (the “</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and the rules and regulations thereunder, including, without limitation, by making use of the mails or any means or instrumentality of interstate commerce corruptly in furtherance of an offer, payment, promise to pay or authorization or approval of the payment or giving of any money, property, gifts or anything else of value to any “foreign official” (as such term is defined in the FCPA) or any foreign political party or party official or any candidate for foreign political office in contravention of the FCPA; and (B) the Company and its subsidiaries have conducted their businesses in compliance with the FCPA and have instituted and maintain policies and procedures reasonably designed to promote and achieve compliance therewith.</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21" w:name="page22"/>
    <w:bookmarkEnd w:id="21"/>
    <w:p>
      <w:pPr>
        <w:ind w:firstLine="436"/>
        <w:spacing w:after="0" w:line="255" w:lineRule="auto"/>
        <w:tabs>
          <w:tab w:leader="none" w:pos="78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operations of the Company and its subsidiaries are and have been conducted in compliance in all material respects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its subsidiaries conduct business,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b w:val="1"/>
          <w:bCs w:val="1"/>
          <w:color w:val="auto"/>
        </w:rPr>
        <w:t>Anti-Money Laundering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of its subsidiaries with respect to the Anti-Money Laundering Laws is pending or, to the knowledge of the Company, threatened.</w:t>
      </w:r>
    </w:p>
    <w:p>
      <w:pPr>
        <w:spacing w:after="0" w:line="188" w:lineRule="exact"/>
        <w:rPr>
          <w:rFonts w:ascii="Times New Roman" w:cs="Times New Roman" w:eastAsia="Times New Roman" w:hAnsi="Times New Roman"/>
          <w:sz w:val="18"/>
          <w:szCs w:val="18"/>
          <w:color w:val="auto"/>
        </w:rPr>
      </w:pPr>
    </w:p>
    <w:p>
      <w:pPr>
        <w:ind w:right="40" w:firstLine="436"/>
        <w:spacing w:after="0" w:line="254" w:lineRule="auto"/>
        <w:tabs>
          <w:tab w:leader="none" w:pos="78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any of its subsidiaries or, to the knowledge of the Company, any director, officer, agent, employee or affiliate of the Company or of any of its subsidiaries (i) is an individual or entity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that is, or is owned or controlled by a Person that is, the subject of any sanctions administered or enforced by the U.S. Department of Treasury’s Office of Foreign Assets Control, the U.S. Department of State or the Bureau of Industry and Security of the U.S. Department of Commerce, the United Nations Security Council, the European Union, a member state of the European Union (including sanctions administered or enforced by His Majesty’s Treasury of the United Kingdom) or other relevant sanctions authority (collectively,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or (ii) will, directly or indirectly, knowingly use the proceeds of this offering, or lend, contribute or otherwise make available such proceeds to any subsidiary, joint venture partner or other individual or entity in any manner that would result in a violation of any Sanctions by, or could result in the imposition of Sanctions against, any individual or entity (including any individual or entity participating in the offering, whether as underwriter, advisor, investor or otherwise).</w:t>
      </w:r>
    </w:p>
    <w:p>
      <w:pPr>
        <w:spacing w:after="0" w:line="188" w:lineRule="exact"/>
        <w:rPr>
          <w:rFonts w:ascii="Times New Roman" w:cs="Times New Roman" w:eastAsia="Times New Roman" w:hAnsi="Times New Roman"/>
          <w:sz w:val="18"/>
          <w:szCs w:val="18"/>
          <w:color w:val="auto"/>
        </w:rPr>
      </w:pPr>
    </w:p>
    <w:p>
      <w:pPr>
        <w:ind w:right="40" w:firstLine="436"/>
        <w:spacing w:after="0" w:line="261" w:lineRule="auto"/>
        <w:tabs>
          <w:tab w:leader="none" w:pos="70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disclosed in the Registration Statement, the Disclosure Package and the Prospectus, there is and has been no failure on the part of the Company or, to the knowledge of the Company, any of the Company’s directors or officers, in their capacities as such, to comply in all material respects with any applicable provision of the Sarbanes-Oxley Act of 2002 and the rules and regulations promulgated in connection therewith (the “</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including Section 402 related to loans and Sections 302 and 906 related to certifications.</w:t>
      </w:r>
    </w:p>
    <w:p>
      <w:pPr>
        <w:spacing w:after="0" w:line="179" w:lineRule="exact"/>
        <w:rPr>
          <w:rFonts w:ascii="Times New Roman" w:cs="Times New Roman" w:eastAsia="Times New Roman" w:hAnsi="Times New Roman"/>
          <w:sz w:val="18"/>
          <w:szCs w:val="18"/>
          <w:color w:val="auto"/>
        </w:rPr>
      </w:pPr>
    </w:p>
    <w:p>
      <w:pPr>
        <w:jc w:val="both"/>
        <w:ind w:right="20" w:firstLine="436"/>
        <w:spacing w:after="0" w:line="266" w:lineRule="auto"/>
        <w:tabs>
          <w:tab w:leader="none" w:pos="70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and after giving effect to the offering and sale of the Securities and the application of the proceeds thereof as described in the Prospectus will not be, required to register as an “investment company” as such term is defined in the Investment Company Act of 1940, as amended (the “</w:t>
      </w:r>
      <w:r>
        <w:rPr>
          <w:rFonts w:ascii="Times New Roman" w:cs="Times New Roman" w:eastAsia="Times New Roman" w:hAnsi="Times New Roman"/>
          <w:sz w:val="18"/>
          <w:szCs w:val="18"/>
          <w:b w:val="1"/>
          <w:bCs w:val="1"/>
          <w:color w:val="auto"/>
        </w:rPr>
        <w:t>Investment Company Act</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0"/>
          </w:cols>
          <w:pgMar w:left="440" w:top="270" w:right="439" w:bottom="1440" w:gutter="0" w:footer="0" w:header="0"/>
        </w:sectPr>
      </w:pPr>
    </w:p>
    <w:bookmarkStart w:id="22" w:name="page23"/>
    <w:bookmarkEnd w:id="22"/>
    <w:p>
      <w:pPr>
        <w:ind w:left="4" w:firstLine="436"/>
        <w:spacing w:after="0" w:line="252" w:lineRule="auto"/>
        <w:tabs>
          <w:tab w:leader="none" w:pos="78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To the knowledge of the Company, there has been no security breach, disclosure or outage of, or unauthorized access to, the Company’s or its subsidiaries’ information technology or computer systems, networks, hardware, software, websites or applications, personally identifiable or confidential data or databases thereof (including all personally identifiable or confidential data of their respective customers, employees, suppliers, and vendors, and any third party personally identifiable or confidential data, in each case that is maintained, processed or stored by the Company and its subsidiaries), equipment or technology (collectively, “</w:t>
      </w:r>
      <w:r>
        <w:rPr>
          <w:rFonts w:ascii="Times New Roman" w:cs="Times New Roman" w:eastAsia="Times New Roman" w:hAnsi="Times New Roman"/>
          <w:sz w:val="18"/>
          <w:szCs w:val="18"/>
          <w:b w:val="1"/>
          <w:bCs w:val="1"/>
          <w:color w:val="auto"/>
        </w:rPr>
        <w:t>IT Systems and Data</w:t>
      </w:r>
      <w:r>
        <w:rPr>
          <w:rFonts w:ascii="Times New Roman" w:cs="Times New Roman" w:eastAsia="Times New Roman" w:hAnsi="Times New Roman"/>
          <w:sz w:val="18"/>
          <w:szCs w:val="18"/>
          <w:color w:val="auto"/>
        </w:rPr>
        <w:t>”); (ii) neither the Company nor its subsidiaries have been notified of any security breach, disclosure or outage of, or unauthorized access to, their IT Systems and Data; and (iii) the Company and its subsidiaries have implemented reasonable controls, policies, procedures, and technological safeguards and backup and disaster recovery technology designed to maintain and protect the confidentiality, integrity, operation, redundancy and security of their IT Systems and Data that are reasonably consistent with generally accepted industry standards and practices, or as required by applicable regulatory standards, except with respect to clauses (i) and (ii), for any such security breach, disclosure, outage, or unauthorized access as would not, individually or in the aggregate, have a material adverse effect, or with respect to clause (iii), where the failure to do so would not, individually or in the aggregate, have a material adverse effect. The Company and its subsidiaries have complied, and are presently in compliance, in all material respects,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w:t>
      </w:r>
    </w:p>
    <w:p>
      <w:pPr>
        <w:spacing w:after="0" w:line="197" w:lineRule="exact"/>
        <w:rPr>
          <w:sz w:val="20"/>
          <w:szCs w:val="20"/>
          <w:color w:val="auto"/>
        </w:rPr>
      </w:pPr>
    </w:p>
    <w:p>
      <w:pPr>
        <w:ind w:left="4" w:right="120" w:firstLine="440"/>
        <w:spacing w:after="0" w:line="261" w:lineRule="auto"/>
        <w:rPr>
          <w:sz w:val="20"/>
          <w:szCs w:val="20"/>
          <w:color w:val="auto"/>
        </w:rPr>
      </w:pPr>
      <w:r>
        <w:rPr>
          <w:rFonts w:ascii="Times New Roman" w:cs="Times New Roman" w:eastAsia="Times New Roman" w:hAnsi="Times New Roman"/>
          <w:sz w:val="18"/>
          <w:szCs w:val="18"/>
          <w:color w:val="auto"/>
        </w:rPr>
        <w:t>The representations, warranties and covenants of the Company set forth in this Agreement shall survive the execution and delivery of this Agreement and the sale of the Securities by the Company. The Company acknowledges that the Underwriters and, for purposes of the opinions to be delivered to the Underwriters pursuant to Article V hereof, counsel for the Company and counsel for the Underwriters, will rely upon the accuracy and truth of the representations contained in this Agreement and hereby consents to such reliance.</w:t>
      </w:r>
    </w:p>
    <w:p>
      <w:pPr>
        <w:spacing w:after="0" w:line="39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IX.</w:t>
      </w:r>
    </w:p>
    <w:p>
      <w:pPr>
        <w:spacing w:after="0" w:line="225" w:lineRule="exact"/>
        <w:rPr>
          <w:sz w:val="20"/>
          <w:szCs w:val="20"/>
          <w:color w:val="auto"/>
        </w:rPr>
      </w:pPr>
    </w:p>
    <w:p>
      <w:pPr>
        <w:ind w:left="4" w:right="120" w:firstLine="440"/>
        <w:spacing w:after="0" w:line="253" w:lineRule="auto"/>
        <w:rPr>
          <w:sz w:val="20"/>
          <w:szCs w:val="20"/>
          <w:color w:val="auto"/>
        </w:rPr>
      </w:pPr>
      <w:r>
        <w:rPr>
          <w:rFonts w:ascii="Times New Roman" w:cs="Times New Roman" w:eastAsia="Times New Roman" w:hAnsi="Times New Roman"/>
          <w:sz w:val="18"/>
          <w:szCs w:val="18"/>
          <w:color w:val="auto"/>
        </w:rPr>
        <w:t>Except as provided in Article XVI, whether or not the transactions contemplated in this Agreement are consummated or this Agreement is terminated, the Company will be responsible for, and will pay or cause to be paid, all expenses incident to the performance of its obligations under this Agreement, including: (i) the fees, disbursements and expenses of the Company’s counsel, subject to Article XVI hereof, and the Company’s accountants in connection with the issuance and sale of the Securities under the Securities Act and all other fees or expenses of the Company in connection with the preparation and filing of the Registration Statement, the Preliminary Prospectus, the Disclosure Package, the Prospectus, any free writing prospectus prepared by or on behalf of, used by, or referred to by the Company and any amendments and supplements to any of the foregoing, including any filing fees payable to the Commission relating to the Securities (within the time required by Rule 456(b)(1), as applicable), all printing costs associated therewith, and the mailing and delivering of copies thereof to the Underwriters and dealers, in the quantities hereinabove specified,</w:t>
      </w:r>
    </w:p>
    <w:p>
      <w:pPr>
        <w:spacing w:after="0" w:line="1" w:lineRule="exact"/>
        <w:rPr>
          <w:sz w:val="20"/>
          <w:szCs w:val="20"/>
          <w:color w:val="auto"/>
        </w:rPr>
      </w:pPr>
    </w:p>
    <w:p>
      <w:pPr>
        <w:ind w:left="264" w:hanging="264"/>
        <w:spacing w:after="0"/>
        <w:tabs>
          <w:tab w:leader="none" w:pos="26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costs and expenses related to the transfer and delivery of the Securities to the Underwriters, including any transfer or other taxes payable thereon,</w:t>
      </w:r>
    </w:p>
    <w:p>
      <w:pPr>
        <w:spacing w:after="0" w:line="9" w:lineRule="exact"/>
        <w:rPr>
          <w:rFonts w:ascii="Times New Roman" w:cs="Times New Roman" w:eastAsia="Times New Roman" w:hAnsi="Times New Roman"/>
          <w:sz w:val="18"/>
          <w:szCs w:val="18"/>
          <w:color w:val="auto"/>
        </w:rPr>
      </w:pPr>
    </w:p>
    <w:p>
      <w:pPr>
        <w:ind w:left="4" w:right="120" w:hanging="4"/>
        <w:spacing w:after="0" w:line="260" w:lineRule="auto"/>
        <w:tabs>
          <w:tab w:leader="none" w:pos="31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 (iv) [RESERVED], (v) any fees charged by rating agencies for the rating of the Securities, (vi) the cost of the preparation, issuance and delivery of the</w:t>
      </w:r>
    </w:p>
    <w:p>
      <w:pPr>
        <w:spacing w:after="0" w:line="11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4"/>
          </w:cols>
          <w:pgMar w:left="436" w:top="270" w:right="479" w:bottom="1440" w:gutter="0" w:footer="0" w:header="0"/>
        </w:sectPr>
      </w:pPr>
    </w:p>
    <w:bookmarkStart w:id="23" w:name="page24"/>
    <w:bookmarkEnd w:id="23"/>
    <w:p>
      <w:pPr>
        <w:ind w:left="4" w:right="6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Securities, and the cost of printing certificates representing the Securities, (vii) the costs and charges of the Trustee and any transfer agent, registrar or depositary, (viii) the costs and expenses of the Company relating to investor presentations or any “road show” undertaken in connection with the marketing of the offering of the Securities, including, without limitation, expenses associated with the preparation or dissemination of any electronic road show or the production of road show slides and graphics, fees and expenses of any consultants engaged by the Company in connection with the road show presentations, travel and lodging expenses of the representatives and officers of the Company and any such consultants, and the cost attributable to representatives and officers of the Company and any such consultants of any shared transportation in connection with the road show; and</w:t>
      </w:r>
    </w:p>
    <w:p>
      <w:pPr>
        <w:spacing w:after="0" w:line="5" w:lineRule="exact"/>
        <w:rPr>
          <w:sz w:val="20"/>
          <w:szCs w:val="20"/>
          <w:color w:val="auto"/>
        </w:rPr>
      </w:pPr>
    </w:p>
    <w:p>
      <w:pPr>
        <w:ind w:left="4" w:right="120" w:hanging="4"/>
        <w:spacing w:after="0" w:line="271" w:lineRule="auto"/>
        <w:tabs>
          <w:tab w:leader="none" w:pos="309"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other costs and expenses incident to the performance of the obligations of the Company hereunder for which provision is not otherwise made in this Article. It is understood, however, that except as provided in this Article IX, Article X and Article XVI, the Underwriters will pay all of their costs and expenses, including fees and disbursements of their counsel, transfer taxes payable on resale of any of the Securities by them, any advertising expenses connected with any offers they may make and their own costs and expenses relating to investor presentations and road show presentations, including travel and lodging expenses of the Representatives and their cost of any shared transportation in connection with the road show.</w:t>
      </w:r>
    </w:p>
    <w:p>
      <w:pPr>
        <w:spacing w:after="0" w:line="39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X.</w:t>
      </w:r>
    </w:p>
    <w:p>
      <w:pPr>
        <w:spacing w:after="0" w:line="225"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 xml:space="preserve">The Company agrees to indemnify and hold harmless each Underwriter, its affiliates, each person, if any, who “controls” (within the meaning of either Section 15 of the Securities Act or Section 20 of the Exchange Act) such Underwriter and each of such Underwriter’s and such person’s officers and directors against any and all losses, liabilities, costs or claims (or actions in respect thereof) to which any of them may become subject (including all reasonable costs of investigating, disputing or defending any such claim or action), insofar as such losses, liabilities, costs or claims (or actions in respect thereof) arise out of or in connection with any untrue statement or alleged untrue statement of a material fact contained in the Registration Statement, the Disclosure Package (or any part thereof) or any amendment or supplement thereto, any Permitted Free Writing Prospectus prepared by or on behalf of, used by, or referred to by the Company, any Additional Written Offering Communication or the Prospectus or any amendment or supplement thereto, or any omission or alleged omission to state therein a material fact required to be stated therein or necessary to make the statements therein, in the light of the circumstances under which they were made, not misleading;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shall not be liable for any such loss, liability, cost, action or claim arising from any statements or omissions made in reliance on and in conformity with written information provided by an Underwriter to the Company or its representatives expressly for use in the Registration Statement, the Disclosure Package (or any part thereof) or any amendment or supplement thereto, any Permitted Free Writing Prospectus prepared by or on behalf of, used by, or referred to by the Company, any Additional Written Offering Communication or the Prospectus or any amendment or supplement thereto.</w:t>
      </w:r>
    </w:p>
    <w:p>
      <w:pPr>
        <w:spacing w:after="0" w:line="12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4"/>
          </w:cols>
          <w:pgMar w:left="436" w:top="270" w:right="479" w:bottom="1440" w:gutter="0" w:footer="0" w:header="0"/>
        </w:sectPr>
      </w:pPr>
    </w:p>
    <w:bookmarkStart w:id="24" w:name="page25"/>
    <w:bookmarkEnd w:id="24"/>
    <w:p>
      <w:pPr>
        <w:ind w:firstLine="44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Underwriter severally and not jointly agrees to indemnify and hold harmless the Company, its affiliates, each person, if any, who “controls” (within the meaning of either Section 15 of the Securities Act or Section 20 of the Exchange Act) the Company, and the Company’s and such person’s officers and directors from and against any and all losses, liabilities, costs or claims (or actions in respect thereof) to which any of them may become subject (including all reasonable costs of investigating, disputing or defending any such claim or action), insofar as such losses, liabilities, costs or claims (or actions in respect thereof) arise out of or in connection with any untrue statement or alleged untrue statement of a material fact contained in the Registration Statement, the Disclosure Package (or any part thereof) or any amendment or supplement thereto, any Permitted Free Writing Prospectus prepared by or on behalf of, used by, or referred to by the Company, any Additional Written Offering Communication or the Prospectus or any amendment or supplement thereto, or any omission or alleged omission to state therein a material fact required to be stated therein or necessary to make the statements therein in the light of the circumstances under which they were made, not misleading, in each case as to the Registration Statement, the Disclosure Package (or any part thereof) or any amendment or supplement thereto, any Permitted Free Writing Prospectus prepared by or on behalf of, used by, or referred to by the Company, any Additional Written Offering Communication or the Prospectus or any amendment or supplement thereto, only to the extent that such untrue statement or alleged untrue statement or omission or alleged omission (x) was made in reliance on and in conformity with written information furnished to the Company by the Underwriters expressly for use in the Registration Statement, the Disclosure Package (or any part thereof) or any amendment or supplement thereto, any Permitted Free Writing Prospectus prepared by or on behalf of, used by, or referred to by the Company, any Additional Written Offering Communication or the Prospectus or any amendment or supplement thereto, or (y) is contained in any free writing prospectus that is not a Permitted Free Writing Prospectus prepared by or on behalf of the Underwriter (except to the extent such information has been accurately extracted from the Prospectus, any Permitted Free Writing Prospectus prepared by or on behalf of the Company or any Additional Written Offering Communication). It is understood and agreed that for purposes of this Agreement, the only information expressly furnished to the Company by the Underwriters for use in the Registration Statement, the Disclosure Package (or any part thereof), the Prospectus or any Permitted Free Writing Prospectus (or any amendment or supplement to any of the foregoing) consists of (i) the names of the Underwriters set forth on the front and back cover of the Prospectus and the Preliminary Prospectus; (ii) the names of the Underwriters and respective principal amount of 2028 Securities, 2030 Securities and 2035 Securities set forth in the table of Underwriters immediately below the first paragraph of text under the caption “Underwriting” in the Prospectus and the Preliminary Prospectus; (iii) the paragraph of text under the caption “Underwriting” in the Prospectus and the Preliminary Prospectus that begins “The underwriting agreement provides” and ends “or the offering may be terminated”; (iv) the paragraph of text under the caption “Underwriting” in the Prospectus and the Preliminary Prospectus concerning the terms of the offering by the Underwriters, which begins “The underwriters initially propose to offer the Notes” and ends “the underwriters’ right to reject any order in whole or in part”; (v) the three paragraphs of text under the caption “Underwriting” in the Prospectus and the Preliminary Prospectus concerning stabilization, over allotments and penalty bids by the Underwriters, which begin “In connection with the offering, the underwriters may purchase” and end “may discontinue them at any time”; (vi) the sentence of text under the caption “Underwriting” in the Prospectus and the Preliminary Prospectus that begins “The underwriters are full service financial institutions” and ends “hedging, financing and brokerage activities” and (vii) the paragraph of text under the caption “Underwriting” in the Prospectus and the Preliminary Prospectus that begins “In the ordinary course of their various business activities” and ends “short positions in such securities and instruments.”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25" w:name="page26"/>
    <w:bookmarkEnd w:id="25"/>
    <w:p>
      <w:pPr>
        <w:ind w:left="4" w:right="40"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any claim, demand, action or proceeding (including any governmental investigation) shall be brought or alleged against an indemnified party in respect of which indemnity is to be sought against an indemnifying party pursuant to the preceding paragraphs, the indemnified party shall promptly notify the indemnifying party in writing, and the indemnifying party, upon request of the indemnified party, shall retain counsel reasonably satisfactory to the indemnified party to represent the indemnified party and any others the indemnified party may designate in such proceeding and shall pay the reasonable fees and expenses of such counsel related to such proceeding; provided, however, that in the event the indemnifying party shall not have employed counsel reasonably satisfactory to the indemnified party to represent the indemnified party within a reasonable time after notice of any such proceeding, the indemnified party shall then be entitled to retain counsel reasonably satisfactory to itself and the indemnifying party shall pay the reasonable fees and disbursements of such counsel relating to the proceeding. In any such proceeding, any indemnified party shall have the right to retain its own counsel, but the reasonable fees and expenses of such counsel shall be at the expense of such indemnified party unless (i) the indemnifying party and the indemnified party shall have mutually agreed to the retention of such counsel, (ii) the indemnifying party has failed within a reasonable time to retain counsel reasonably satisfactory to such indemnified party pursuant to the preceding sentence or (iii)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agreed that the indemnifying party shall not, in connection with any proceeding or related proceedings in the same jurisdiction, be liable for the reasonable fees and expenses of more than one separate law firm (in addition to local counsel where necessary) for all such indemnified parties. Such firm shall be designated in writing by the indemnified party.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 indemnifying party shall, without the prior written consent of the indemnified party, effect any settlement of any pending or threatened proceeding in respect of which any indemnified party is entitled to indemnification hereunder, unless such settlement includes an unconditional release of such indemnified party from all liability on claims that are the subject matter of such proceeding and does not include a statement as to an admission of fault, culpability or a failure to act by or on behalf of any indemnified party.</w:t>
      </w:r>
    </w:p>
    <w:p>
      <w:pPr>
        <w:spacing w:after="0" w:line="188" w:lineRule="exact"/>
        <w:rPr>
          <w:sz w:val="20"/>
          <w:szCs w:val="20"/>
          <w:color w:val="auto"/>
        </w:rPr>
      </w:pPr>
    </w:p>
    <w:p>
      <w:pPr>
        <w:ind w:left="4" w:right="60" w:firstLine="440"/>
        <w:spacing w:after="0" w:line="272" w:lineRule="auto"/>
        <w:rPr>
          <w:sz w:val="20"/>
          <w:szCs w:val="20"/>
          <w:color w:val="auto"/>
        </w:rPr>
      </w:pPr>
      <w:r>
        <w:rPr>
          <w:rFonts w:ascii="Times New Roman" w:cs="Times New Roman" w:eastAsia="Times New Roman" w:hAnsi="Times New Roman"/>
          <w:sz w:val="17"/>
          <w:szCs w:val="17"/>
          <w:color w:val="auto"/>
        </w:rPr>
        <w:t>If the indemnification provided for in this Article X is unavailable as a matter of law to an indemnified party in respect of any losses, claims, damages or liabilities referred to therein, then each indemnifying party, in lieu of indemnifying such indemnified party in respect of such losses, claims, damages or liabilities, shall contribute to the amount paid or payable by such indemnified party as a result of such losses, claims, damages or liabilities</w:t>
      </w:r>
    </w:p>
    <w:p>
      <w:pPr>
        <w:spacing w:after="0" w:line="2" w:lineRule="exact"/>
        <w:rPr>
          <w:sz w:val="20"/>
          <w:szCs w:val="20"/>
          <w:color w:val="auto"/>
        </w:rPr>
      </w:pPr>
    </w:p>
    <w:p>
      <w:pPr>
        <w:ind w:left="4" w:hanging="4"/>
        <w:spacing w:after="0" w:line="260" w:lineRule="auto"/>
        <w:tabs>
          <w:tab w:leader="none" w:pos="21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indemnifying party is the Company, in such proportion as is appropriate to reflect the relative benefit received by the Company on the one hand and the Underwriters on the other from the offering of the</w:t>
      </w:r>
    </w:p>
    <w:p>
      <w:pPr>
        <w:spacing w:after="0" w:line="11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84"/>
          </w:cols>
          <w:pgMar w:left="436" w:top="270" w:right="479" w:bottom="1440" w:gutter="0" w:footer="0" w:header="0"/>
        </w:sectPr>
      </w:pPr>
    </w:p>
    <w:bookmarkStart w:id="26" w:name="page27"/>
    <w:bookmarkEnd w:id="26"/>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Securities, (ii) if an Underwriter is the indemnifying party, in such proportion as is appropriate to reflect the Underwriter’s relative fault on the one hand and that of the Company on the other hand in connection with the statements or omissions or alleged statements or omissions which resulted in such losses, claims, damages or liabilities, or (iii) if the allocation provided by clause (i) or clause (ii) above, as the case may be, is not permitted by applicable law, in such proportion as is appropriate to reflect not only the relative benefit referred to in clause (i) above or the relative fault referred to in clause (ii) above, as the case may be, but also such relative fault (in cases covered by clause (i)) or such relative benefit (in cases covered by clause (ii)) as well as any other relevant equitable considerations. The relative benefit received by the Company on the one hand and the Underwriters on the other shall be deemed to be in the same proportion as the total net proceeds from the offering (before deducting expenses) received by the Company bear to the total underwriting discounts and commissions received by the Underwriters, in each case as set forth in the Prospectus. The relative fault of the Company on the one hand and of the Underwriters on the other shall be determined by reference to, among other things, and where applicable, whether the untrue statement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omissions.</w:t>
      </w:r>
    </w:p>
    <w:p>
      <w:pPr>
        <w:spacing w:after="0" w:line="190"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The Company and the Underwriters agree that it would not be just and equitable if contribution pursuant to this Article X were determined by pro rata allocation (even if the Underwriters were treated as one entity for such purpose) or by any other method of allocation which does not take account of the considerations referred to in the immediately preceding paragraph. The amounts paid or payable by an indemnified party as a result of the losses, claims, damages and liabilities referred to in the immediately preceding paragraph shall be deemed to include, subject to the limitations set forth above, any reasonable legal or other expenses reasonably incurred by such indemnified party in connection with investigating or defending any such action or claim. Notwithstanding the provisions of this paragraph, no Underwriter shall be required to contribute any amount in excess of the amount by which the total price at which the Securities underwritten by such Underwriter and distributed to the public were offered to the public exceeds the amount of any damages which such Underwriter has otherwise been required to pay by reason of such untrue or alleged untrue statement or omission or alleged omission. Notwithstanding the provisions of this Article X concerning contribution, no indemnifying party shall be required to make contribution in respect of such losses, claims, damages or liabilities in any circumstances in which such party would not have been required to provide indemnification. Nothing herein contained shall be deemed to constitute a waiver by an indemnified party of such party’s rights, if any, to receive contribution pursuant to Section 11(f) of the Securities Act or other applicable law. No person guilty of “fraudulent misrepresentation” (within the meaning of Section 11(f) of the Securities Act) shall be entitled to contribution from any person who was not guilty of such fraudulent misrepresentation. The Underwriters’ obligations to contribute pursuant to this Article X are several, in proportion to the respective principal amounts of Securities purchased by each of such Underwriters, and not joint. The remedies provided for in this Article X are not exclusive and shall not limit any rights or remedies which may otherwise be available to any indemnified party at law or in equity.</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27" w:name="page28"/>
    <w:bookmarkEnd w:id="27"/>
    <w:p>
      <w:pPr>
        <w:ind w:right="60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indemnity and contribution agreements contained in this Article X and the representations and warranties of the Company and the Underwriters in this Agreement, shall remain operative and in full force and effect regardless of: (i) any termination of this Agreement; (ii) any investigation made by an indemnified party or on such party’s behalf or any person controlling an indemnified party or by or on behalf of the indemnifying party, its directors or officers or any person controlling the indemnifying party; and (iii) acceptance of and payment for any of the Securities.</w:t>
      </w: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XI.</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Representatives on behalf of the Underwriters may terminate this Agreement (upon consultation with the Company) at any time prior to the time on the Closing Date at which payment would otherwise be due under this Agreement to the Company if (i) in the opinion of the Representatives, a material disruption in securities settlement, payment or clearance services in the United States shall have occurred or there shall have been a change in national or international financial, political or economic conditions which in their view will have a material adverse effect on the success of the offering and distribution of the Securities or (ii) trading in securities generally on the New York Stock Exchange shall have been suspended generally or materially limited. In the event of any such termination and after consultation with the Company, the parties to this Agreement shall be released and discharged from their respective obligations under this Agreement without liability on the part of any Underwriter or on the part of the Company and each party will pay its own expenses.</w:t>
      </w: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XII.</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Company and each Underwriter acknowledge and agree that each Underwriter is acting solely in the capacity of an arm’s length contractual counterparty to the Company with respect to the offering of the Securities contemplated by this Agreement (including in connection with determining the terms of the offering) and not as a fiduciary to, or an agent of, the Company or any other person. Each Underwriter represents and warrants to the Company that, except as previously disclosed in writing to the Company, neither the Underwriter nor any affiliate thereof, to the best of their respective knowledge, has any current arrangement with any third party which would permit such Underwriter or any such affiliate to benefit financially, directly or indirectly, from the Underwriter’s participation in the determination of the terms of the offering, including the pricing of the Securities. Additionally, each Underwriter is not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w:t>
      </w:r>
    </w:p>
    <w:p>
      <w:pPr>
        <w:spacing w:after="0" w:line="1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20"/>
          </w:cols>
          <w:pgMar w:left="440" w:top="270" w:right="539" w:bottom="1440" w:gutter="0" w:footer="0" w:header="0"/>
        </w:sectPr>
      </w:pPr>
    </w:p>
    <w:bookmarkStart w:id="28" w:name="page29"/>
    <w:bookmarkEnd w:id="28"/>
    <w:p>
      <w:pPr>
        <w:jc w:val="center"/>
        <w:ind w:right="-5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XIII.</w:t>
      </w:r>
    </w:p>
    <w:p>
      <w:pPr>
        <w:spacing w:after="0" w:line="225"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This Agreement shall be binding upon the Underwriters and the Company, and inure solely to the benefit of the Underwriters and the Company and any other person expressly entitled to indemnification hereunder and the respective personal representatives, successors and assigns of each, and no other person shall acquire or have any rights under or by virtue of this Agreement.</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XIV.</w:t>
      </w:r>
    </w:p>
    <w:p>
      <w:pPr>
        <w:spacing w:after="0" w:line="225" w:lineRule="exact"/>
        <w:rPr>
          <w:sz w:val="20"/>
          <w:szCs w:val="20"/>
          <w:color w:val="auto"/>
        </w:rPr>
      </w:pPr>
    </w:p>
    <w:p>
      <w:pPr>
        <w:ind w:right="80" w:firstLine="440"/>
        <w:spacing w:after="0" w:line="253" w:lineRule="auto"/>
        <w:rPr>
          <w:sz w:val="20"/>
          <w:szCs w:val="20"/>
          <w:color w:val="auto"/>
        </w:rPr>
      </w:pPr>
      <w:r>
        <w:rPr>
          <w:rFonts w:ascii="Times New Roman" w:cs="Times New Roman" w:eastAsia="Times New Roman" w:hAnsi="Times New Roman"/>
          <w:sz w:val="18"/>
          <w:szCs w:val="18"/>
          <w:color w:val="auto"/>
        </w:rPr>
        <w:t>Except as otherwise specifically provided herein, all statements, requests, notices and advices hereunder shall be in writing and if to an Underwriter shall be sufficient in all respects if delivered in person or sent by facsimile transmission (confirmed in writing), or registered mail to each Representative at its address or facsimile number below and if to the Company shall be sufficient in all respects if delivered by registered mail to the Company at 300 Renaissance Center, Detroit, Michigan 48265, marked for the attention of the Secretary, with a copy to King &amp; Spalding LLP, at 1180 Peachtree Street NE, Suite 1600, Atlanta, GA 30309, Attention: Keith M. Townsend, Esq. (facsimile: 404-572-5100). Notices shall be provided to Citigroup Global Markets Inc., 388 Greenwich Street, New York, NY 10013, Attention: General Counsel, Fax: 646-291-1469, Goldman Sachs &amp; Co. LLC, 200 West Street, New York, NY 10282, Attention: Registration Department, Fax No.: (212) 902-9316, Email: registration-syndops@ny.email.gs.com, and Wells Fargo Securities, LLC, 550 South Tryon Street, 5th Floor, Charlotte, NC 28202, Attention: Transaction Management, Email: tmgcapitalmarkets@wellsfargo.com, with copies to Davis Polk &amp; Wardwell LLP, 450 Lexington Avenue, New York, NY, 10017, Attention: Dan Gibbons, Esq. (facsimile: 212-701-6222). All notices hereunder shall be effective on receipt.</w:t>
      </w: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XV.</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If on the Closing Date any one or more Underwriters shall fail to purchase and pay for any of the Securities agreed to be purchased by such Underwriter or Underwriters hereunder on such date and such failure to purchase shall constitute a default in the performance of its or their obligations under this Agreement, the remaining Underwriters shall be obligated, severally, to take and pay for (in the respective proportions which the principal amount of Securities set forth opposite their names on Schedule I hereto bears to the aggregate principal amount of Securities set forth opposite the names of all of the remaining non-defaulting Underwriters) the Securities which the defaulting Underwriter or Underwriters agreed but failed to purchase on such date. Notwithstanding the foregoing, if the aggregate principal amount of Securities which the defaulting Underwriter or Underwriters agreed but failed to purchase on the Closing Date shall exceed 10% of the aggregate principal amount of Securities to be purchased on such date, after giving effect to any alternative arrangements for the purchase of such Securities that are satisfactory to the Representatives and the Company and which are made within thirty-six (36) hours after the Closing Date, the remaining Underwriters shall have the right to purchase all, but shall not be under any obligation to purchase any, of such Securities, and if such non-defaulting Underwriters do not purchase all of the Securities, this Agreement will terminate without liability</w:t>
      </w:r>
    </w:p>
    <w:p>
      <w:pPr>
        <w:spacing w:after="0" w:line="1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40"/>
          </w:cols>
          <w:pgMar w:left="440" w:top="270" w:right="519" w:bottom="1440" w:gutter="0" w:footer="0" w:header="0"/>
        </w:sectPr>
      </w:pPr>
    </w:p>
    <w:bookmarkStart w:id="29" w:name="page30"/>
    <w:bookmarkEnd w:id="29"/>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any non-defaulting Underwriter or the Company, except that the provisions of Article X shall not terminate and shall remain in effect. In the event of a default by any Underwriter as set forth in this Article XV, the Closing Date shall be postponed for such period, not exceeding five (5) business days, as the Representatives and the Company shall determine in order that the required changes in the Registration Statement, the Disclosure Package, the Prospectus or in any other documents or arrangements may be effected. Nothing contained in this Agreement shall relieve any defaulting Underwriter of its liability, if any, to the Company and any non-defaulting Underwriter for damages caused by its default hereunder.</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XVI.</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(other than by reason of a default by any of the Underwriters), the Company will reimburse the Underwriters or such Underwriters as have so terminated this Agreement with respect to themselves, severally, for all reasonable out-of-pocket expenses (including the reasonable fees and disbursements of their counsel) reasonably incurred by such Underwriters in connection with the Securities.</w:t>
      </w:r>
    </w:p>
    <w:p>
      <w:pPr>
        <w:spacing w:after="0" w:line="183"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Notwithstanding anything to the contrary contained in this Agreement, unless this Agreement has been validly terminated pursuant to the immediately preceding paragraph or pursuant to Article XI, the Representatives shall reimburse the Company for all of the Company’s reasonable outside counsel fees, disbursements and expenses incurred in connection with the offering of the Securities (for the avoidance of doubt, this paragraph shall not apply to any outside counsel fees, disbursements or expenses incurred in connection with any other concurrent or proposed offering by the Company).</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XVII.</w:t>
      </w:r>
    </w:p>
    <w:p>
      <w:pPr>
        <w:spacing w:after="0" w:line="225"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This Agreement shall be governed by and construed in accordance with the laws of the State of New York. Each party to this Agreement irrevocably agrees that any legal action or proceeding against it arising out of or in connection with this Agreement or for recognition or enforcement of any judgment rendered against it in connection with this Agreement may be brought in any Federal or New York State court sitting in the Borough of Manhattan, and, by execution and delivery of this Agreement, such party hereby irrevocably accepts and submits to the jurisdiction of each of the aforesaid courts in personam, generally and unconditionally with respect to any such action or proceeding for itself and in respect of its property, assets and revenues. Each party hereby also irrevocably waives, to the fullest extent permitted by law, any objection which it may now or hereafter have to the laying of venue of any such action or proceeding brought in any such court and any claim that any such action or proceeding has been brought in an inconvenient forum. The Company and each of the Underwriters hereby irrevocably waive, to the fullest extent permitted by applicable law, any and all right to trial by jury in any legal proceeding arising out of or relating to this Agreement or the transactions contemplated hereby.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XVIII.</w:t>
      </w:r>
    </w:p>
    <w:p>
      <w:pPr>
        <w:spacing w:after="0" w:line="225"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Any action by the Underwriters hereunder may be taken by the Representatives on behalf of the Underwriters (and their respective affiliates), and any such action taken by the Representatives shall be binding upon the Underwriters (and their respective affiliates).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XIX.</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This Agreement may be signed in any number of counterparts, each of which so executed shall be deemed to be an original, with the same effect as if the signatures thereto and hereto were upon the same instrument. The exchanges of copies of this Agreement and of signature pages hereto by electronic format (i.e., “pdf” or “tif”) transmission shall constitute effective execution and delivery of this Agreement as to the parties hereto and may be used in lieu of the exchange of the original Agreement for all purposes. Signatures of the parties hereto transmitted by electronic format (i.e., “pdf” or “tif”) shall be deemed to be their original signatures for all purposes.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XX.</w:t>
      </w:r>
    </w:p>
    <w:p>
      <w:pPr>
        <w:spacing w:after="0" w:line="225"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In accordance with the requirements of the USA PATRIOT Act (Title III of Pub. L, 107-56 (signed into law October 26, 2001)), the Underwriters are required to obtain, verify and record information that identifies their clients, which may include the name and address of their clients, as well as other information that will allow the Underwriters to properly identify their clients.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XXI.</w:t>
      </w:r>
    </w:p>
    <w:p>
      <w:pPr>
        <w:spacing w:after="0" w:line="225" w:lineRule="exact"/>
        <w:rPr>
          <w:sz w:val="20"/>
          <w:szCs w:val="20"/>
          <w:color w:val="auto"/>
        </w:rPr>
      </w:pPr>
    </w:p>
    <w:p>
      <w:pPr>
        <w:ind w:right="40" w:firstLine="436"/>
        <w:spacing w:after="0" w:line="261" w:lineRule="auto"/>
        <w:tabs>
          <w:tab w:leader="none" w:pos="68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79" w:lineRule="exact"/>
        <w:rPr>
          <w:rFonts w:ascii="Times New Roman" w:cs="Times New Roman" w:eastAsia="Times New Roman" w:hAnsi="Times New Roman"/>
          <w:sz w:val="18"/>
          <w:szCs w:val="18"/>
          <w:color w:val="auto"/>
        </w:rPr>
      </w:pPr>
    </w:p>
    <w:p>
      <w:pPr>
        <w:ind w:firstLine="436"/>
        <w:spacing w:after="0" w:line="261" w:lineRule="auto"/>
        <w:tabs>
          <w:tab w:leader="none" w:pos="6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76" w:lineRule="exact"/>
        <w:rPr>
          <w:sz w:val="20"/>
          <w:szCs w:val="20"/>
          <w:color w:val="auto"/>
        </w:rPr>
      </w:pPr>
    </w:p>
    <w:p>
      <w:pPr>
        <w:jc w:val="center"/>
        <w:ind w:right="140"/>
        <w:spacing w:after="0" w:line="4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 § 1841(k); 27</w:t>
      </w:r>
    </w:p>
    <w:p>
      <w:pPr>
        <w:sectPr>
          <w:pgSz w:w="11900" w:h="16838" w:orient="portrait"/>
          <w:cols w:equalWidth="0" w:num="1">
            <w:col w:w="10980"/>
          </w:cols>
          <w:pgMar w:left="440" w:top="270" w:right="479" w:bottom="1440" w:gutter="0" w:footer="0" w:header="0"/>
        </w:sectPr>
      </w:pPr>
    </w:p>
    <w:bookmarkStart w:id="31" w:name="page32"/>
    <w:bookmarkEnd w:id="3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Covered Entity</w:t>
      </w:r>
      <w:r>
        <w:rPr>
          <w:rFonts w:ascii="Times New Roman" w:cs="Times New Roman" w:eastAsia="Times New Roman" w:hAnsi="Times New Roman"/>
          <w:sz w:val="18"/>
          <w:szCs w:val="18"/>
          <w:color w:val="auto"/>
        </w:rPr>
        <w:t>” means any of the following:</w:t>
      </w:r>
    </w:p>
    <w:p>
      <w:pPr>
        <w:spacing w:after="0" w:line="135" w:lineRule="exact"/>
        <w:rPr>
          <w:sz w:val="20"/>
          <w:szCs w:val="20"/>
          <w:color w:val="auto"/>
        </w:rPr>
      </w:pPr>
    </w:p>
    <w:p>
      <w:pPr>
        <w:ind w:left="1420" w:hanging="439"/>
        <w:spacing w:after="0"/>
        <w:tabs>
          <w:tab w:leader="none" w:pos="14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entity” as that term is defined in, and interpreted in accordance with, 12 C.F.R. § 252.82(b);</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 47.3(b); or</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w:t>
      </w:r>
    </w:p>
    <w:p>
      <w:pPr>
        <w:spacing w:after="0" w:line="113" w:lineRule="exact"/>
        <w:rPr>
          <w:sz w:val="20"/>
          <w:szCs w:val="20"/>
          <w:color w:val="auto"/>
        </w:rPr>
      </w:pPr>
    </w:p>
    <w:p>
      <w:pPr>
        <w:ind w:left="440" w:right="4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 and</w:t>
      </w:r>
    </w:p>
    <w:p>
      <w:pPr>
        <w:spacing w:after="0" w:line="47" w:lineRule="exact"/>
        <w:rPr>
          <w:sz w:val="20"/>
          <w:szCs w:val="20"/>
          <w:color w:val="auto"/>
        </w:rPr>
      </w:pPr>
    </w:p>
    <w:p>
      <w:pPr>
        <w:ind w:left="440" w:right="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Special Resolution Regime</w:t>
      </w:r>
      <w:r>
        <w:rPr>
          <w:rFonts w:ascii="Times New Roman" w:cs="Times New Roman" w:eastAsia="Times New Roman" w:hAnsi="Times New Roman"/>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XXII.</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Notwithstanding and to the exclusion of any other term of this Agreement or any other agreements, arrangements or understandings between the Company and the Underwriters, the Company acknowledges and accepts that a BRRD Liability (as defined below) arising under this Agreement may be subject to the exercise of Bail-in Powers (as defined below) by the Relevant Resolution Authority (as defined below), and acknowledges, accepts and agrees to be bound by:</w:t>
      </w:r>
    </w:p>
    <w:p>
      <w:pPr>
        <w:spacing w:after="0" w:line="72" w:lineRule="exact"/>
        <w:rPr>
          <w:sz w:val="20"/>
          <w:szCs w:val="20"/>
          <w:color w:val="auto"/>
        </w:rPr>
      </w:pPr>
    </w:p>
    <w:p>
      <w:pPr>
        <w:ind w:right="220" w:firstLine="436"/>
        <w:spacing w:after="0" w:line="266" w:lineRule="auto"/>
        <w:tabs>
          <w:tab w:leader="none" w:pos="68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exercise of Bail-in Powers by the Relevant Resolution Authority in relation to any BRRD Liability of the Underwriters (the “</w:t>
      </w:r>
      <w:r>
        <w:rPr>
          <w:rFonts w:ascii="Times New Roman" w:cs="Times New Roman" w:eastAsia="Times New Roman" w:hAnsi="Times New Roman"/>
          <w:sz w:val="18"/>
          <w:szCs w:val="18"/>
          <w:b w:val="1"/>
          <w:bCs w:val="1"/>
          <w:color w:val="auto"/>
        </w:rPr>
        <w:t>Relevant BRRD Party</w:t>
      </w:r>
      <w:r>
        <w:rPr>
          <w:rFonts w:ascii="Times New Roman" w:cs="Times New Roman" w:eastAsia="Times New Roman" w:hAnsi="Times New Roman"/>
          <w:sz w:val="18"/>
          <w:szCs w:val="18"/>
          <w:color w:val="auto"/>
        </w:rPr>
        <w:t>”) to the Company under this Agreement, that (without limitation) may include and result in any of the following, or some combination thereof:</w:t>
      </w:r>
    </w:p>
    <w:p>
      <w:pPr>
        <w:spacing w:after="0" w:line="81"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reduction of all, or a portion, of the BRRD Liability or outstanding amounts due thereon;</w:t>
      </w:r>
    </w:p>
    <w:p>
      <w:pPr>
        <w:spacing w:after="0" w:line="130" w:lineRule="exact"/>
        <w:rPr>
          <w:rFonts w:ascii="Times New Roman" w:cs="Times New Roman" w:eastAsia="Times New Roman" w:hAnsi="Times New Roman"/>
          <w:sz w:val="18"/>
          <w:szCs w:val="18"/>
          <w:color w:val="auto"/>
        </w:rPr>
      </w:pPr>
    </w:p>
    <w:p>
      <w:pPr>
        <w:ind w:left="1420" w:right="320" w:hanging="439"/>
        <w:spacing w:after="0" w:line="282" w:lineRule="auto"/>
        <w:tabs>
          <w:tab w:leader="none" w:pos="14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all, or a portion, of the BRRD Liability into shares, other securities or other obligations of the Relevant BRRD Party or another person, and the issue to or conferral on the Company of such shares, securities or obligations;</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cancellation of the BRRD Liability;</w:t>
      </w:r>
    </w:p>
    <w:p>
      <w:pPr>
        <w:spacing w:after="0" w:line="130" w:lineRule="exact"/>
        <w:rPr>
          <w:rFonts w:ascii="Times New Roman" w:cs="Times New Roman" w:eastAsia="Times New Roman" w:hAnsi="Times New Roman"/>
          <w:sz w:val="18"/>
          <w:szCs w:val="18"/>
          <w:color w:val="auto"/>
        </w:rPr>
      </w:pPr>
    </w:p>
    <w:p>
      <w:pPr>
        <w:ind w:left="1420" w:right="620" w:hanging="439"/>
        <w:spacing w:after="0" w:line="282" w:lineRule="auto"/>
        <w:tabs>
          <w:tab w:leader="none" w:pos="14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or alteration of any interest, if applicable, thereon, or the dates on which any payments are due, including by suspending payment for a temporary period; and</w:t>
      </w:r>
    </w:p>
    <w:p>
      <w:pPr>
        <w:spacing w:after="0" w:line="161" w:lineRule="exact"/>
        <w:rPr>
          <w:rFonts w:ascii="Times New Roman" w:cs="Times New Roman" w:eastAsia="Times New Roman" w:hAnsi="Times New Roman"/>
          <w:sz w:val="18"/>
          <w:szCs w:val="18"/>
          <w:color w:val="auto"/>
        </w:rPr>
      </w:pPr>
    </w:p>
    <w:p>
      <w:pPr>
        <w:ind w:right="500" w:firstLine="436"/>
        <w:spacing w:after="0" w:line="282" w:lineRule="auto"/>
        <w:tabs>
          <w:tab w:leader="none" w:pos="6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this Agreement, as deemed necessary by the Relevant Resolution Authority, to give effect to the exercise of Bail-in Powers by the Relevant Resolution Authority.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used in this section:</w:t>
      </w:r>
    </w:p>
    <w:p>
      <w:pPr>
        <w:spacing w:after="0" w:line="113" w:lineRule="exact"/>
        <w:rPr>
          <w:sz w:val="20"/>
          <w:szCs w:val="20"/>
          <w:color w:val="auto"/>
        </w:rPr>
      </w:pPr>
    </w:p>
    <w:p>
      <w:pPr>
        <w:jc w:val="both"/>
        <w:ind w:left="440" w:right="1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Bail-in Legislation</w:t>
      </w:r>
      <w:r>
        <w:rPr>
          <w:rFonts w:ascii="Times New Roman" w:cs="Times New Roman" w:eastAsia="Times New Roman" w:hAnsi="Times New Roman"/>
          <w:sz w:val="18"/>
          <w:szCs w:val="18"/>
          <w:color w:val="auto"/>
        </w:rPr>
        <w:t>” means in relation to the UK and a member state of the European Economic Area which has implemented, or which at any time implements, the BRRD, the relevant implementing law, regulation, rule or requirement as described in the EU Bail-in Legislation Schedule from time to time;</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80"/>
          </w:cols>
          <w:pgMar w:left="440" w:top="266" w:right="479" w:bottom="1440" w:gutter="0" w:footer="0" w:header="0"/>
        </w:sectPr>
      </w:pPr>
    </w:p>
    <w:bookmarkStart w:id="32" w:name="page33"/>
    <w:bookmarkEnd w:id="32"/>
    <w:p>
      <w:pPr>
        <w:ind w:right="30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Bail-in Powers</w:t>
      </w:r>
      <w:r>
        <w:rPr>
          <w:rFonts w:ascii="Times New Roman" w:cs="Times New Roman" w:eastAsia="Times New Roman" w:hAnsi="Times New Roman"/>
          <w:sz w:val="18"/>
          <w:szCs w:val="18"/>
          <w:color w:val="auto"/>
        </w:rPr>
        <w:t>” means any Write-down and Conversion Powers as defined in the EU Bail-in Legislation Schedule, in relation to the relevant Bail-in Legislation;</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BRRD</w:t>
      </w:r>
      <w:r>
        <w:rPr>
          <w:rFonts w:ascii="Times New Roman" w:cs="Times New Roman" w:eastAsia="Times New Roman" w:hAnsi="Times New Roman"/>
          <w:sz w:val="18"/>
          <w:szCs w:val="18"/>
          <w:color w:val="auto"/>
        </w:rPr>
        <w:t>” means Directive 2014/59/EU establishing a framework for the recovery and resolution of credit institutions and investment firms;</w:t>
      </w:r>
    </w:p>
    <w:p>
      <w:pPr>
        <w:spacing w:after="0" w:line="117"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BRRD Liability</w:t>
      </w:r>
      <w:r>
        <w:rPr>
          <w:rFonts w:ascii="Times New Roman" w:cs="Times New Roman" w:eastAsia="Times New Roman" w:hAnsi="Times New Roman"/>
          <w:sz w:val="18"/>
          <w:szCs w:val="18"/>
          <w:color w:val="auto"/>
        </w:rPr>
        <w:t>” means a liability in respect of which the relevant Write Down and Conversion Powers in the applicable Bail-in Legislation may be exercised;</w:t>
      </w:r>
    </w:p>
    <w:p>
      <w:pPr>
        <w:spacing w:after="0" w:line="4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 Bail-in Legislation Schedule</w:t>
      </w:r>
      <w:r>
        <w:rPr>
          <w:rFonts w:ascii="Times New Roman" w:cs="Times New Roman" w:eastAsia="Times New Roman" w:hAnsi="Times New Roman"/>
          <w:sz w:val="18"/>
          <w:szCs w:val="18"/>
          <w:color w:val="auto"/>
        </w:rPr>
        <w:t>” means the document described as such, then in effect, and published by the Loan Market Association (or any successor person) from time to time at http://www.lma.eu.com; and</w:t>
      </w:r>
    </w:p>
    <w:p>
      <w:pPr>
        <w:spacing w:after="0" w:line="4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Resolution Authority</w:t>
      </w:r>
      <w:r>
        <w:rPr>
          <w:rFonts w:ascii="Times New Roman" w:cs="Times New Roman" w:eastAsia="Times New Roman" w:hAnsi="Times New Roman"/>
          <w:sz w:val="18"/>
          <w:szCs w:val="18"/>
          <w:color w:val="auto"/>
        </w:rPr>
        <w:t>” means the resolution authority with the ability to exercise any Bail-in Powers in relation to the Relevant BRRD Party.</w:t>
      </w:r>
    </w:p>
    <w:p>
      <w:pPr>
        <w:spacing w:after="0" w:line="15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560"/>
          </w:cols>
          <w:pgMar w:left="880" w:top="266" w:right="459" w:bottom="1440" w:gutter="0" w:footer="0" w:header="0"/>
        </w:sectPr>
      </w:pPr>
    </w:p>
    <w:bookmarkStart w:id="33" w:name="page34"/>
    <w:bookmarkEnd w:id="33"/>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GENERAL MOTORS COMPANY</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Andrew 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17145</wp:posOffset>
            </wp:positionV>
            <wp:extent cx="260604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Andrew Beck</w:t>
      </w:r>
    </w:p>
    <w:p>
      <w:pPr>
        <w:spacing w:after="0" w:line="23"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Assistant Treasurer</w:t>
      </w:r>
    </w:p>
    <w:p>
      <w:pPr>
        <w:spacing w:after="0" w:line="13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Underwriting Agreement</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70"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Accepted as of the date hereof</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23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Acting severally on behalf of themselves and the several</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Underwriters named in Schedule I hereto</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CITIGROUP GLOBAL MARKETS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Adam D. Bordner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17145</wp:posOffset>
            </wp:positionV>
            <wp:extent cx="26060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340"/>
        <w:spacing w:after="0"/>
        <w:tabs>
          <w:tab w:leader="none" w:pos="940" w:val="left"/>
        </w:tabs>
        <w:rPr>
          <w:sz w:val="20"/>
          <w:szCs w:val="20"/>
          <w:color w:val="auto"/>
        </w:rPr>
      </w:pPr>
      <w:r>
        <w:rPr>
          <w:rFonts w:ascii="Times New Roman" w:cs="Times New Roman" w:eastAsia="Times New Roman" w:hAnsi="Times New Roman"/>
          <w:sz w:val="18"/>
          <w:szCs w:val="18"/>
          <w:color w:val="auto"/>
        </w:rPr>
        <w:t>Name:</w:t>
        <w:tab/>
        <w:t>Adam D. Bordner</w:t>
      </w:r>
    </w:p>
    <w:p>
      <w:pPr>
        <w:spacing w:after="0" w:line="23" w:lineRule="exact"/>
        <w:rPr>
          <w:sz w:val="20"/>
          <w:szCs w:val="20"/>
          <w:color w:val="auto"/>
        </w:rPr>
      </w:pPr>
    </w:p>
    <w:p>
      <w:pPr>
        <w:ind w:left="340"/>
        <w:spacing w:after="0"/>
        <w:tabs>
          <w:tab w:leader="none" w:pos="94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GOLDMAN SACHS &amp; CO.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Jonathan Zwart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17145</wp:posOffset>
            </wp:positionV>
            <wp:extent cx="260604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340"/>
        <w:spacing w:after="0"/>
        <w:tabs>
          <w:tab w:leader="none" w:pos="940" w:val="left"/>
        </w:tabs>
        <w:rPr>
          <w:sz w:val="20"/>
          <w:szCs w:val="20"/>
          <w:color w:val="auto"/>
        </w:rPr>
      </w:pPr>
      <w:r>
        <w:rPr>
          <w:rFonts w:ascii="Times New Roman" w:cs="Times New Roman" w:eastAsia="Times New Roman" w:hAnsi="Times New Roman"/>
          <w:sz w:val="18"/>
          <w:szCs w:val="18"/>
          <w:color w:val="auto"/>
        </w:rPr>
        <w:t>Name:</w:t>
        <w:tab/>
        <w:t>Jonathan Zwart</w:t>
      </w:r>
    </w:p>
    <w:p>
      <w:pPr>
        <w:spacing w:after="0" w:line="23" w:lineRule="exact"/>
        <w:rPr>
          <w:sz w:val="20"/>
          <w:szCs w:val="20"/>
          <w:color w:val="auto"/>
        </w:rPr>
      </w:pPr>
    </w:p>
    <w:p>
      <w:pPr>
        <w:ind w:left="340"/>
        <w:spacing w:after="0"/>
        <w:tabs>
          <w:tab w:leader="none" w:pos="94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WELLS FARGO SECURITIES,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Elizabeth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17145</wp:posOffset>
            </wp:positionV>
            <wp:extent cx="260604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340"/>
        <w:spacing w:after="0"/>
        <w:tabs>
          <w:tab w:leader="none" w:pos="9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Elizabeth Wilson</w:t>
      </w:r>
    </w:p>
    <w:p>
      <w:pPr>
        <w:spacing w:after="0" w:line="23" w:lineRule="exact"/>
        <w:rPr>
          <w:sz w:val="20"/>
          <w:szCs w:val="20"/>
          <w:color w:val="auto"/>
        </w:rPr>
      </w:pPr>
    </w:p>
    <w:p>
      <w:pPr>
        <w:ind w:left="340"/>
        <w:spacing w:after="0"/>
        <w:tabs>
          <w:tab w:leader="none" w:pos="94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137" w:lineRule="exact"/>
        <w:rPr>
          <w:sz w:val="20"/>
          <w:szCs w:val="20"/>
          <w:color w:val="auto"/>
        </w:rPr>
      </w:pPr>
    </w:p>
    <w:p>
      <w:pPr>
        <w:jc w:val="right"/>
        <w:ind w:right="28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Underwriting Agreement</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70" w:right="1440"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8"/>
        </w:trPr>
        <w:tc>
          <w:tcPr>
            <w:tcW w:w="40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4"/>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SCHEDULE I</w:t>
            </w:r>
          </w:p>
        </w:tc>
      </w:tr>
      <w:tr>
        <w:trPr>
          <w:trHeight w:val="367"/>
        </w:trPr>
        <w:tc>
          <w:tcPr>
            <w:tcW w:w="40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Pr>
          <w:p>
            <w:pPr>
              <w:spacing w:after="0"/>
              <w:rPr>
                <w:sz w:val="24"/>
                <w:szCs w:val="24"/>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Principal</w:t>
            </w:r>
          </w:p>
        </w:tc>
      </w:tr>
      <w:tr>
        <w:trPr>
          <w:trHeight w:val="148"/>
        </w:trPr>
        <w:tc>
          <w:tcPr>
            <w:tcW w:w="40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10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r>
      <w:tr>
        <w:trPr>
          <w:trHeight w:val="149"/>
        </w:trPr>
        <w:tc>
          <w:tcPr>
            <w:tcW w:w="40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13"/>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2028</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2030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13"/>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2035</w:t>
            </w:r>
          </w:p>
        </w:tc>
        <w:tc>
          <w:tcPr>
            <w:tcW w:w="60" w:type="dxa"/>
            <w:vAlign w:val="bottom"/>
          </w:tcPr>
          <w:p>
            <w:pPr>
              <w:spacing w:after="0"/>
              <w:rPr>
                <w:sz w:val="12"/>
                <w:szCs w:val="12"/>
                <w:color w:val="auto"/>
              </w:rPr>
            </w:pPr>
          </w:p>
        </w:tc>
      </w:tr>
      <w:tr>
        <w:trPr>
          <w:trHeight w:val="148"/>
        </w:trPr>
        <w:tc>
          <w:tcPr>
            <w:tcW w:w="40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w:t>
            </w:r>
          </w:p>
        </w:tc>
        <w:tc>
          <w:tcPr>
            <w:tcW w:w="10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w:t>
            </w:r>
          </w:p>
        </w:tc>
      </w:tr>
      <w:tr>
        <w:trPr>
          <w:trHeight w:val="173"/>
        </w:trPr>
        <w:tc>
          <w:tcPr>
            <w:tcW w:w="406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26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be Purchased</w:t>
            </w: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be Purchased</w:t>
            </w:r>
          </w:p>
        </w:tc>
        <w:tc>
          <w:tcPr>
            <w:tcW w:w="160" w:type="dxa"/>
            <w:vAlign w:val="bottom"/>
          </w:tcPr>
          <w:p>
            <w:pPr>
              <w:spacing w:after="0"/>
              <w:rPr>
                <w:sz w:val="15"/>
                <w:szCs w:val="15"/>
                <w:color w:val="auto"/>
              </w:rPr>
            </w:pPr>
          </w:p>
        </w:tc>
        <w:tc>
          <w:tcPr>
            <w:tcW w:w="10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be Purchased</w:t>
            </w:r>
          </w:p>
        </w:tc>
      </w:tr>
      <w:tr>
        <w:trPr>
          <w:trHeight w:val="209"/>
        </w:trPr>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3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75,000,000</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75,000,000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75,000,000</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75,000,000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50,000,000</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3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75,000,000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75,000,000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50,000,000</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BBVA Securities Inc.</w:t>
            </w: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31,731,000</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31,731,000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21,154,000</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BNP Paribas Securities Corp.</w:t>
            </w:r>
          </w:p>
        </w:tc>
        <w:tc>
          <w:tcPr>
            <w:tcW w:w="3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31,731,000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31,731,000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21,154,000</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31,731,000</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31,731,000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21,154,000</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CIBC World Markets Corp.</w:t>
            </w:r>
          </w:p>
        </w:tc>
        <w:tc>
          <w:tcPr>
            <w:tcW w:w="3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31,731,000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31,731,000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21,154,000</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Credit Agricole Securities (USA) Inc.</w:t>
            </w: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31,731,000</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31,731,000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21,154,000</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Deutsche Bank Securities Inc.</w:t>
            </w:r>
          </w:p>
        </w:tc>
        <w:tc>
          <w:tcPr>
            <w:tcW w:w="3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31,731,000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31,731,000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21,154,000</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ICBC Standard Bank Plc</w:t>
            </w: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31,731,000</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31,731,000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21,154,000</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Intesa Sanpaolo IMI Securities Corp.</w:t>
            </w:r>
          </w:p>
        </w:tc>
        <w:tc>
          <w:tcPr>
            <w:tcW w:w="3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31,731,000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31,731,000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21,154,000</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Lloyds Securities Inc.</w:t>
            </w: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31,731,000</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31,731,000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21,154,000</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Mizuho Securities USA LLC</w:t>
            </w:r>
          </w:p>
        </w:tc>
        <w:tc>
          <w:tcPr>
            <w:tcW w:w="3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31,731,000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31,731,000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21,154,000</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RBC Capital Markets, LLC</w:t>
            </w: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31,731,000</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31,731,000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21,154,000</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Santander US Capital Markets LLC</w:t>
            </w:r>
          </w:p>
        </w:tc>
        <w:tc>
          <w:tcPr>
            <w:tcW w:w="3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31,731,000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31,731,000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21,154,000</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SG Americas Securities, LLC</w:t>
            </w: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31,731,000</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31,731,000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21,154,000</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Academy Securities, Inc.</w:t>
            </w:r>
          </w:p>
        </w:tc>
        <w:tc>
          <w:tcPr>
            <w:tcW w:w="3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14,063,000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14,062,000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9,375,000</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Banco Bradesco BBI S.A.</w:t>
            </w: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14,062,000</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14,063,000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9,375,000</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Cabrera Capital Markets LLC</w:t>
            </w:r>
          </w:p>
        </w:tc>
        <w:tc>
          <w:tcPr>
            <w:tcW w:w="3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14,062,000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14,062,000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9,374,000</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Commerz Markets LLC</w:t>
            </w: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14,062,000</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14,062,000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9,374,000</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Fifth Third Securities, Inc.</w:t>
            </w:r>
          </w:p>
        </w:tc>
        <w:tc>
          <w:tcPr>
            <w:tcW w:w="3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14,062,000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14,062,000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9,375,000</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ING Financial Markets LLC</w:t>
            </w: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14,062,000</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14,062,000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9,375,000</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Loop Capital Markets LLC</w:t>
            </w:r>
          </w:p>
        </w:tc>
        <w:tc>
          <w:tcPr>
            <w:tcW w:w="3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14,062,000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14,062,000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9,375,000</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UniCredit Capital Markets LLC</w:t>
            </w: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14,062,000</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14,062,000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9,375,000</w:t>
            </w:r>
          </w:p>
        </w:tc>
      </w:tr>
      <w:tr>
        <w:trPr>
          <w:trHeight w:val="27"/>
        </w:trPr>
        <w:tc>
          <w:tcPr>
            <w:tcW w:w="40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750,000,000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750,000,000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500,000,000</w:t>
            </w:r>
          </w:p>
        </w:tc>
      </w:tr>
      <w:tr>
        <w:trPr>
          <w:trHeight w:val="20"/>
        </w:trPr>
        <w:tc>
          <w:tcPr>
            <w:tcW w:w="40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4060" w:type="dxa"/>
            <w:vAlign w:val="bottom"/>
          </w:tcPr>
          <w:p>
            <w:pPr>
              <w:spacing w:after="0"/>
              <w:rPr>
                <w:sz w:val="24"/>
                <w:szCs w:val="24"/>
                <w:color w:val="auto"/>
              </w:rPr>
            </w:pPr>
          </w:p>
        </w:tc>
        <w:tc>
          <w:tcPr>
            <w:tcW w:w="3460" w:type="dxa"/>
            <w:vAlign w:val="bottom"/>
            <w:gridSpan w:val="2"/>
          </w:tcPr>
          <w:p>
            <w:pPr>
              <w:jc w:val="right"/>
              <w:ind w:right="1836"/>
              <w:spacing w:after="0"/>
              <w:rPr>
                <w:sz w:val="20"/>
                <w:szCs w:val="20"/>
                <w:color w:val="auto"/>
              </w:rPr>
            </w:pPr>
            <w:r>
              <w:rPr>
                <w:rFonts w:ascii="Times New Roman" w:cs="Times New Roman" w:eastAsia="Times New Roman" w:hAnsi="Times New Roman"/>
                <w:sz w:val="18"/>
                <w:szCs w:val="18"/>
                <w:color w:val="auto"/>
              </w:rPr>
              <w:t>I-1</w:t>
            </w: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II</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Permitted Free Writing Prospectus</w:t>
      </w:r>
    </w:p>
    <w:p>
      <w:pPr>
        <w:spacing w:after="0" w:line="256" w:lineRule="exact"/>
        <w:rPr>
          <w:sz w:val="20"/>
          <w:szCs w:val="20"/>
          <w:color w:val="auto"/>
        </w:rPr>
      </w:pPr>
    </w:p>
    <w:p>
      <w:pPr>
        <w:ind w:left="424" w:hanging="424"/>
        <w:spacing w:after="0"/>
        <w:tabs>
          <w:tab w:leader="none" w:pos="42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term sheet, in the form attached as Annex II-A hereto.</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024"/>
          </w:cols>
          <w:pgMar w:left="436" w:top="266" w:right="4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II-A</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Free Writing Prospectus filed pursuant to Rule 433</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Relating to the Preliminary Prospectus Supplement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dated May 5, 2025 to the Prospectus dated</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January 28, 2025. Registration Statement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No. 333-284557</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PRICING TERM SHEET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Dated as of May 5, 2025</w:t>
      </w:r>
    </w:p>
    <w:p>
      <w:pPr>
        <w:spacing w:after="0" w:line="117"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GENERAL MOTORS COMPANY</w:t>
      </w:r>
    </w:p>
    <w:p>
      <w:pPr>
        <w:spacing w:after="0" w:line="11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5.350% Senior Notes due 2028</w:t>
      </w:r>
    </w:p>
    <w:p>
      <w:pPr>
        <w:spacing w:after="0" w:line="3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5.625% Senior Notes due 2030</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6.250% Senior Notes due 2035</w:t>
      </w:r>
    </w:p>
    <w:p>
      <w:pPr>
        <w:spacing w:after="0" w:line="205"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The information in this pricing term sheet relates only to the offering of the Securities and should be read together with the preliminary prospectus supplement of General Motors Company dated May 5, 2025 (the “Preliminary Prospectus Supplement”) to its prospectus dated January 28, 2025, and supersedes the information in the Preliminary Prospectus Supplement to the extent inconsistent with the information in the Preliminary Prospectus Supplement. In all other respects, this pricing term sheet is qualified in its entirety by reference to the Preliminary Prospectus Supplement. Terms used herein but not defined herein shall have the respective meanings as set forth in the Preliminary Prospectus Supplement. All references to dollar amounts are references to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213995</wp:posOffset>
            </wp:positionV>
            <wp:extent cx="1474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Terms Applicable to the Securities</w:t>
      </w:r>
    </w:p>
    <w:p>
      <w:pPr>
        <w:sectPr>
          <w:pgSz w:w="11900" w:h="16838" w:orient="portrait"/>
          <w:cols w:equalWidth="0" w:num="1">
            <w:col w:w="11020"/>
          </w:cols>
          <w:pgMar w:left="440" w:top="266" w:right="439" w:bottom="1440" w:gutter="0" w:footer="0" w:header="0"/>
        </w:sect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Issuer:</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General Motors Company</w:t>
      </w:r>
    </w:p>
    <w:p>
      <w:pPr>
        <w:spacing w:after="0" w:line="125" w:lineRule="exact"/>
        <w:rPr>
          <w:sz w:val="20"/>
          <w:szCs w:val="20"/>
          <w:color w:val="auto"/>
        </w:rPr>
      </w:pPr>
    </w:p>
    <w:p>
      <w:pPr>
        <w:sectPr>
          <w:pgSz w:w="11900" w:h="16838" w:orient="portrait"/>
          <w:cols w:equalWidth="0" w:num="2">
            <w:col w:w="2480" w:space="720"/>
            <w:col w:w="782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Trade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May 5, 2025</w:t>
      </w:r>
    </w:p>
    <w:p>
      <w:pPr>
        <w:spacing w:after="0" w:line="113" w:lineRule="exact"/>
        <w:rPr>
          <w:sz w:val="20"/>
          <w:szCs w:val="20"/>
          <w:color w:val="auto"/>
        </w:rPr>
      </w:pPr>
    </w:p>
    <w:p>
      <w:pPr>
        <w:sectPr>
          <w:pgSz w:w="11900" w:h="16838" w:orient="portrait"/>
          <w:cols w:equalWidth="0" w:num="2">
            <w:col w:w="2480" w:space="720"/>
            <w:col w:w="782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Settlement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May 7, 2025 (T+2)*</w:t>
      </w:r>
    </w:p>
    <w:p>
      <w:pPr>
        <w:spacing w:after="0" w:line="125" w:lineRule="exact"/>
        <w:rPr>
          <w:sz w:val="20"/>
          <w:szCs w:val="20"/>
          <w:color w:val="auto"/>
        </w:rPr>
      </w:pPr>
    </w:p>
    <w:p>
      <w:pPr>
        <w:sectPr>
          <w:pgSz w:w="11900" w:h="16838" w:orient="portrait"/>
          <w:cols w:equalWidth="0" w:num="2">
            <w:col w:w="2480" w:space="720"/>
            <w:col w:w="782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Citigroup Global Markets Inc.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95" w:lineRule="exact"/>
        <w:rPr>
          <w:sz w:val="20"/>
          <w:szCs w:val="20"/>
          <w:color w:val="auto"/>
        </w:rPr>
      </w:pPr>
    </w:p>
    <w:p>
      <w:pPr>
        <w:sectPr>
          <w:pgSz w:w="11900" w:h="16838" w:orient="portrait"/>
          <w:cols w:equalWidth="0" w:num="2">
            <w:col w:w="2480" w:space="720"/>
            <w:col w:w="782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Joint Lead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BBVA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BNP Paribas Securities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CIBC World Markets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Credit Agricole Securities (USA)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Deutsche Bank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ICBC Standard Bank Plc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Intesa Sanpaolo IMI Securities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Lloyds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Mizuho Securities USA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RBC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Santander US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 Americas Securities, LLC</w:t>
      </w:r>
    </w:p>
    <w:p>
      <w:pPr>
        <w:spacing w:after="0" w:line="153" w:lineRule="exact"/>
        <w:rPr>
          <w:sz w:val="20"/>
          <w:szCs w:val="20"/>
          <w:color w:val="auto"/>
        </w:rPr>
      </w:pPr>
    </w:p>
    <w:p>
      <w:pPr>
        <w:sectPr>
          <w:pgSz w:w="11900" w:h="16838" w:orient="portrait"/>
          <w:cols w:equalWidth="0" w:num="2">
            <w:col w:w="2480" w:space="720"/>
            <w:col w:w="7820"/>
          </w:cols>
          <w:pgMar w:left="440" w:top="266" w:right="4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color w:val="auto"/>
        </w:rPr>
        <w:t>II-A-1</w:t>
      </w:r>
    </w:p>
    <w:p>
      <w:pPr>
        <w:sectPr>
          <w:pgSz w:w="11900" w:h="16838" w:orient="portrait"/>
          <w:cols w:equalWidth="0" w:num="1">
            <w:col w:w="11020"/>
          </w:cols>
          <w:pgMar w:left="440" w:top="266" w:right="4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UniCredit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-206375</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Academy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Loop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Cabrera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Commerz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Banco Bradesco BBI 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ING Financial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Fifth Third Securities, Inc.</w:t>
      </w:r>
    </w:p>
    <w:p>
      <w:pPr>
        <w:spacing w:after="0" w:line="200" w:lineRule="exact"/>
        <w:rPr>
          <w:sz w:val="20"/>
          <w:szCs w:val="20"/>
          <w:color w:val="auto"/>
        </w:rPr>
      </w:pPr>
    </w:p>
    <w:p>
      <w:pPr>
        <w:sectPr>
          <w:pgSz w:w="11900" w:h="16838" w:orient="portrait"/>
          <w:cols w:equalWidth="0" w:num="2">
            <w:col w:w="2480" w:space="720"/>
            <w:col w:w="6819"/>
          </w:cols>
          <w:pgMar w:left="440" w:top="266" w:right="1440" w:bottom="1440" w:gutter="0" w:footer="0" w:header="0"/>
        </w:sectPr>
      </w:pPr>
    </w:p>
    <w:p>
      <w:pPr>
        <w:spacing w:after="0" w:line="232"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Terms Applicable to the</w:t>
      </w:r>
    </w:p>
    <w:p>
      <w:pPr>
        <w:spacing w:after="0" w:line="11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5.350% Senior Notes due 2028</w:t>
      </w:r>
    </w:p>
    <w:p>
      <w:pPr>
        <w:sectPr>
          <w:pgSz w:w="11900" w:h="16838" w:orient="portrait"/>
          <w:cols w:equalWidth="0" w:num="1">
            <w:col w:w="10019"/>
          </w:cols>
          <w:pgMar w:left="440" w:top="266" w:right="1440" w:bottom="1440" w:gutter="0" w:footer="0" w:header="0"/>
          <w:type w:val="continuous"/>
        </w:sect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Title of Securities: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5.350% Senior Notes due 2028</w:t>
      </w:r>
    </w:p>
    <w:p>
      <w:pPr>
        <w:spacing w:after="0" w:line="125" w:lineRule="exact"/>
        <w:rPr>
          <w:sz w:val="20"/>
          <w:szCs w:val="20"/>
          <w:color w:val="auto"/>
        </w:rPr>
      </w:pPr>
    </w:p>
    <w:p>
      <w:pPr>
        <w:sectPr>
          <w:pgSz w:w="11900" w:h="16838" w:orient="portrait"/>
          <w:cols w:equalWidth="0" w:num="2">
            <w:col w:w="2480" w:space="720"/>
            <w:col w:w="6819"/>
          </w:cols>
          <w:pgMar w:left="440" w:top="266"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Security Type: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Senior Unsecured Notes</w:t>
      </w:r>
    </w:p>
    <w:p>
      <w:pPr>
        <w:spacing w:after="0" w:line="125" w:lineRule="exact"/>
        <w:rPr>
          <w:sz w:val="20"/>
          <w:szCs w:val="20"/>
          <w:color w:val="auto"/>
        </w:rPr>
      </w:pPr>
    </w:p>
    <w:p>
      <w:pPr>
        <w:sectPr>
          <w:pgSz w:w="11900" w:h="16838" w:orient="portrait"/>
          <w:cols w:equalWidth="0" w:num="2">
            <w:col w:w="2480" w:space="720"/>
            <w:col w:w="6819"/>
          </w:cols>
          <w:pgMar w:left="440" w:top="266"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Principal Amount: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$750,000,000</w:t>
      </w:r>
    </w:p>
    <w:p>
      <w:pPr>
        <w:spacing w:after="0" w:line="125" w:lineRule="exact"/>
        <w:rPr>
          <w:sz w:val="20"/>
          <w:szCs w:val="20"/>
          <w:color w:val="auto"/>
        </w:rPr>
      </w:pPr>
    </w:p>
    <w:p>
      <w:pPr>
        <w:sectPr>
          <w:pgSz w:w="11900" w:h="16838" w:orient="portrait"/>
          <w:cols w:equalWidth="0" w:num="2">
            <w:col w:w="2480" w:space="720"/>
            <w:col w:w="6819"/>
          </w:cols>
          <w:pgMar w:left="440" w:top="266"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Price to Public:</w:t>
      </w:r>
    </w:p>
    <w:p>
      <w:pPr>
        <w:spacing w:after="0" w:line="20" w:lineRule="exact"/>
        <w:rPr>
          <w:sz w:val="20"/>
          <w:szCs w:val="20"/>
          <w:color w:val="auto"/>
        </w:rPr>
      </w:pPr>
      <w:r>
        <w:rPr>
          <w:sz w:val="20"/>
          <w:szCs w:val="20"/>
          <w:color w:val="auto"/>
        </w:rPr>
        <w:br w:type="column"/>
      </w:r>
    </w:p>
    <w:p>
      <w:pPr>
        <w:jc w:val="center"/>
        <w:ind w:right="1879"/>
        <w:spacing w:after="0"/>
        <w:rPr>
          <w:sz w:val="20"/>
          <w:szCs w:val="20"/>
          <w:color w:val="auto"/>
        </w:rPr>
      </w:pPr>
      <w:r>
        <w:rPr>
          <w:rFonts w:ascii="Times New Roman" w:cs="Times New Roman" w:eastAsia="Times New Roman" w:hAnsi="Times New Roman"/>
          <w:sz w:val="17"/>
          <w:szCs w:val="17"/>
          <w:color w:val="auto"/>
        </w:rPr>
        <w:t>99.942%, plus accrued and unpaid interest, if any, from May 7, 2025</w:t>
      </w:r>
    </w:p>
    <w:p>
      <w:pPr>
        <w:spacing w:after="0" w:line="125" w:lineRule="exact"/>
        <w:rPr>
          <w:sz w:val="20"/>
          <w:szCs w:val="20"/>
          <w:color w:val="auto"/>
        </w:rPr>
      </w:pPr>
    </w:p>
    <w:p>
      <w:pPr>
        <w:sectPr>
          <w:pgSz w:w="11900" w:h="16838" w:orient="portrait"/>
          <w:cols w:equalWidth="0" w:num="2">
            <w:col w:w="2480" w:space="720"/>
            <w:col w:w="6819"/>
          </w:cols>
          <w:pgMar w:left="440" w:top="266"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Maturity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April 15, 2028</w:t>
      </w:r>
    </w:p>
    <w:p>
      <w:pPr>
        <w:spacing w:after="0" w:line="113" w:lineRule="exact"/>
        <w:rPr>
          <w:sz w:val="20"/>
          <w:szCs w:val="20"/>
          <w:color w:val="auto"/>
        </w:rPr>
      </w:pPr>
    </w:p>
    <w:p>
      <w:pPr>
        <w:sectPr>
          <w:pgSz w:w="11900" w:h="16838" w:orient="portrait"/>
          <w:cols w:equalWidth="0" w:num="2">
            <w:col w:w="2480" w:space="720"/>
            <w:col w:w="6819"/>
          </w:cols>
          <w:pgMar w:left="440" w:top="266"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Coupon (Interest Rate):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5.350% per year</w:t>
      </w:r>
    </w:p>
    <w:p>
      <w:pPr>
        <w:spacing w:after="0" w:line="125" w:lineRule="exact"/>
        <w:rPr>
          <w:sz w:val="20"/>
          <w:szCs w:val="20"/>
          <w:color w:val="auto"/>
        </w:rPr>
      </w:pPr>
    </w:p>
    <w:p>
      <w:pPr>
        <w:sectPr>
          <w:pgSz w:w="11900" w:h="16838" w:orient="portrait"/>
          <w:cols w:equalWidth="0" w:num="2">
            <w:col w:w="2480" w:space="720"/>
            <w:col w:w="6819"/>
          </w:cols>
          <w:pgMar w:left="440" w:top="266"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Yield to Maturity: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5.373%</w:t>
      </w:r>
    </w:p>
    <w:p>
      <w:pPr>
        <w:spacing w:after="0" w:line="113" w:lineRule="exact"/>
        <w:rPr>
          <w:sz w:val="20"/>
          <w:szCs w:val="20"/>
          <w:color w:val="auto"/>
        </w:rPr>
      </w:pPr>
    </w:p>
    <w:p>
      <w:pPr>
        <w:sectPr>
          <w:pgSz w:w="11900" w:h="16838" w:orient="portrait"/>
          <w:cols w:equalWidth="0" w:num="2">
            <w:col w:w="2480" w:space="720"/>
            <w:col w:w="6819"/>
          </w:cols>
          <w:pgMar w:left="440" w:top="266"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Spread to Benchmark Treasury: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+ 155 bps</w:t>
      </w:r>
    </w:p>
    <w:p>
      <w:pPr>
        <w:spacing w:after="0" w:line="125" w:lineRule="exact"/>
        <w:rPr>
          <w:sz w:val="20"/>
          <w:szCs w:val="20"/>
          <w:color w:val="auto"/>
        </w:rPr>
      </w:pPr>
    </w:p>
    <w:p>
      <w:pPr>
        <w:sectPr>
          <w:pgSz w:w="11900" w:h="16838" w:orient="portrait"/>
          <w:cols w:equalWidth="0" w:num="2">
            <w:col w:w="2480" w:space="720"/>
            <w:col w:w="6819"/>
          </w:cols>
          <w:pgMar w:left="440" w:top="266"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Benchmark Treasury: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3.750% due April 15, 2028</w:t>
      </w:r>
    </w:p>
    <w:p>
      <w:pPr>
        <w:spacing w:after="0" w:line="125" w:lineRule="exact"/>
        <w:rPr>
          <w:sz w:val="20"/>
          <w:szCs w:val="20"/>
          <w:color w:val="auto"/>
        </w:rPr>
      </w:pPr>
    </w:p>
    <w:p>
      <w:pPr>
        <w:sectPr>
          <w:pgSz w:w="11900" w:h="16838" w:orient="portrait"/>
          <w:cols w:equalWidth="0" w:num="2">
            <w:col w:w="2480" w:space="720"/>
            <w:col w:w="6819"/>
          </w:cols>
          <w:pgMar w:left="440" w:top="266"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Benchmark Treasury Price and Yield: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99-25+; 3.823%</w:t>
      </w:r>
    </w:p>
    <w:p>
      <w:pPr>
        <w:spacing w:after="0" w:line="125" w:lineRule="exact"/>
        <w:rPr>
          <w:sz w:val="20"/>
          <w:szCs w:val="20"/>
          <w:color w:val="auto"/>
        </w:rPr>
      </w:pPr>
    </w:p>
    <w:p>
      <w:pPr>
        <w:sectPr>
          <w:pgSz w:w="11900" w:h="16838" w:orient="portrait"/>
          <w:cols w:equalWidth="0" w:num="2">
            <w:col w:w="2920" w:space="280"/>
            <w:col w:w="6819"/>
          </w:cols>
          <w:pgMar w:left="440" w:top="266"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Interest Payment Dates: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April 15 and October 15, beginning October 15, 2025</w:t>
      </w:r>
    </w:p>
    <w:p>
      <w:pPr>
        <w:spacing w:after="0" w:line="124" w:lineRule="exact"/>
        <w:rPr>
          <w:sz w:val="20"/>
          <w:szCs w:val="20"/>
          <w:color w:val="auto"/>
        </w:rPr>
      </w:pPr>
    </w:p>
    <w:p>
      <w:pPr>
        <w:sectPr>
          <w:pgSz w:w="11900" w:h="16838" w:orient="portrait"/>
          <w:cols w:equalWidth="0" w:num="2">
            <w:col w:w="2480" w:space="720"/>
            <w:col w:w="6819"/>
          </w:cols>
          <w:pgMar w:left="440" w:top="266"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Record Dates: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April 1 and October 1</w:t>
      </w:r>
    </w:p>
    <w:p>
      <w:pPr>
        <w:spacing w:after="0" w:line="124" w:lineRule="exact"/>
        <w:rPr>
          <w:sz w:val="20"/>
          <w:szCs w:val="20"/>
          <w:color w:val="auto"/>
        </w:rPr>
      </w:pPr>
    </w:p>
    <w:p>
      <w:pPr>
        <w:sectPr>
          <w:pgSz w:w="11900" w:h="16838" w:orient="portrait"/>
          <w:cols w:equalWidth="0" w:num="2">
            <w:col w:w="2480" w:space="720"/>
            <w:col w:w="6819"/>
          </w:cols>
          <w:pgMar w:left="440" w:top="266"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Day Count Convention: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30 / 360</w:t>
      </w:r>
    </w:p>
    <w:p>
      <w:pPr>
        <w:spacing w:after="0" w:line="125" w:lineRule="exact"/>
        <w:rPr>
          <w:sz w:val="20"/>
          <w:szCs w:val="20"/>
          <w:color w:val="auto"/>
        </w:rPr>
      </w:pPr>
    </w:p>
    <w:p>
      <w:pPr>
        <w:sectPr>
          <w:pgSz w:w="11900" w:h="16838" w:orient="portrait"/>
          <w:cols w:equalWidth="0" w:num="2">
            <w:col w:w="2480" w:space="720"/>
            <w:col w:w="6819"/>
          </w:cols>
          <w:pgMar w:left="440" w:top="266"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Make-whole Call: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25 bps prior to March 15, 2028 (one month prior to maturity)</w:t>
      </w:r>
    </w:p>
    <w:p>
      <w:pPr>
        <w:spacing w:after="0" w:line="124" w:lineRule="exact"/>
        <w:rPr>
          <w:sz w:val="20"/>
          <w:szCs w:val="20"/>
          <w:color w:val="auto"/>
        </w:rPr>
      </w:pPr>
    </w:p>
    <w:p>
      <w:pPr>
        <w:sectPr>
          <w:pgSz w:w="11900" w:h="16838" w:orient="portrait"/>
          <w:cols w:equalWidth="0" w:num="2">
            <w:col w:w="2480" w:space="720"/>
            <w:col w:w="6819"/>
          </w:cols>
          <w:pgMar w:left="440" w:top="266"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Par Call:</w:t>
      </w:r>
    </w:p>
    <w:p>
      <w:pPr>
        <w:spacing w:after="0" w:line="20" w:lineRule="exact"/>
        <w:rPr>
          <w:sz w:val="20"/>
          <w:szCs w:val="20"/>
          <w:color w:val="auto"/>
        </w:rPr>
      </w:pPr>
      <w:r>
        <w:rPr>
          <w:sz w:val="20"/>
          <w:szCs w:val="20"/>
          <w:color w:val="auto"/>
        </w:rPr>
        <w:br w:type="column"/>
      </w:r>
    </w:p>
    <w:p>
      <w:pPr>
        <w:jc w:val="center"/>
        <w:ind w:right="2679"/>
        <w:spacing w:after="0"/>
        <w:rPr>
          <w:sz w:val="20"/>
          <w:szCs w:val="20"/>
          <w:color w:val="auto"/>
        </w:rPr>
      </w:pPr>
      <w:r>
        <w:rPr>
          <w:rFonts w:ascii="Times New Roman" w:cs="Times New Roman" w:eastAsia="Times New Roman" w:hAnsi="Times New Roman"/>
          <w:sz w:val="17"/>
          <w:szCs w:val="17"/>
          <w:color w:val="auto"/>
        </w:rPr>
        <w:t>On or after March 15, 2028 (one month prior to maturity)</w:t>
      </w:r>
    </w:p>
    <w:p>
      <w:pPr>
        <w:spacing w:after="0" w:line="125" w:lineRule="exact"/>
        <w:rPr>
          <w:sz w:val="20"/>
          <w:szCs w:val="20"/>
          <w:color w:val="auto"/>
        </w:rPr>
      </w:pPr>
    </w:p>
    <w:p>
      <w:pPr>
        <w:sectPr>
          <w:pgSz w:w="11900" w:h="16838" w:orient="portrait"/>
          <w:cols w:equalWidth="0" w:num="2">
            <w:col w:w="2480" w:space="720"/>
            <w:col w:w="6819"/>
          </w:cols>
          <w:pgMar w:left="440" w:top="266"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Denominations: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$2,000 and integral multiples of $1,000 in excess thereof</w:t>
      </w:r>
    </w:p>
    <w:p>
      <w:pPr>
        <w:spacing w:after="0" w:line="125" w:lineRule="exact"/>
        <w:rPr>
          <w:sz w:val="20"/>
          <w:szCs w:val="20"/>
          <w:color w:val="auto"/>
        </w:rPr>
      </w:pPr>
    </w:p>
    <w:p>
      <w:pPr>
        <w:sectPr>
          <w:pgSz w:w="11900" w:h="16838" w:orient="portrait"/>
          <w:cols w:equalWidth="0" w:num="2">
            <w:col w:w="2480" w:space="720"/>
            <w:col w:w="6819"/>
          </w:cols>
          <w:pgMar w:left="440" w:top="266"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CUSIP / 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37045V BC3 / US37045VBC37</w:t>
      </w:r>
    </w:p>
    <w:p>
      <w:pPr>
        <w:spacing w:after="0" w:line="169" w:lineRule="exact"/>
        <w:rPr>
          <w:sz w:val="20"/>
          <w:szCs w:val="20"/>
          <w:color w:val="auto"/>
        </w:rPr>
      </w:pPr>
    </w:p>
    <w:p>
      <w:pPr>
        <w:sectPr>
          <w:pgSz w:w="11900" w:h="16838" w:orient="portrait"/>
          <w:cols w:equalWidth="0" w:num="2">
            <w:col w:w="2480" w:space="720"/>
            <w:col w:w="6819"/>
          </w:cols>
          <w:pgMar w:left="440" w:top="266" w:right="1440" w:bottom="1440" w:gutter="0" w:footer="0" w:header="0"/>
          <w:type w:val="continuous"/>
        </w:sectPr>
      </w:pPr>
    </w:p>
    <w:p>
      <w:pPr>
        <w:ind w:left="5280"/>
        <w:spacing w:after="0"/>
        <w:rPr>
          <w:sz w:val="20"/>
          <w:szCs w:val="20"/>
          <w:color w:val="auto"/>
        </w:rPr>
      </w:pPr>
      <w:r>
        <w:rPr>
          <w:rFonts w:ascii="Times New Roman" w:cs="Times New Roman" w:eastAsia="Times New Roman" w:hAnsi="Times New Roman"/>
          <w:sz w:val="17"/>
          <w:szCs w:val="17"/>
          <w:color w:val="auto"/>
        </w:rPr>
        <w:t>II-A-2</w:t>
      </w:r>
    </w:p>
    <w:p>
      <w:pPr>
        <w:sectPr>
          <w:pgSz w:w="11900" w:h="16838" w:orient="portrait"/>
          <w:cols w:equalWidth="0" w:num="1">
            <w:col w:w="10019"/>
          </w:cols>
          <w:pgMar w:left="440" w:top="266" w:right="1440" w:bottom="1440" w:gutter="0" w:footer="0" w:header="0"/>
          <w:type w:val="continuous"/>
        </w:sectPr>
      </w:pPr>
    </w:p>
    <w:bookmarkStart w:id="39" w:name="page40"/>
    <w:bookmarkEnd w:id="39"/>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Terms Applicable to the</w:t>
      </w:r>
    </w:p>
    <w:p>
      <w:pPr>
        <w:spacing w:after="0" w:line="11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5.625% Senior Notes due 2030</w:t>
      </w:r>
    </w:p>
    <w:p>
      <w:pPr>
        <w:sectPr>
          <w:pgSz w:w="11900" w:h="16838" w:orient="portrait"/>
          <w:cols w:equalWidth="0" w:num="1">
            <w:col w:w="10019"/>
          </w:cols>
          <w:pgMar w:left="440" w:top="266" w:right="1440" w:bottom="1440" w:gutter="0" w:footer="0" w:header="0"/>
        </w:sect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Title of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Type: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Amount: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Price to Public: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Maturity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Coupon (Interest Rate):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Yield to Maturity: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Spread to Benchmark Treasury: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Benchmark Treasury: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Benchmark Treasury Price and Yield: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Payment Dates: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Dates: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Day Count Convention: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Make-whole Call: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 Call: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Denominations: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CUSIP / ISIN:</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5.625% Senior Notes due 2030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Unsecured Notes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$750,000,000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99.949%, plus accrued and unpaid interest, if any, from May 7, 2025</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15, 2030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5.625% per year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5.638%</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+ 170 bps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3.875% due April 30, 2030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99-23; 3.938%</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15 and October 15, beginning October 15,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 and October 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 / 360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 bps prior to March 15, 2030 (one month prior to maturity)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or after March 15, 2030 (one month prior to maturity)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$2,000 and integral multiples of $1,000 in excess thereof</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37045V BA7 / US37045VBA70</w:t>
      </w:r>
    </w:p>
    <w:p>
      <w:pPr>
        <w:spacing w:after="0" w:line="200" w:lineRule="exact"/>
        <w:rPr>
          <w:sz w:val="20"/>
          <w:szCs w:val="20"/>
          <w:color w:val="auto"/>
        </w:rPr>
      </w:pPr>
    </w:p>
    <w:p>
      <w:pPr>
        <w:sectPr>
          <w:pgSz w:w="11900" w:h="16838" w:orient="portrait"/>
          <w:cols w:equalWidth="0" w:num="2">
            <w:col w:w="2920" w:space="280"/>
            <w:col w:w="6819"/>
          </w:cols>
          <w:pgMar w:left="440" w:top="266" w:right="1440" w:bottom="1440" w:gutter="0" w:footer="0" w:header="0"/>
          <w:type w:val="continuous"/>
        </w:sectPr>
      </w:pPr>
    </w:p>
    <w:p>
      <w:pPr>
        <w:spacing w:after="0" w:line="23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Terms Applicable to the</w:t>
      </w:r>
    </w:p>
    <w:p>
      <w:pPr>
        <w:spacing w:after="0" w:line="11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6.250% Senior Notes due 2035</w:t>
      </w:r>
    </w:p>
    <w:p>
      <w:pPr>
        <w:sectPr>
          <w:pgSz w:w="11900" w:h="16838" w:orient="portrait"/>
          <w:cols w:equalWidth="0" w:num="1">
            <w:col w:w="10019"/>
          </w:cols>
          <w:pgMar w:left="440" w:top="266" w:right="1440" w:bottom="1440" w:gutter="0" w:footer="0" w:header="0"/>
          <w:type w:val="continuous"/>
        </w:sect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Title of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Type: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Amount: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Price to Public: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Maturity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Coupon (Interest Rate):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Yield to Maturity: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Spread to Benchmark Treasury: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Benchmark Treasury: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Benchmark Treasury Price and Yield: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Payment Dates: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6.250% Senior Notes due 2035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Unsecured Notes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$500,000,000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99.735%, plus accrued and unpaid interest, if any, from May 7, 2025</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15, 2035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6.250% per year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6.287%</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+ 195 bps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4.625% due February 15, 2035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102-08+; 4.337%</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15 and October 15, beginning October 15, 2025</w:t>
      </w:r>
    </w:p>
    <w:p>
      <w:pPr>
        <w:spacing w:after="0" w:line="158"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II-A-3</w:t>
      </w:r>
    </w:p>
    <w:p>
      <w:pPr>
        <w:sectPr>
          <w:pgSz w:w="11900" w:h="16838" w:orient="portrait"/>
          <w:cols w:equalWidth="0" w:num="2">
            <w:col w:w="2920" w:space="280"/>
            <w:col w:w="6819"/>
          </w:cols>
          <w:pgMar w:left="440" w:top="266" w:right="1440" w:bottom="1440" w:gutter="0" w:footer="0" w:header="0"/>
          <w:type w:val="continuous"/>
        </w:sectPr>
      </w:pPr>
    </w:p>
    <w:bookmarkStart w:id="40" w:name="page41"/>
    <w:bookmarkEnd w:id="40"/>
    <w:tbl>
      <w:tblPr>
        <w:tblLayout w:type="fixed"/>
        <w:tblInd w:w="4" w:type="dxa"/>
        <w:tblCellMar>
          <w:top w:w="0" w:type="dxa"/>
          <w:left w:w="0" w:type="dxa"/>
          <w:bottom w:w="0" w:type="dxa"/>
          <w:right w:w="0" w:type="dxa"/>
        </w:tblCellMar>
      </w:tblPr>
      <w:tr>
        <w:trPr>
          <w:trHeight w:val="238"/>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Record Dates:</w:t>
            </w:r>
          </w:p>
        </w:tc>
        <w:tc>
          <w:tcPr>
            <w:tcW w:w="534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April 1 and October 1</w:t>
            </w:r>
          </w:p>
        </w:tc>
      </w:tr>
      <w:tr>
        <w:trPr>
          <w:trHeight w:val="324"/>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Day Count Convention:</w:t>
            </w:r>
          </w:p>
        </w:tc>
        <w:tc>
          <w:tcPr>
            <w:tcW w:w="18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30/360</w:t>
            </w:r>
          </w:p>
        </w:tc>
        <w:tc>
          <w:tcPr>
            <w:tcW w:w="23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24"/>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Make-whole Call:</w:t>
            </w:r>
          </w:p>
        </w:tc>
        <w:tc>
          <w:tcPr>
            <w:tcW w:w="534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w w:val="99"/>
              </w:rPr>
              <w:t>30 bps prior to January 15, 2035 (three months prior to maturity)</w:t>
            </w:r>
          </w:p>
        </w:tc>
      </w:tr>
      <w:tr>
        <w:trPr>
          <w:trHeight w:val="324"/>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 Call:</w:t>
            </w:r>
          </w:p>
        </w:tc>
        <w:tc>
          <w:tcPr>
            <w:tcW w:w="534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On or after January 15, 2035 (three months prior to maturity)</w:t>
            </w:r>
          </w:p>
        </w:tc>
      </w:tr>
      <w:tr>
        <w:trPr>
          <w:trHeight w:val="324"/>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Denominations:</w:t>
            </w:r>
          </w:p>
        </w:tc>
        <w:tc>
          <w:tcPr>
            <w:tcW w:w="534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$2,000 and integral multiples of $1,000 in excess thereof</w:t>
            </w:r>
          </w:p>
        </w:tc>
      </w:tr>
      <w:tr>
        <w:trPr>
          <w:trHeight w:val="324"/>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CUSIP / ISIN:</w:t>
            </w:r>
          </w:p>
        </w:tc>
        <w:tc>
          <w:tcPr>
            <w:tcW w:w="534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37045V BB5 / US37045VBB53</w:t>
            </w:r>
          </w:p>
        </w:tc>
      </w:tr>
      <w:tr>
        <w:trPr>
          <w:trHeight w:val="351"/>
        </w:trPr>
        <w:tc>
          <w:tcPr>
            <w:tcW w:w="1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200" w:type="dxa"/>
            <w:vAlign w:val="bottom"/>
          </w:tcPr>
          <w:p>
            <w:pPr>
              <w:spacing w:after="0"/>
              <w:rPr>
                <w:sz w:val="24"/>
                <w:szCs w:val="24"/>
                <w:color w:val="auto"/>
              </w:rPr>
            </w:pPr>
          </w:p>
        </w:tc>
      </w:tr>
      <w:tr>
        <w:trPr>
          <w:trHeight w:val="425"/>
        </w:trPr>
        <w:tc>
          <w:tcPr>
            <w:tcW w:w="1220" w:type="dxa"/>
            <w:vAlign w:val="bottom"/>
            <w:tcBorders>
              <w:bottom w:val="single" w:sz="8" w:color="auto"/>
            </w:tcBorders>
          </w:tcPr>
          <w:p>
            <w:pPr>
              <w:spacing w:after="0"/>
              <w:rPr>
                <w:sz w:val="24"/>
                <w:szCs w:val="24"/>
                <w:color w:val="auto"/>
              </w:rPr>
            </w:pPr>
          </w:p>
        </w:tc>
        <w:tc>
          <w:tcPr>
            <w:tcW w:w="13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right="20" w:hanging="424"/>
        <w:spacing w:after="0" w:line="278" w:lineRule="auto"/>
        <w:tabs>
          <w:tab w:leader="none" w:pos="424" w:val="left"/>
        </w:tabs>
        <w:numPr>
          <w:ilvl w:val="0"/>
          <w:numId w:val="3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Under Rule 15c6-1 of the Exchange Act, trades in the secondary market are generally required to settle in one business day, unless the parties to any such trade expressly agree otherwise. Accordingly, purchasers who wish to trade notes before the first business day prior to</w:t>
      </w:r>
    </w:p>
    <w:p>
      <w:pPr>
        <w:spacing w:after="0" w:line="1" w:lineRule="exact"/>
        <w:rPr>
          <w:sz w:val="20"/>
          <w:szCs w:val="20"/>
          <w:color w:val="auto"/>
        </w:rPr>
      </w:pPr>
    </w:p>
    <w:p>
      <w:pPr>
        <w:ind w:left="424" w:right="300"/>
        <w:spacing w:after="0" w:line="250" w:lineRule="auto"/>
        <w:rPr>
          <w:sz w:val="20"/>
          <w:szCs w:val="20"/>
          <w:color w:val="auto"/>
        </w:rPr>
      </w:pPr>
      <w:r>
        <w:rPr>
          <w:rFonts w:ascii="Times New Roman" w:cs="Times New Roman" w:eastAsia="Times New Roman" w:hAnsi="Times New Roman"/>
          <w:sz w:val="18"/>
          <w:szCs w:val="18"/>
          <w:b w:val="1"/>
          <w:bCs w:val="1"/>
          <w:color w:val="auto"/>
        </w:rPr>
        <w:t>settlement will be required, by virtue of the fact that the notes initially will settle T + 2, to specify an alternative settlement cycle at the time of any such trade to prevent a failed settlement. Purchasers of the notes who wish to trade the notes prior to settlement should consult their own advisor.</w:t>
      </w:r>
    </w:p>
    <w:p>
      <w:pPr>
        <w:spacing w:after="0" w:line="1" w:lineRule="exact"/>
        <w:rPr>
          <w:sz w:val="20"/>
          <w:szCs w:val="20"/>
          <w:color w:val="auto"/>
        </w:rPr>
      </w:pPr>
    </w:p>
    <w:p>
      <w:pPr>
        <w:ind w:left="424" w:hanging="424"/>
        <w:spacing w:after="0"/>
        <w:tabs>
          <w:tab w:leader="none" w:pos="424"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A security rating is not a recommendation to buy, sell or hold securities and may be subject to revision or withdrawal at any time.</w:t>
      </w:r>
    </w:p>
    <w:p>
      <w:pPr>
        <w:spacing w:after="0" w:line="203"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b w:val="1"/>
          <w:bCs w:val="1"/>
          <w:color w:val="auto"/>
        </w:rPr>
        <w:t>This communication is for informational purposes only and does not constitute an offer to sell, or a solicitation of an offer to buy, any security. No offer to buy securities described herein can be accepted, and no part of the purchase price thereof can be received, unless the person making such investment decision has received and reviewed the information contained in the relevant prospectus in making their investment decisions. 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website at www.sec.gov. Alternatively, the issuer, any underwriter or any dealer participating in the offering will arrange to send you the prospectus if you request it by contacting Citigroup Global Markets Inc., c/o Broadridge Financial Solutions, 1155 Long Island Avenue, Edgewood, NY 11717 or by telephone at 1-800-831-9146, or Goldman Sachs &amp; Co. LLC, Attention: Prospectus Department, 200 West Street, New York, NY 10282, telephone: 1-866-471-2526, facsimile: 212-902-9316 or by emailing prospectus-ny@ny.email.gs.com, or Wells Fargo Securities, LLC, 608 2nd Avenue South, Suite 1000, Minneapolis, MN 55402, Attn: WFS Customer Service, Telephone: +1-800-645-3751, email: wfscustomerservice@wellsfargo.com.</w:t>
      </w:r>
    </w:p>
    <w:p>
      <w:pPr>
        <w:spacing w:after="0" w:line="190" w:lineRule="exact"/>
        <w:rPr>
          <w:sz w:val="20"/>
          <w:szCs w:val="20"/>
          <w:color w:val="auto"/>
        </w:rPr>
      </w:pPr>
    </w:p>
    <w:p>
      <w:pPr>
        <w:jc w:val="both"/>
        <w:ind w:left="4" w:right="400"/>
        <w:spacing w:after="0" w:line="268" w:lineRule="auto"/>
        <w:rPr>
          <w:sz w:val="20"/>
          <w:szCs w:val="20"/>
          <w:color w:val="auto"/>
        </w:rPr>
      </w:pPr>
      <w:r>
        <w:rPr>
          <w:rFonts w:ascii="Times New Roman" w:cs="Times New Roman" w:eastAsia="Times New Roman" w:hAnsi="Times New Roman"/>
          <w:sz w:val="18"/>
          <w:szCs w:val="18"/>
          <w:b w:val="1"/>
          <w:bCs w:val="1"/>
          <w:color w:val="auto"/>
        </w:rPr>
        <w:t>This communication is not intended to be a confirmation as required under Rule 10b-10 of the Securities Exchange Act of 1934. A formal confirmation will be delivered to you separately. This notice shall not constitute an offer to sell or a solicitation of an offer to buy, nor shall there be any sale of the Securities in any state or jurisdiction in which such offer, solicitation or sale would be unlawful.</w:t>
      </w:r>
    </w:p>
    <w:p>
      <w:pPr>
        <w:spacing w:after="0" w:line="171" w:lineRule="exact"/>
        <w:rPr>
          <w:sz w:val="20"/>
          <w:szCs w:val="20"/>
          <w:color w:val="auto"/>
        </w:rPr>
      </w:pPr>
    </w:p>
    <w:p>
      <w:pPr>
        <w:ind w:left="4" w:right="380"/>
        <w:spacing w:after="0" w:line="291" w:lineRule="auto"/>
        <w:rPr>
          <w:sz w:val="20"/>
          <w:szCs w:val="20"/>
          <w:color w:val="auto"/>
        </w:rPr>
      </w:pPr>
      <w:r>
        <w:rPr>
          <w:rFonts w:ascii="Times New Roman" w:cs="Times New Roman" w:eastAsia="Times New Roman" w:hAnsi="Times New Roman"/>
          <w:sz w:val="17"/>
          <w:szCs w:val="17"/>
          <w:b w:val="1"/>
          <w:bCs w:val="1"/>
          <w:color w:val="auto"/>
        </w:rPr>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p>
      <w:pPr>
        <w:spacing w:after="0" w:line="8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II-A-4</w:t>
      </w:r>
    </w:p>
    <w:p>
      <w:pPr>
        <w:sectPr>
          <w:pgSz w:w="11900" w:h="16838" w:orient="portrait"/>
          <w:cols w:equalWidth="0" w:num="1">
            <w:col w:w="10984"/>
          </w:cols>
          <w:pgMar w:left="436" w:top="266" w:right="47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 of Principal Subsidiaries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OnStar,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Motors of Canada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Motors de Mexico, S. de R.L. de C.V.</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Motors do Brasil Ltda.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GM Korea Company</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III-1</w:t>
      </w:r>
    </w:p>
    <w:p>
      <w:pPr>
        <w:sectPr>
          <w:pgSz w:w="11900" w:h="16838" w:orient="portrait"/>
          <w:cols w:equalWidth="0" w:num="1">
            <w:col w:w="11020"/>
          </w:cols>
          <w:pgMar w:left="440" w:top="266" w:right="4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4.3</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GENERAL MOTORS COMPANY</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THE BANK OF NEW YORK MELLON,</w:t>
      </w:r>
    </w:p>
    <w:p>
      <w:pPr>
        <w:spacing w:after="0" w:line="3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228600</wp:posOffset>
            </wp:positionV>
            <wp:extent cx="1474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b w:val="1"/>
          <w:bCs w:val="1"/>
          <w:color w:val="auto"/>
        </w:rPr>
        <w:t>EIGHTH SUPPLEMENTAL INDENTURE</w:t>
      </w:r>
    </w:p>
    <w:p>
      <w:pPr>
        <w:spacing w:after="0" w:line="23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Dated as of May 7, 2025</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INDENTURE</w:t>
      </w:r>
    </w:p>
    <w:p>
      <w:pPr>
        <w:spacing w:after="0" w:line="225"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Dated as of September 27,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251460</wp:posOffset>
            </wp:positionV>
            <wp:extent cx="14744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5.350% S</w:t>
      </w:r>
      <w:r>
        <w:rPr>
          <w:rFonts w:ascii="Times New Roman" w:cs="Times New Roman" w:eastAsia="Times New Roman" w:hAnsi="Times New Roman"/>
          <w:sz w:val="14"/>
          <w:szCs w:val="14"/>
          <w:b w:val="1"/>
          <w:bCs w:val="1"/>
          <w:color w:val="auto"/>
        </w:rPr>
        <w:t>ENIOR</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OTES DUE</w:t>
      </w:r>
      <w:r>
        <w:rPr>
          <w:rFonts w:ascii="Times New Roman" w:cs="Times New Roman" w:eastAsia="Times New Roman" w:hAnsi="Times New Roman"/>
          <w:sz w:val="18"/>
          <w:szCs w:val="18"/>
          <w:b w:val="1"/>
          <w:bCs w:val="1"/>
          <w:color w:val="auto"/>
        </w:rPr>
        <w:t xml:space="preserve"> 2028</w:t>
      </w:r>
    </w:p>
    <w:p>
      <w:pPr>
        <w:spacing w:after="0" w:line="225"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5.625% S</w:t>
      </w:r>
      <w:r>
        <w:rPr>
          <w:rFonts w:ascii="Times New Roman" w:cs="Times New Roman" w:eastAsia="Times New Roman" w:hAnsi="Times New Roman"/>
          <w:sz w:val="14"/>
          <w:szCs w:val="14"/>
          <w:b w:val="1"/>
          <w:bCs w:val="1"/>
          <w:color w:val="auto"/>
        </w:rPr>
        <w:t>ENIOR</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OTES DUE</w:t>
      </w:r>
      <w:r>
        <w:rPr>
          <w:rFonts w:ascii="Times New Roman" w:cs="Times New Roman" w:eastAsia="Times New Roman" w:hAnsi="Times New Roman"/>
          <w:sz w:val="18"/>
          <w:szCs w:val="18"/>
          <w:b w:val="1"/>
          <w:bCs w:val="1"/>
          <w:color w:val="auto"/>
        </w:rPr>
        <w:t xml:space="preserve"> 2030</w:t>
      </w:r>
    </w:p>
    <w:p>
      <w:pPr>
        <w:spacing w:after="0" w:line="225"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6.250% S</w:t>
      </w:r>
      <w:r>
        <w:rPr>
          <w:rFonts w:ascii="Times New Roman" w:cs="Times New Roman" w:eastAsia="Times New Roman" w:hAnsi="Times New Roman"/>
          <w:sz w:val="14"/>
          <w:szCs w:val="14"/>
          <w:b w:val="1"/>
          <w:bCs w:val="1"/>
          <w:color w:val="auto"/>
        </w:rPr>
        <w:t>ENIOR</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OTES DUE</w:t>
      </w:r>
      <w:r>
        <w:rPr>
          <w:rFonts w:ascii="Times New Roman" w:cs="Times New Roman" w:eastAsia="Times New Roman" w:hAnsi="Times New Roman"/>
          <w:sz w:val="18"/>
          <w:szCs w:val="18"/>
          <w:b w:val="1"/>
          <w:bCs w:val="1"/>
          <w:color w:val="auto"/>
        </w:rPr>
        <w:t xml:space="preserve"> 2035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242570</wp:posOffset>
            </wp:positionV>
            <wp:extent cx="1474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43" w:name="page44"/>
    <w:bookmarkEnd w:id="43"/>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00" w:type="dxa"/>
            <w:vAlign w:val="bottom"/>
          </w:tcPr>
          <w:p>
            <w:pPr>
              <w:spacing w:after="0"/>
              <w:rPr>
                <w:sz w:val="14"/>
                <w:szCs w:val="14"/>
                <w:color w:val="auto"/>
              </w:rPr>
            </w:pPr>
          </w:p>
        </w:tc>
        <w:tc>
          <w:tcPr>
            <w:tcW w:w="9120" w:type="dxa"/>
            <w:vAlign w:val="bottom"/>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P</w:t>
            </w:r>
            <w:r>
              <w:rPr>
                <w:rFonts w:ascii="Times New Roman" w:cs="Times New Roman" w:eastAsia="Times New Roman" w:hAnsi="Times New Roman"/>
                <w:sz w:val="11"/>
                <w:szCs w:val="11"/>
                <w:color w:val="auto"/>
              </w:rPr>
              <w:t>AGE</w:t>
            </w:r>
          </w:p>
        </w:tc>
      </w:tr>
      <w:tr>
        <w:trPr>
          <w:trHeight w:val="394"/>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ARTICLE 1</w:t>
            </w:r>
          </w:p>
        </w:tc>
        <w:tc>
          <w:tcPr>
            <w:tcW w:w="91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34"/>
        </w:trPr>
        <w:tc>
          <w:tcPr>
            <w:tcW w:w="10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DEFINITIONS AND OTHER PROVISIONS OF GENERAL APPLICATION</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04"/>
        </w:trPr>
        <w:tc>
          <w:tcPr>
            <w:tcW w:w="106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i w:val="1"/>
                <w:iCs w:val="1"/>
                <w:color w:val="auto"/>
              </w:rPr>
              <w:t>Definition of Terms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6"/>
        </w:trPr>
        <w:tc>
          <w:tcPr>
            <w:tcW w:w="106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i w:val="1"/>
                <w:iCs w:val="1"/>
                <w:color w:val="auto"/>
              </w:rPr>
              <w:t>Relationship with Base Indenture</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0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ARTICLE 2</w:t>
            </w:r>
          </w:p>
        </w:tc>
        <w:tc>
          <w:tcPr>
            <w:tcW w:w="91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34"/>
        </w:trPr>
        <w:tc>
          <w:tcPr>
            <w:tcW w:w="10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TERMS AND CONDITIONS OF NOTES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04"/>
        </w:trPr>
        <w:tc>
          <w:tcPr>
            <w:tcW w:w="106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i w:val="1"/>
                <w:iCs w:val="1"/>
                <w:color w:val="auto"/>
              </w:rPr>
              <w:t>Designation and Principal Amount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2.02.</w:t>
            </w:r>
          </w:p>
        </w:tc>
        <w:tc>
          <w:tcPr>
            <w:tcW w:w="91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Maturity</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2.03.</w:t>
            </w:r>
          </w:p>
        </w:tc>
        <w:tc>
          <w:tcPr>
            <w:tcW w:w="91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Further Issues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2.04.</w:t>
            </w:r>
          </w:p>
        </w:tc>
        <w:tc>
          <w:tcPr>
            <w:tcW w:w="91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Payment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2.05.</w:t>
            </w:r>
          </w:p>
        </w:tc>
        <w:tc>
          <w:tcPr>
            <w:tcW w:w="91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Interest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2.06.</w:t>
            </w:r>
          </w:p>
        </w:tc>
        <w:tc>
          <w:tcPr>
            <w:tcW w:w="91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Authorized Denominations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06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i w:val="1"/>
                <w:iCs w:val="1"/>
                <w:color w:val="auto"/>
              </w:rPr>
              <w:t>Redemption and Sinking Fund</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2.08.</w:t>
            </w:r>
          </w:p>
        </w:tc>
        <w:tc>
          <w:tcPr>
            <w:tcW w:w="91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Ranking</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2.09.</w:t>
            </w:r>
          </w:p>
        </w:tc>
        <w:tc>
          <w:tcPr>
            <w:tcW w:w="91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Appointments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06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i w:val="1"/>
                <w:iCs w:val="1"/>
                <w:color w:val="auto"/>
              </w:rPr>
              <w:t>Waiver of Certain Covenants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2.11.</w:t>
            </w:r>
          </w:p>
        </w:tc>
        <w:tc>
          <w:tcPr>
            <w:tcW w:w="91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Defeasance</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2.12.</w:t>
            </w:r>
          </w:p>
        </w:tc>
        <w:tc>
          <w:tcPr>
            <w:tcW w:w="91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Guarantees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0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ARTICLE 3</w:t>
            </w:r>
          </w:p>
        </w:tc>
        <w:tc>
          <w:tcPr>
            <w:tcW w:w="91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34"/>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COVENANTS</w:t>
            </w:r>
          </w:p>
        </w:tc>
        <w:tc>
          <w:tcPr>
            <w:tcW w:w="91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0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3.01.</w:t>
            </w:r>
          </w:p>
        </w:tc>
        <w:tc>
          <w:tcPr>
            <w:tcW w:w="91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Additional Covenants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3.02.</w:t>
            </w:r>
          </w:p>
        </w:tc>
        <w:tc>
          <w:tcPr>
            <w:tcW w:w="91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Definitions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06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i w:val="1"/>
                <w:iCs w:val="1"/>
                <w:color w:val="auto"/>
              </w:rPr>
              <w:t>Limitation on Liens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6"/>
        </w:trPr>
        <w:tc>
          <w:tcPr>
            <w:tcW w:w="106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i w:val="1"/>
                <w:iCs w:val="1"/>
                <w:color w:val="auto"/>
              </w:rPr>
              <w:t>Limitation on Sales and Lease-Backs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0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ARTICLE 4</w:t>
            </w:r>
          </w:p>
        </w:tc>
        <w:tc>
          <w:tcPr>
            <w:tcW w:w="91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34"/>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FORM OF NOTES</w:t>
            </w:r>
          </w:p>
        </w:tc>
        <w:tc>
          <w:tcPr>
            <w:tcW w:w="91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04"/>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4.01.</w:t>
            </w:r>
          </w:p>
        </w:tc>
        <w:tc>
          <w:tcPr>
            <w:tcW w:w="91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Form of Notes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4.02.</w:t>
            </w:r>
          </w:p>
        </w:tc>
        <w:tc>
          <w:tcPr>
            <w:tcW w:w="91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Global Securities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0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ARTICLE 5</w:t>
            </w:r>
          </w:p>
        </w:tc>
        <w:tc>
          <w:tcPr>
            <w:tcW w:w="91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34"/>
        </w:trPr>
        <w:tc>
          <w:tcPr>
            <w:tcW w:w="10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ORIGINAL ISSUE OF NOTES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106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i w:val="1"/>
                <w:iCs w:val="1"/>
                <w:color w:val="auto"/>
              </w:rPr>
              <w:t>Original Issue of Notes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0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ARTICLE 6</w:t>
            </w:r>
          </w:p>
        </w:tc>
        <w:tc>
          <w:tcPr>
            <w:tcW w:w="91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34"/>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w w:val="98"/>
              </w:rPr>
              <w:t>MISCELLANEOUS</w:t>
            </w:r>
          </w:p>
        </w:tc>
        <w:tc>
          <w:tcPr>
            <w:tcW w:w="91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04"/>
        </w:trPr>
        <w:tc>
          <w:tcPr>
            <w:tcW w:w="106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i w:val="1"/>
                <w:iCs w:val="1"/>
                <w:color w:val="auto"/>
              </w:rPr>
              <w:t>Ratification of Base Indenture</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06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i w:val="1"/>
                <w:iCs w:val="1"/>
                <w:color w:val="auto"/>
              </w:rPr>
              <w:t>Trustee Not Responsible for Recitals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6"/>
        </w:trPr>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6.03.</w:t>
            </w:r>
          </w:p>
        </w:tc>
        <w:tc>
          <w:tcPr>
            <w:tcW w:w="91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Governing Law</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bl>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16"/>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6.04.</w:t>
            </w:r>
          </w:p>
        </w:tc>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Separability Clause</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7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i w:val="1"/>
                <w:iCs w:val="1"/>
                <w:color w:val="auto"/>
              </w:rPr>
              <w:t>Effect of Headings and Table of Contents</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6.06.</w:t>
            </w:r>
          </w:p>
        </w:tc>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Counterparts</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6.07.</w:t>
            </w:r>
          </w:p>
        </w:tc>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Electronic Communications</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6"/>
        </w:trPr>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6.08.</w:t>
            </w:r>
          </w:p>
        </w:tc>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FATCA</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441"/>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EXHIBIT A-1</w:t>
            </w:r>
          </w:p>
        </w:tc>
        <w:tc>
          <w:tcPr>
            <w:tcW w:w="6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Form of 2028 Notes</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A-1-1</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EXHIBIT A-2</w:t>
            </w:r>
          </w:p>
        </w:tc>
        <w:tc>
          <w:tcPr>
            <w:tcW w:w="6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Form of 2030 Notes</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A-2-1</w:t>
            </w:r>
          </w:p>
        </w:tc>
      </w:tr>
      <w:tr>
        <w:trPr>
          <w:trHeight w:val="23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EXHIBIT A-3</w:t>
            </w:r>
          </w:p>
        </w:tc>
        <w:tc>
          <w:tcPr>
            <w:tcW w:w="6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Form of 2035 Notes</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A-3-1</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020"/>
          </w:cols>
          <w:pgMar w:left="440" w:top="268" w:right="439" w:bottom="1440" w:gutter="0" w:footer="0" w:header="0"/>
        </w:sectPr>
      </w:pPr>
    </w:p>
    <w:bookmarkStart w:id="45" w:name="page46"/>
    <w:bookmarkEnd w:id="45"/>
    <w:p>
      <w:pPr>
        <w:ind w:right="220" w:firstLine="440"/>
        <w:spacing w:after="0" w:line="29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EIGHTH SUPPLEMENTAL INDENTURE, dated as of May 7, 2025 (this “</w:t>
      </w:r>
      <w:r>
        <w:rPr>
          <w:rFonts w:ascii="Times New Roman" w:cs="Times New Roman" w:eastAsia="Times New Roman" w:hAnsi="Times New Roman"/>
          <w:sz w:val="17"/>
          <w:szCs w:val="17"/>
          <w:b w:val="1"/>
          <w:bCs w:val="1"/>
          <w:i w:val="1"/>
          <w:iCs w:val="1"/>
          <w:color w:val="auto"/>
        </w:rPr>
        <w:t>Supplemental Indenture</w:t>
      </w:r>
      <w:r>
        <w:rPr>
          <w:rFonts w:ascii="Times New Roman" w:cs="Times New Roman" w:eastAsia="Times New Roman" w:hAnsi="Times New Roman"/>
          <w:sz w:val="17"/>
          <w:szCs w:val="17"/>
          <w:color w:val="auto"/>
        </w:rPr>
        <w:t>”), between General Motors Company, a corporation duly organized and existing under the laws of Delaware (herein called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having its principal office at 300 Renaissance Center, Detroit, Michigan 48265-3000, and The Bank of New York Mellon, a New York banking corporation, as trustee (herein called the “</w:t>
      </w:r>
      <w:r>
        <w:rPr>
          <w:rFonts w:ascii="Times New Roman" w:cs="Times New Roman" w:eastAsia="Times New Roman" w:hAnsi="Times New Roman"/>
          <w:sz w:val="17"/>
          <w:szCs w:val="17"/>
          <w:b w:val="1"/>
          <w:bCs w:val="1"/>
          <w:i w:val="1"/>
          <w:iCs w:val="1"/>
          <w:color w:val="auto"/>
        </w:rPr>
        <w:t>Trustee</w:t>
      </w:r>
      <w:r>
        <w:rPr>
          <w:rFonts w:ascii="Times New Roman" w:cs="Times New Roman" w:eastAsia="Times New Roman" w:hAnsi="Times New Roman"/>
          <w:sz w:val="17"/>
          <w:szCs w:val="17"/>
          <w:color w:val="auto"/>
        </w:rPr>
        <w:t>”).</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RECITALS OF THE COMPANY</w:t>
      </w:r>
    </w:p>
    <w:p>
      <w:pPr>
        <w:spacing w:after="0" w:line="225" w:lineRule="exact"/>
        <w:rPr>
          <w:sz w:val="20"/>
          <w:szCs w:val="20"/>
          <w:color w:val="auto"/>
        </w:rPr>
      </w:pPr>
    </w:p>
    <w:p>
      <w:pPr>
        <w:ind w:firstLine="440"/>
        <w:spacing w:after="0" w:line="281" w:lineRule="auto"/>
        <w:rPr>
          <w:sz w:val="20"/>
          <w:szCs w:val="20"/>
          <w:color w:val="auto"/>
        </w:rPr>
      </w:pPr>
      <w:r>
        <w:rPr>
          <w:rFonts w:ascii="Times New Roman" w:cs="Times New Roman" w:eastAsia="Times New Roman" w:hAnsi="Times New Roman"/>
          <w:sz w:val="17"/>
          <w:szCs w:val="17"/>
          <w:color w:val="auto"/>
        </w:rPr>
        <w:t>WHEREAS, the Company has executed and delivered the Indenture, dated as of September 27, 2013 (as supplemented prior to the date hereof, the “</w:t>
      </w:r>
      <w:r>
        <w:rPr>
          <w:rFonts w:ascii="Times New Roman" w:cs="Times New Roman" w:eastAsia="Times New Roman" w:hAnsi="Times New Roman"/>
          <w:sz w:val="17"/>
          <w:szCs w:val="17"/>
          <w:b w:val="1"/>
          <w:bCs w:val="1"/>
          <w:i w:val="1"/>
          <w:iCs w:val="1"/>
          <w:color w:val="auto"/>
        </w:rPr>
        <w:t>Original Indenture</w:t>
      </w:r>
      <w:r>
        <w:rPr>
          <w:rFonts w:ascii="Times New Roman" w:cs="Times New Roman" w:eastAsia="Times New Roman" w:hAnsi="Times New Roman"/>
          <w:sz w:val="17"/>
          <w:szCs w:val="17"/>
          <w:color w:val="auto"/>
        </w:rPr>
        <w:t>”), as amended and supplemented by the Seventh Supplemental Indenture, dated as of August 2, 2022 (the “</w:t>
      </w:r>
      <w:r>
        <w:rPr>
          <w:rFonts w:ascii="Times New Roman" w:cs="Times New Roman" w:eastAsia="Times New Roman" w:hAnsi="Times New Roman"/>
          <w:sz w:val="17"/>
          <w:szCs w:val="17"/>
          <w:b w:val="1"/>
          <w:bCs w:val="1"/>
          <w:i w:val="1"/>
          <w:iCs w:val="1"/>
          <w:color w:val="auto"/>
        </w:rPr>
        <w:t>Seventh Supplemental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Indenture</w:t>
      </w:r>
      <w:r>
        <w:rPr>
          <w:rFonts w:ascii="Times New Roman" w:cs="Times New Roman" w:eastAsia="Times New Roman" w:hAnsi="Times New Roman"/>
          <w:sz w:val="17"/>
          <w:szCs w:val="17"/>
          <w:color w:val="auto"/>
        </w:rPr>
        <w:t>”, together with the Original Indenture, the “</w:t>
      </w:r>
      <w:r>
        <w:rPr>
          <w:rFonts w:ascii="Times New Roman" w:cs="Times New Roman" w:eastAsia="Times New Roman" w:hAnsi="Times New Roman"/>
          <w:sz w:val="17"/>
          <w:szCs w:val="17"/>
          <w:b w:val="1"/>
          <w:bCs w:val="1"/>
          <w:i w:val="1"/>
          <w:iCs w:val="1"/>
          <w:color w:val="auto"/>
        </w:rPr>
        <w:t>Base Indenture</w:t>
      </w:r>
      <w:r>
        <w:rPr>
          <w:rFonts w:ascii="Times New Roman" w:cs="Times New Roman" w:eastAsia="Times New Roman" w:hAnsi="Times New Roman"/>
          <w:sz w:val="17"/>
          <w:szCs w:val="17"/>
          <w:color w:val="auto"/>
        </w:rPr>
        <w:t>” and the Base Indenture, together with this Supplemental Indenture,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Indenture</w:t>
      </w:r>
      <w:r>
        <w:rPr>
          <w:rFonts w:ascii="Times New Roman" w:cs="Times New Roman" w:eastAsia="Times New Roman" w:hAnsi="Times New Roman"/>
          <w:sz w:val="17"/>
          <w:szCs w:val="17"/>
          <w:color w:val="auto"/>
        </w:rPr>
        <w:t>”), to the Trustee, to provide for the issuance of the Company’s debt securities (the “</w:t>
      </w:r>
      <w:r>
        <w:rPr>
          <w:rFonts w:ascii="Times New Roman" w:cs="Times New Roman" w:eastAsia="Times New Roman" w:hAnsi="Times New Roman"/>
          <w:sz w:val="17"/>
          <w:szCs w:val="17"/>
          <w:b w:val="1"/>
          <w:bCs w:val="1"/>
          <w:i w:val="1"/>
          <w:iCs w:val="1"/>
          <w:color w:val="auto"/>
        </w:rPr>
        <w:t>Securities</w:t>
      </w:r>
      <w:r>
        <w:rPr>
          <w:rFonts w:ascii="Times New Roman" w:cs="Times New Roman" w:eastAsia="Times New Roman" w:hAnsi="Times New Roman"/>
          <w:sz w:val="17"/>
          <w:szCs w:val="17"/>
          <w:color w:val="auto"/>
        </w:rPr>
        <w:t>”), to be issued in one or more series;</w:t>
      </w:r>
    </w:p>
    <w:p>
      <w:pPr>
        <w:spacing w:after="0" w:line="164" w:lineRule="exact"/>
        <w:rPr>
          <w:sz w:val="20"/>
          <w:szCs w:val="20"/>
          <w:color w:val="auto"/>
        </w:rPr>
      </w:pPr>
    </w:p>
    <w:p>
      <w:pPr>
        <w:jc w:val="both"/>
        <w:ind w:firstLine="440"/>
        <w:spacing w:after="0" w:line="281" w:lineRule="auto"/>
        <w:rPr>
          <w:sz w:val="20"/>
          <w:szCs w:val="20"/>
          <w:color w:val="auto"/>
        </w:rPr>
      </w:pPr>
      <w:r>
        <w:rPr>
          <w:rFonts w:ascii="Times New Roman" w:cs="Times New Roman" w:eastAsia="Times New Roman" w:hAnsi="Times New Roman"/>
          <w:sz w:val="17"/>
          <w:szCs w:val="17"/>
          <w:color w:val="auto"/>
        </w:rPr>
        <w:t>WHEREAS, pursuant to the terms of the Base Indenture, the Company desires to provide for the establishment of three new series of its Securities under the Base Indenture to be known as its “5.350% Senior Notes due 2028” (the “</w:t>
      </w:r>
      <w:r>
        <w:rPr>
          <w:rFonts w:ascii="Times New Roman" w:cs="Times New Roman" w:eastAsia="Times New Roman" w:hAnsi="Times New Roman"/>
          <w:sz w:val="17"/>
          <w:szCs w:val="17"/>
          <w:b w:val="1"/>
          <w:bCs w:val="1"/>
          <w:i w:val="1"/>
          <w:iCs w:val="1"/>
          <w:color w:val="auto"/>
        </w:rPr>
        <w:t>2028 Notes</w:t>
      </w:r>
      <w:r>
        <w:rPr>
          <w:rFonts w:ascii="Times New Roman" w:cs="Times New Roman" w:eastAsia="Times New Roman" w:hAnsi="Times New Roman"/>
          <w:sz w:val="17"/>
          <w:szCs w:val="17"/>
          <w:color w:val="auto"/>
        </w:rPr>
        <w:t>”), “5.625% Senior Notes due 2030” (the “</w:t>
      </w:r>
      <w:r>
        <w:rPr>
          <w:rFonts w:ascii="Times New Roman" w:cs="Times New Roman" w:eastAsia="Times New Roman" w:hAnsi="Times New Roman"/>
          <w:sz w:val="17"/>
          <w:szCs w:val="17"/>
          <w:b w:val="1"/>
          <w:bCs w:val="1"/>
          <w:i w:val="1"/>
          <w:iCs w:val="1"/>
          <w:color w:val="auto"/>
        </w:rPr>
        <w:t>2030 Notes</w:t>
      </w:r>
      <w:r>
        <w:rPr>
          <w:rFonts w:ascii="Times New Roman" w:cs="Times New Roman" w:eastAsia="Times New Roman" w:hAnsi="Times New Roman"/>
          <w:sz w:val="17"/>
          <w:szCs w:val="17"/>
          <w:color w:val="auto"/>
        </w:rPr>
        <w:t>”) and “6.250% Senior Notes due 2035” (the “</w:t>
      </w:r>
      <w:r>
        <w:rPr>
          <w:rFonts w:ascii="Times New Roman" w:cs="Times New Roman" w:eastAsia="Times New Roman" w:hAnsi="Times New Roman"/>
          <w:sz w:val="17"/>
          <w:szCs w:val="17"/>
          <w:b w:val="1"/>
          <w:bCs w:val="1"/>
          <w:i w:val="1"/>
          <w:iCs w:val="1"/>
          <w:color w:val="auto"/>
        </w:rPr>
        <w:t>2035 Notes</w:t>
      </w:r>
      <w:r>
        <w:rPr>
          <w:rFonts w:ascii="Times New Roman" w:cs="Times New Roman" w:eastAsia="Times New Roman" w:hAnsi="Times New Roman"/>
          <w:sz w:val="17"/>
          <w:szCs w:val="17"/>
          <w:color w:val="auto"/>
        </w:rPr>
        <w:t>” and, together with the 2028 Notes and the 2030 Notes, the “</w:t>
      </w:r>
      <w:r>
        <w:rPr>
          <w:rFonts w:ascii="Times New Roman" w:cs="Times New Roman" w:eastAsia="Times New Roman" w:hAnsi="Times New Roman"/>
          <w:sz w:val="17"/>
          <w:szCs w:val="17"/>
          <w:b w:val="1"/>
          <w:bCs w:val="1"/>
          <w:i w:val="1"/>
          <w:iCs w:val="1"/>
          <w:color w:val="auto"/>
        </w:rPr>
        <w:t>Notes</w:t>
      </w:r>
      <w:r>
        <w:rPr>
          <w:rFonts w:ascii="Times New Roman" w:cs="Times New Roman" w:eastAsia="Times New Roman" w:hAnsi="Times New Roman"/>
          <w:sz w:val="17"/>
          <w:szCs w:val="17"/>
          <w:color w:val="auto"/>
        </w:rPr>
        <w:t>”), respectively, the form and substance and the terms, provisions and conditions thereof to be set forth as provided in the Base Indenture and this Supplemental Indenture;</w:t>
      </w:r>
    </w:p>
    <w:p>
      <w:pPr>
        <w:spacing w:after="0" w:line="164"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WHEREAS, the Board of Directors of the Company by duly adopted resolutions has authorized, among other things, the issuance of the Notes and the execution and delivery of this Supplemental Indenture;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this Supplemental Indenture is being entered into pursuant to the provisions of Section 901 of the Base Indenture;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the Company hereby requests that the Trustee join with the Company in the execution and delivery of this Supplemental Indenture;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07" w:lineRule="exact"/>
        <w:rPr>
          <w:sz w:val="20"/>
          <w:szCs w:val="20"/>
          <w:color w:val="auto"/>
        </w:rPr>
      </w:pPr>
    </w:p>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t>WHEREAS, all things necessary to make this Supplemental Indenture a valid agreement of the Company, in accordance with its terms, and to make the Notes, when executed and delivered by the Company and authenticated by the Trustee, the valid obligations of the Company, have been performed.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NOW, THEREFORE, THIS SUPPLEMENTAL INDENTURE WITNESSETH:</w:t>
      </w:r>
    </w:p>
    <w:p>
      <w:pPr>
        <w:spacing w:after="0" w:line="117"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For and in consideration of the premises and the purchase of the Notes by the Holders thereof, and for the purpose of setting forth, as provided in the Base Indenture, the forms and terms of the Notes, the Company covenants and agrees with the Trustee, as follows: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0"/>
          </w:cols>
          <w:pgMar w:left="440" w:top="266" w:right="45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 AND OTHER PROVISIONS OF GENERAL APPLICATION</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i w:val="1"/>
          <w:iCs w:val="1"/>
          <w:color w:val="auto"/>
        </w:rPr>
        <w:t>Definition of Terms</w:t>
      </w:r>
      <w:r>
        <w:rPr>
          <w:rFonts w:ascii="Times New Roman" w:cs="Times New Roman" w:eastAsia="Times New Roman" w:hAnsi="Times New Roman"/>
          <w:sz w:val="18"/>
          <w:szCs w:val="18"/>
          <w:color w:val="auto"/>
        </w:rPr>
        <w:t>. Unless the context otherwise requires:</w:t>
      </w:r>
    </w:p>
    <w:p>
      <w:pPr>
        <w:spacing w:after="0" w:line="119" w:lineRule="exact"/>
        <w:rPr>
          <w:sz w:val="20"/>
          <w:szCs w:val="20"/>
          <w:color w:val="auto"/>
        </w:rPr>
      </w:pPr>
    </w:p>
    <w:p>
      <w:pPr>
        <w:ind w:right="20" w:firstLine="436"/>
        <w:spacing w:after="0" w:line="255" w:lineRule="auto"/>
        <w:tabs>
          <w:tab w:leader="none" w:pos="68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terms defined in this Supplemental Indenture (except as herein otherwise expressly provided or unless the context of this Supplemental Indenture otherwise requires) for all purposes of this Supplemental Indenture and of any indenture supplemental hereto have the respective meanings specified in this Supplemental Indenture. All other terms used in this Supplemental Indenture that are defined in the Base Indenture, either directly or by reference therein (except as herein otherwise expressly provided or unless the context of this Supplemental Indenture otherwise requires), have the respective meanings assigned to such terms in the Base Indenture, as in force at the date of this Supplemental Indenture as originally executed;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term that is defined in both the Base Indenture and this Supplemental Indenture shall have the meaning assigned to such term in this Supplemental Indenture;</w:t>
      </w:r>
    </w:p>
    <w:p>
      <w:pPr>
        <w:spacing w:after="0" w:line="188"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singular includes the plural, and vice versa; and</w:t>
      </w:r>
    </w:p>
    <w:p>
      <w:pPr>
        <w:spacing w:after="0" w:line="22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headings are for convenience of reference only and do not affect interpretation.</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definition shall be applicable in respect of all Notes for purposes of this Supplemental Indenture:</w:t>
      </w:r>
    </w:p>
    <w:p>
      <w:pPr>
        <w:spacing w:after="0" w:line="113" w:lineRule="exact"/>
        <w:rPr>
          <w:sz w:val="20"/>
          <w:szCs w:val="20"/>
          <w:color w:val="auto"/>
        </w:rPr>
      </w:pPr>
    </w:p>
    <w:p>
      <w:pPr>
        <w:ind w:right="8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Business Day</w:t>
      </w:r>
      <w:r>
        <w:rPr>
          <w:rFonts w:ascii="Times New Roman" w:cs="Times New Roman" w:eastAsia="Times New Roman" w:hAnsi="Times New Roman"/>
          <w:sz w:val="17"/>
          <w:szCs w:val="17"/>
          <w:color w:val="auto"/>
        </w:rPr>
        <w:t>” means each Monday, Tuesday, Wednesday, Thursday and Friday that is not a day on which banking institutions are authorized or obligated by law, regulation or executive order to close in the City of New York or the city in which the corporate trust office of the Trustee is located.</w:t>
      </w:r>
    </w:p>
    <w:p>
      <w:pPr>
        <w:spacing w:after="0" w:line="134"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i w:val="1"/>
          <w:iCs w:val="1"/>
          <w:color w:val="auto"/>
        </w:rPr>
        <w:t>Relationship with Base Indenture</w:t>
      </w:r>
      <w:r>
        <w:rPr>
          <w:rFonts w:ascii="Times New Roman" w:cs="Times New Roman" w:eastAsia="Times New Roman" w:hAnsi="Times New Roman"/>
          <w:sz w:val="18"/>
          <w:szCs w:val="18"/>
          <w:color w:val="auto"/>
        </w:rPr>
        <w:t>. The terms and provisions contained in the Base Indenture will constitute, and are hereby expressly made, a part of this Supplemental Indenture. However, to the extent any provision of the Base Indenture conflicts with the express provisions of this Supplemental Indenture, the provisions of this Supplemental Indenture will govern and be controlling (including for all purposes of Section 113 of the Base Indenture in respect of the Notes).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TERMS AND CONDITIONS OF NOTES</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i w:val="1"/>
          <w:iCs w:val="1"/>
          <w:color w:val="auto"/>
        </w:rPr>
        <w:t>Designation and Principal Amount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60" w:firstLine="436"/>
        <w:spacing w:after="0" w:line="261" w:lineRule="auto"/>
        <w:tabs>
          <w:tab w:leader="none" w:pos="68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hereby authorized and established a series of Securities under the Base Indenture, designated as the “5.350% Senior Notes due 2028,” which is initially limited in aggregate principal amount to $750,000,000 (except upon registration of transfer of, or in exchange for, or in lieu of, other 2028 Notes pursuant to Section 304, 305, 306, 311, 906 or 1106 of the Base Indenture and except for any Notes which, pursuant to Section 303 of the Base Indenture, are deemed never to have been authenticated and delivered).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47" w:name="page48"/>
    <w:bookmarkEnd w:id="47"/>
    <w:p>
      <w:pPr>
        <w:ind w:right="20" w:firstLine="436"/>
        <w:spacing w:after="0" w:line="261" w:lineRule="auto"/>
        <w:tabs>
          <w:tab w:leader="none" w:pos="6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 is hereby authorized and established a series of Securities under the Base Indenture, designated as the “5.625% Senior Notes due 2030,” which is initially limited in aggregate principal amount to $750,000,000 (except upon registration of transfer of, or in exchange for, or in lieu of, other 2030 Notes pursuant to Section 304, 305, 306, 311, 906 or 1106 of the Base Indenture and except for any Notes which, pursuant to Section 303 of the Base Indenture, are deemed never to have been authenticated and delivered).</w:t>
      </w:r>
    </w:p>
    <w:p>
      <w:pPr>
        <w:spacing w:after="0" w:line="179" w:lineRule="exact"/>
        <w:rPr>
          <w:rFonts w:ascii="Times New Roman" w:cs="Times New Roman" w:eastAsia="Times New Roman" w:hAnsi="Times New Roman"/>
          <w:sz w:val="18"/>
          <w:szCs w:val="18"/>
          <w:color w:val="auto"/>
        </w:rPr>
      </w:pPr>
    </w:p>
    <w:p>
      <w:pPr>
        <w:ind w:right="40" w:firstLine="436"/>
        <w:spacing w:after="0" w:line="261" w:lineRule="auto"/>
        <w:tabs>
          <w:tab w:leader="none" w:pos="68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hereby authorized and established a series of Securities under the Base Indenture, designated as the “6.250% Senior Notes due 2035,” which is initially limited in aggregate principal amount to $500,000,000 (except upon registration of transfer of, or in exchange for, or in lieu of, other 2035 Notes pursuant to Section 304, 305, 306, 311, 906 or 1106 of the Base Indenture and except for any Notes which, pursuant to Section 303 of the Base Indenture, are deemed never to have been authenticated and delivered).</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i w:val="1"/>
          <w:iCs w:val="1"/>
          <w:color w:val="auto"/>
        </w:rPr>
        <w:t>Maturity</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680" w:hanging="244"/>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Stated Maturity of principal of the 2028 Notes shall be April 15, 2028.</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Stated Maturity of principal of the 2030 Notes shall be April 15, 2030.</w:t>
      </w:r>
    </w:p>
    <w:p>
      <w:pPr>
        <w:spacing w:after="0" w:line="22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Stated Maturity of principal of the 2035 Notes shall be April 15, 2035.</w:t>
      </w:r>
    </w:p>
    <w:p>
      <w:pPr>
        <w:spacing w:after="0" w:line="2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i w:val="1"/>
          <w:iCs w:val="1"/>
          <w:color w:val="auto"/>
        </w:rPr>
        <w:t>Further Issues</w:t>
      </w:r>
      <w:r>
        <w:rPr>
          <w:rFonts w:ascii="Times New Roman" w:cs="Times New Roman" w:eastAsia="Times New Roman" w:hAnsi="Times New Roman"/>
          <w:sz w:val="18"/>
          <w:szCs w:val="18"/>
          <w:color w:val="auto"/>
        </w:rPr>
        <w:t>. The Company may at any time and from time to time, without the consent of the Holders of the 2028 Notes, the</w:t>
      </w:r>
    </w:p>
    <w:p>
      <w:pPr>
        <w:spacing w:after="0" w:line="29"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 xml:space="preserve">2030 Notes or 2035 Notes, increase the principal amount of the 2028 Notes, the 2030 Notes or 2035 Notes that may be issued under the Indenture and issue additional 2028 Notes, 2030 Notes or 2035 Notes;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if the additional 2028 Notes, 2030 Notes or 2035 Notes are not fungible with the then-outstanding 2028 Notes, 2030 Notes or 2035 Notes for U.S. federal income tax purposes, respectively, the additional 2028 Notes, 2030 Notes or 2035 Notes shall have separate CUSIP numbers. Any such additional 2028 Notes, 2030 Notes or 2035 Notes shall have the same ranking, interest rate, maturity date and other terms as the 2028 Notes, 2030 Notes or 2035 Notes, respectively, but may be offered at a different offering price or have a different issue date, initial interest accrual date or initial interest payment date than such 2028 Notes, 2030 Notes or 2035 Notes, respectively. Any such additional 2028 Notes, 2030 Notes or 2035 Notes, together with the 2028 Notes, 2030 Notes or 2035 Notes herein provided for, shall each respectively constitute a single series of Securities under the Base Indenture.</w:t>
      </w:r>
    </w:p>
    <w:p>
      <w:pPr>
        <w:spacing w:after="0" w:line="192" w:lineRule="exact"/>
        <w:rPr>
          <w:sz w:val="20"/>
          <w:szCs w:val="20"/>
          <w:color w:val="auto"/>
        </w:rPr>
      </w:pPr>
    </w:p>
    <w:p>
      <w:pPr>
        <w:ind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i w:val="1"/>
          <w:iCs w:val="1"/>
          <w:color w:val="auto"/>
        </w:rPr>
        <w:t>Payment</w:t>
      </w:r>
      <w:r>
        <w:rPr>
          <w:rFonts w:ascii="Times New Roman" w:cs="Times New Roman" w:eastAsia="Times New Roman" w:hAnsi="Times New Roman"/>
          <w:sz w:val="18"/>
          <w:szCs w:val="18"/>
          <w:color w:val="auto"/>
        </w:rPr>
        <w:t xml:space="preserve">. Principal of and interest on the Notes shall be payable in U.S. dollars in immediately available funds at the office or agency of the Company maintained for such purpose, which shall initially be at the Corporate Trust Office of the Trustee;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in the case of certificated Notes that payment of interest may be made at the option of the Company through the Paying Agent by check mailed to the</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48" w:name="page49"/>
    <w:bookmarkEnd w:id="48"/>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Holder at such address as shall appear in the Security Register at the close of business on the Regular Record Date for such Holder or by wire transfer to an account appropriately designated by the Holder to the Company and the Trustee;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the Company through the Paying Agent shall pay principal of and interest on the Notes in the form of Global Securities registered in the name of or held by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or its nominee or such other Depositary as may from time to time be designated pursuant to the terms of the Indenture, or its respective nominee, by wire transfer in immediately available funds to such Depositary or its nominee, as the case may be, as the registered holder of such Notes in the form of Global Securities.</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i w:val="1"/>
          <w:iCs w:val="1"/>
          <w:color w:val="auto"/>
        </w:rPr>
        <w:t>Interest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436"/>
        <w:spacing w:after="0" w:line="256" w:lineRule="auto"/>
        <w:tabs>
          <w:tab w:leader="none" w:pos="68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2028 Notes shall bear interest (computed on the basis of a 360-day year consisting of twelve 30-day months) from May 7, 2025 at the rate of 5.350% per annum, payable semi-annually in arrears. Interest payable on each Interest Payment Date shall include interest accrued from May 7, 2025, or from the most recent Interest Payment Date to which interest has been paid or duly provided for. The Interest Payment Dates on which such interest shall be payable are April 15 and October 15, commencing on October 15, 2025; and the Regular Record Date for the interest payable on any Interest Payment Date is the close of business on the April 1 or October 1 (whether or not a Business Day), as the case may be, next preceding the relevant Interest Payment Date.</w:t>
      </w:r>
    </w:p>
    <w:p>
      <w:pPr>
        <w:spacing w:after="0" w:line="187" w:lineRule="exact"/>
        <w:rPr>
          <w:rFonts w:ascii="Times New Roman" w:cs="Times New Roman" w:eastAsia="Times New Roman" w:hAnsi="Times New Roman"/>
          <w:sz w:val="18"/>
          <w:szCs w:val="18"/>
          <w:color w:val="auto"/>
        </w:rPr>
      </w:pPr>
    </w:p>
    <w:p>
      <w:pPr>
        <w:ind w:firstLine="436"/>
        <w:spacing w:after="0" w:line="256" w:lineRule="auto"/>
        <w:tabs>
          <w:tab w:leader="none" w:pos="6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2030 Notes shall bear interest (computed on the basis of a 360-day year consisting of twelve 30-day months) from May 7, 2025 at the rate of 5.625% per annum, payable semi-annually in arrears. Interest payable on each Interest Payment Date shall include interest accrued from May 7, 2025, or from the most recent Interest Payment Date to which interest has been paid or duly provided for. The Interest Payment Dates on which such interest shall be payable are April 15 and October 15, commencing on October 15, 2025; and the Regular Record Date for the interest payable on any Interest Payment Date is the close of business on the April 1 or October 1 (whether or not a Business Day), as the case may be, next preceding the relevant Interest Payment Date.</w:t>
      </w:r>
    </w:p>
    <w:p>
      <w:pPr>
        <w:spacing w:after="0" w:line="187" w:lineRule="exact"/>
        <w:rPr>
          <w:rFonts w:ascii="Times New Roman" w:cs="Times New Roman" w:eastAsia="Times New Roman" w:hAnsi="Times New Roman"/>
          <w:sz w:val="18"/>
          <w:szCs w:val="18"/>
          <w:color w:val="auto"/>
        </w:rPr>
      </w:pPr>
    </w:p>
    <w:p>
      <w:pPr>
        <w:ind w:firstLine="436"/>
        <w:spacing w:after="0" w:line="256" w:lineRule="auto"/>
        <w:tabs>
          <w:tab w:leader="none" w:pos="68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2035 Notes shall bear interest (computed on the basis of a 360-day year consisting of twelve 30-day months) from May 7, 2025 at the rate of 6.250% per annum, payable semi-annually in arrears. Interest payable on each Interest Payment Date shall include interest accrued from May 7, 2025, or from the most recent Interest Payment Date to which interest has been paid or duly provided for. The Interest Payment Dates on which such interest shall be payable are April 15 and October 15, commencing on October 15, 2025; and the Regular Record Date for the interest payable on any Interest Payment Date is the close of business on the April 1 or October 1 (whether or not a Business Day), as the case may be, next preceding the relevant Interest Payment Date.</w:t>
      </w:r>
    </w:p>
    <w:p>
      <w:pPr>
        <w:spacing w:after="0" w:line="185" w:lineRule="exact"/>
        <w:rPr>
          <w:sz w:val="20"/>
          <w:szCs w:val="20"/>
          <w:color w:val="auto"/>
        </w:rPr>
      </w:pPr>
    </w:p>
    <w:p>
      <w:pPr>
        <w:ind w:right="26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i w:val="1"/>
          <w:iCs w:val="1"/>
          <w:color w:val="auto"/>
        </w:rPr>
        <w:t>Authorized Denominations</w:t>
      </w:r>
      <w:r>
        <w:rPr>
          <w:rFonts w:ascii="Times New Roman" w:cs="Times New Roman" w:eastAsia="Times New Roman" w:hAnsi="Times New Roman"/>
          <w:sz w:val="18"/>
          <w:szCs w:val="18"/>
          <w:color w:val="auto"/>
        </w:rPr>
        <w:t>. Each of the 2028 Notes, the 2030 Notes and 2035 Notes shall be issuable in denominations of $2,000 and integral multiples of $1,000 in excess thereof.</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49" w:name="page50"/>
    <w:bookmarkEnd w:id="4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2.07. </w:t>
      </w:r>
      <w:r>
        <w:rPr>
          <w:rFonts w:ascii="Times New Roman" w:cs="Times New Roman" w:eastAsia="Times New Roman" w:hAnsi="Times New Roman"/>
          <w:sz w:val="18"/>
          <w:szCs w:val="18"/>
          <w:i w:val="1"/>
          <w:iCs w:val="1"/>
          <w:color w:val="auto"/>
        </w:rPr>
        <w:t>Redemption and Sinking Fund</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60" w:firstLine="436"/>
        <w:spacing w:after="0" w:line="282" w:lineRule="auto"/>
        <w:tabs>
          <w:tab w:leader="none" w:pos="68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2028 Notes shall not be redeemable at the option of the Company except as set forth in Section 2 of the 2028 Notes. The 2028 Notes shall not be redeemable at the option of the Holders. The 2028 Notes shall not be entitled to the benefit of any sinking fund.</w:t>
      </w:r>
    </w:p>
    <w:p>
      <w:pPr>
        <w:spacing w:after="0" w:line="161" w:lineRule="exact"/>
        <w:rPr>
          <w:rFonts w:ascii="Times New Roman" w:cs="Times New Roman" w:eastAsia="Times New Roman" w:hAnsi="Times New Roman"/>
          <w:sz w:val="18"/>
          <w:szCs w:val="18"/>
          <w:color w:val="auto"/>
        </w:rPr>
      </w:pPr>
    </w:p>
    <w:p>
      <w:pPr>
        <w:ind w:right="60" w:firstLine="436"/>
        <w:spacing w:after="0" w:line="282" w:lineRule="auto"/>
        <w:tabs>
          <w:tab w:leader="none" w:pos="69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2030 Notes shall not be redeemable at the option of the Company except as set forth in Section 2 of the 2030 Notes. The 2030 Notes shall not be redeemable at the option of the Holders. The 2030 Notes shall not be entitled to the benefit of any sinking fund.</w:t>
      </w:r>
    </w:p>
    <w:p>
      <w:pPr>
        <w:spacing w:after="0" w:line="161" w:lineRule="exact"/>
        <w:rPr>
          <w:rFonts w:ascii="Times New Roman" w:cs="Times New Roman" w:eastAsia="Times New Roman" w:hAnsi="Times New Roman"/>
          <w:sz w:val="18"/>
          <w:szCs w:val="18"/>
          <w:color w:val="auto"/>
        </w:rPr>
      </w:pPr>
    </w:p>
    <w:p>
      <w:pPr>
        <w:ind w:right="60" w:firstLine="436"/>
        <w:spacing w:after="0" w:line="282" w:lineRule="auto"/>
        <w:tabs>
          <w:tab w:leader="none" w:pos="68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2035 Notes shall not be redeemable at the option of the Company except as set forth in Section 2 of the 2035 Notes. The 2035 Notes shall not be redeemable at the option of the Holders. The 2035 Notes shall not be entitled to the benefit of any sinking fund.</w:t>
      </w:r>
    </w:p>
    <w:p>
      <w:pPr>
        <w:spacing w:after="0" w:line="160" w:lineRule="exact"/>
        <w:rPr>
          <w:sz w:val="20"/>
          <w:szCs w:val="20"/>
          <w:color w:val="auto"/>
        </w:rPr>
      </w:pPr>
    </w:p>
    <w:p>
      <w:pPr>
        <w:ind w:right="34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i w:val="1"/>
          <w:iCs w:val="1"/>
          <w:color w:val="auto"/>
        </w:rPr>
        <w:t>Ranking</w:t>
      </w:r>
      <w:r>
        <w:rPr>
          <w:rFonts w:ascii="Times New Roman" w:cs="Times New Roman" w:eastAsia="Times New Roman" w:hAnsi="Times New Roman"/>
          <w:sz w:val="18"/>
          <w:szCs w:val="18"/>
          <w:color w:val="auto"/>
        </w:rPr>
        <w:t>. Each of the 2028 Notes, 2030 Notes and 2035 Notes shall be senior unsecured debt securities of the Company, ranking equally with the Company’s other unsecured and unsubordinated indebtedness.</w:t>
      </w:r>
    </w:p>
    <w:p>
      <w:pPr>
        <w:spacing w:after="0" w:line="158" w:lineRule="exact"/>
        <w:rPr>
          <w:sz w:val="20"/>
          <w:szCs w:val="20"/>
          <w:color w:val="auto"/>
        </w:rPr>
      </w:pPr>
    </w:p>
    <w:p>
      <w:pPr>
        <w:ind w:right="28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i w:val="1"/>
          <w:iCs w:val="1"/>
          <w:color w:val="auto"/>
        </w:rPr>
        <w:t>Appointments</w:t>
      </w:r>
      <w:r>
        <w:rPr>
          <w:rFonts w:ascii="Times New Roman" w:cs="Times New Roman" w:eastAsia="Times New Roman" w:hAnsi="Times New Roman"/>
          <w:sz w:val="18"/>
          <w:szCs w:val="18"/>
          <w:color w:val="auto"/>
        </w:rPr>
        <w:t>. The Trustee shall be the initial Security Registrar and initial Paying Agent for each of the 2028 Notes, 2030 Notes and 2035 Notes.</w:t>
      </w:r>
    </w:p>
    <w:p>
      <w:pPr>
        <w:spacing w:after="0" w:line="158"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i w:val="1"/>
          <w:iCs w:val="1"/>
          <w:color w:val="auto"/>
        </w:rPr>
        <w:t>Waiver of Certain Covenants</w:t>
      </w:r>
      <w:r>
        <w:rPr>
          <w:rFonts w:ascii="Times New Roman" w:cs="Times New Roman" w:eastAsia="Times New Roman" w:hAnsi="Times New Roman"/>
          <w:sz w:val="18"/>
          <w:szCs w:val="18"/>
          <w:color w:val="auto"/>
        </w:rPr>
        <w:t>. Without in any way limiting the applicability of Section 1006 of the Base Indenture with respect to the Notes, the Company may, with respect to the 2028 Notes, 2030 Notes or 2035 Notes, also omit in a particular instance to comply with any term, provision or condition set forth in Article 3 of this Supplemental Indenture, if, before or after the time for such compliance, the Holders of not less than a majority in aggregate principal amount of the 2028 Notes, 2030 Notes or 2035 Notes, respectively, at the time Outstanding shall, by Act of such Holders, either waive such compliance in such instance or generally waive compliance with such term, provision or condition, but no such waiver shall extend to or affect such term, provision or condition except to the extent so expressly waived, and, until such waiver becomes effective, the obligations of the Company and the duties of the Trustee in respect of any such term, provision or condition shall remain in full force and effect. Nothing in this Section 2.10 shall affect the Company’s requirement to comply with Section 513 of the Base Indenture with respect to waivers of past defaults under the Base Indenture.</w:t>
      </w:r>
    </w:p>
    <w:p>
      <w:pPr>
        <w:spacing w:after="0" w:line="188"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i w:val="1"/>
          <w:iCs w:val="1"/>
          <w:color w:val="auto"/>
        </w:rPr>
        <w:t>Defeasance</w:t>
      </w:r>
      <w:r>
        <w:rPr>
          <w:rFonts w:ascii="Times New Roman" w:cs="Times New Roman" w:eastAsia="Times New Roman" w:hAnsi="Times New Roman"/>
          <w:sz w:val="18"/>
          <w:szCs w:val="18"/>
          <w:color w:val="auto"/>
        </w:rPr>
        <w:t>. The Company may elect, at its option at any time, pursuant to Section 402 of the Base Indenture, to have Section 403 or Section 404 in the Base Indenture, or both, apply to the 2028 Notes, 2030 Notes or 2035 Notes, respectively, or any principal amount thereof. Without in any way limiting the applicability of Section 404 of the Base Indenture with respect to the Notes, upon the Company’s exercise of its option to have Section 404 of the Base Indenture applied to all of the Outstanding 2028 Notes, 2030 Notes or 2035 Notes, (1) the Company shall also be deemed to be released from and may omit to comply with its obligations under the covenants contained in Article 3 of this Supplemental Indenture with respect to the 2028</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8" w:right="459" w:bottom="1440" w:gutter="0" w:footer="0" w:header="0"/>
        </w:sectPr>
      </w:pPr>
    </w:p>
    <w:bookmarkStart w:id="50" w:name="page51"/>
    <w:bookmarkEnd w:id="50"/>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Notes, 2030 Notes or 2035 Notes, respectively, and (2) the failure to comply with any such obligation, covenant, restriction, term or other provision shall not constitute (and shall be deemed not to be or result in) an Event of Default under Section 501(4) or Section 501(7) of the Base Indenture, in each case with respect to the 2028 Notes, 2030 Notes or 2035 Notes, respectively, on and after the date the conditions set forth in Section 405 of the Base Indenture are satisfied.</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i w:val="1"/>
          <w:iCs w:val="1"/>
          <w:color w:val="auto"/>
        </w:rPr>
        <w:t>Guarantees</w:t>
      </w:r>
      <w:r>
        <w:rPr>
          <w:rFonts w:ascii="Times New Roman" w:cs="Times New Roman" w:eastAsia="Times New Roman" w:hAnsi="Times New Roman"/>
          <w:sz w:val="18"/>
          <w:szCs w:val="18"/>
          <w:color w:val="auto"/>
        </w:rPr>
        <w:t>. None of the 2028 Notes, 2030 Notes or 2035 Notes shall be guaranteed by any Person.</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3</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COVENANTS</w:t>
      </w:r>
    </w:p>
    <w:p>
      <w:pPr>
        <w:spacing w:after="0" w:line="205"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i w:val="1"/>
          <w:iCs w:val="1"/>
          <w:color w:val="auto"/>
        </w:rPr>
        <w:t>Additional Covenants</w:t>
      </w:r>
      <w:r>
        <w:rPr>
          <w:rFonts w:ascii="Times New Roman" w:cs="Times New Roman" w:eastAsia="Times New Roman" w:hAnsi="Times New Roman"/>
          <w:sz w:val="18"/>
          <w:szCs w:val="18"/>
          <w:color w:val="auto"/>
        </w:rPr>
        <w:t>. In addition to the covenants stated in Article Ten of the Base Indenture, the Notes will be subject to the covenants set forth in Sections 3.03 and 3.04 below. For the avoidance of doubt, the covenants set forth in Sections 3.03 and 3.04 below are solely for the benefit of the Holders of the 2028 Notes, 2030 Notes and 2035 Notes, and are not for the benefit of, or applicable to, any other debt securities issued under the Base Indenture or any other supplemental indenture.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The following definitions shall be applicable to Sections 3.03 and 3.04 below:</w:t>
      </w:r>
    </w:p>
    <w:p>
      <w:pPr>
        <w:spacing w:after="0" w:line="115" w:lineRule="exact"/>
        <w:rPr>
          <w:sz w:val="20"/>
          <w:szCs w:val="20"/>
          <w:color w:val="auto"/>
        </w:rPr>
      </w:pPr>
    </w:p>
    <w:p>
      <w:pPr>
        <w:ind w:right="60" w:firstLine="440"/>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Attributable Debt</w:t>
      </w:r>
      <w:r>
        <w:rPr>
          <w:rFonts w:ascii="Times New Roman" w:cs="Times New Roman" w:eastAsia="Times New Roman" w:hAnsi="Times New Roman"/>
          <w:sz w:val="17"/>
          <w:szCs w:val="17"/>
          <w:color w:val="auto"/>
        </w:rPr>
        <w:t>” means, at the time of determination as to any lease, the present value (discounted at the actual rate, if stated, or, if no rate is stated, the implicit rate of interest of such lease transaction as determined by the Company’s Chairman, President or any Vice Chairman, the Company’s Chief Financial Officer, any Vice President, the Company’s Treasurer or any Assistant Treasurer), calculated using the interval of scheduled rental payments under such lease, of the obligation of the lessee for net rental payments during the remaining term of such lease (excluding any subsequent renewal or other extension options held by the lessee). The term “</w:t>
      </w:r>
      <w:r>
        <w:rPr>
          <w:rFonts w:ascii="Times New Roman" w:cs="Times New Roman" w:eastAsia="Times New Roman" w:hAnsi="Times New Roman"/>
          <w:sz w:val="17"/>
          <w:szCs w:val="17"/>
          <w:b w:val="1"/>
          <w:bCs w:val="1"/>
          <w:i w:val="1"/>
          <w:iCs w:val="1"/>
          <w:color w:val="auto"/>
        </w:rPr>
        <w:t>net rental payments</w:t>
      </w:r>
      <w:r>
        <w:rPr>
          <w:rFonts w:ascii="Times New Roman" w:cs="Times New Roman" w:eastAsia="Times New Roman" w:hAnsi="Times New Roman"/>
          <w:sz w:val="17"/>
          <w:szCs w:val="17"/>
          <w:color w:val="auto"/>
        </w:rPr>
        <w:t xml:space="preserve">” means, with respect to any lease for any period, the sum of the rental and other payments required to be paid in such period by the lessee thereunder, but not including, however, any amounts required to be paid by such lessee (whether or not designated as rental or additional rental) on account of maintenance and repairs, insurance, taxes, assessments, water rates, indemnities or similar charges required to be paid by such lessee thereunder or any amounts required to be paid by such lessee thereunder contingent upon the amount of sales, earnings or profits or of maintenance and repairs, insurance, taxes, assessments, water rates, indemnities or similar charges;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however</w:t>
      </w:r>
      <w:r>
        <w:rPr>
          <w:rFonts w:ascii="Times New Roman" w:cs="Times New Roman" w:eastAsia="Times New Roman" w:hAnsi="Times New Roman"/>
          <w:sz w:val="17"/>
          <w:szCs w:val="17"/>
          <w:color w:val="auto"/>
        </w:rPr>
        <w:t>, that, in the case of any lease which is terminable by the lessee upon the payment of a penalty in an amount which is less than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total discounted net rental payments required to be paid from the later of the first date upon which such lease may be so terminated and the date of the determination of net rental payments, “net rental payments” shall include the then current amount of such penalty from the later of such two dates, and shall exclude the rental payments relating to the remaining period of the lease commencing with the later of such two dates.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51" w:name="page52"/>
    <w:bookmarkEnd w:id="51"/>
    <w:p>
      <w:pPr>
        <w:ind w:right="8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Consolidated Tangible Assets</w:t>
      </w:r>
      <w:r>
        <w:rPr>
          <w:rFonts w:ascii="Times New Roman" w:cs="Times New Roman" w:eastAsia="Times New Roman" w:hAnsi="Times New Roman"/>
          <w:sz w:val="18"/>
          <w:szCs w:val="18"/>
          <w:color w:val="auto"/>
        </w:rPr>
        <w:t>” means, on the date of determination, total assets less goodwill and other intangible assets of the Company and its consolidated subsidiaries, in each case as set forth on the most recently available consolidated balance sheet of the Company and its subsidiaries in accordance with generally accepted accounting principles in the United States.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Debt</w:t>
      </w:r>
      <w:r>
        <w:rPr>
          <w:rFonts w:ascii="Times New Roman" w:cs="Times New Roman" w:eastAsia="Times New Roman" w:hAnsi="Times New Roman"/>
          <w:sz w:val="18"/>
          <w:szCs w:val="18"/>
          <w:color w:val="auto"/>
        </w:rPr>
        <w:t>” means notes, bonds, debentures or other similar evidences of indebtedness for money borrowed.</w:t>
      </w:r>
    </w:p>
    <w:p>
      <w:pPr>
        <w:spacing w:after="0" w:line="225"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Manufacturing Subsidiary</w:t>
      </w:r>
      <w:r>
        <w:rPr>
          <w:rFonts w:ascii="Times New Roman" w:cs="Times New Roman" w:eastAsia="Times New Roman" w:hAnsi="Times New Roman"/>
          <w:sz w:val="18"/>
          <w:szCs w:val="18"/>
          <w:color w:val="auto"/>
        </w:rPr>
        <w:t xml:space="preserve">” means any Subsidiary (A) substantially all the property of which is located within the continental United States of America, (B) which owns a Principal Domestic Manufacturing Property and (C) in which the Company’s investment, direct or indirect and whether in the form of equity, debt, advances or otherwise, is in excess of $2,500,000,000 as shown on the consolidated books of the Company as of the end of the fiscal year immediately preceding the date of determination;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“Manufacturing Subsidiary” shall not include any Subsidiary which is principally engaged in leasing or in financing installment receivables or otherwise providing financial or insurance services to the Company or others or which is principally engaged in financing the Company’s operations outside the continental United States of America.</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Mortgage</w:t>
      </w:r>
      <w:r>
        <w:rPr>
          <w:rFonts w:ascii="Times New Roman" w:cs="Times New Roman" w:eastAsia="Times New Roman" w:hAnsi="Times New Roman"/>
          <w:sz w:val="18"/>
          <w:szCs w:val="18"/>
          <w:color w:val="auto"/>
        </w:rPr>
        <w:t>” means any mortgage, pledge, lien, security interest, conditional sale or other title retention agreement or other similar encumbrance.</w:t>
      </w:r>
    </w:p>
    <w:p>
      <w:pPr>
        <w:spacing w:after="0" w:line="225"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Principal Domestic Manufacturing Property</w:t>
      </w:r>
      <w:r>
        <w:rPr>
          <w:rFonts w:ascii="Times New Roman" w:cs="Times New Roman" w:eastAsia="Times New Roman" w:hAnsi="Times New Roman"/>
          <w:sz w:val="18"/>
          <w:szCs w:val="18"/>
          <w:color w:val="auto"/>
        </w:rPr>
        <w:t>” means all real property located within the continental United States of America and constituting part of any manufacturing plant or facility owned and operated by the Company or any Manufacturing Subsidiary, together with such manufacturing plant or facility (including all plumbing, electrical, ventilating, heating, cooling, lighting and other utility systems, ducts and pipes attached to or constituting a part thereof, but excluding all trade fixtures (unless such trade fixtures are attached to the manufacturing plant or facility in a manner that does not permit removal therefrom without causing substantial damage thereto), business machinery, equipment, motorized vehicles, tools, supplies and materials, security systems, cameras, inventory and other personal property and materials), unless, in the opinion of the Board of Directors of the Company, such manufacturing plant or facility is not of material importance to the total business conducted by the Company and its consolidated affiliates as an entity.</w:t>
      </w:r>
    </w:p>
    <w:p>
      <w:pPr>
        <w:spacing w:after="0" w:line="185" w:lineRule="exact"/>
        <w:rPr>
          <w:sz w:val="20"/>
          <w:szCs w:val="20"/>
          <w:color w:val="auto"/>
        </w:rPr>
      </w:pPr>
    </w:p>
    <w:p>
      <w:pPr>
        <w:ind w:right="20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any corporation of which at least a majority of the outstanding stock having by the terms thereof ordinary voting power to elect a majority of the board of directors of such corporation (irrespective of whether or not at the time stock of any other class or classes of such corporation shall have or might have voting power by reason of the happening of any contingency) is at the time owned by the Company, or by one or more Subsidiaries, or by the Company and one or more Subsidiaries.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66" w:right="459" w:bottom="1440" w:gutter="0" w:footer="0" w:header="0"/>
        </w:sectPr>
      </w:pPr>
    </w:p>
    <w:bookmarkStart w:id="52" w:name="page53"/>
    <w:bookmarkEnd w:id="52"/>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3.03. </w:t>
      </w:r>
      <w:r>
        <w:rPr>
          <w:rFonts w:ascii="Times New Roman" w:cs="Times New Roman" w:eastAsia="Times New Roman" w:hAnsi="Times New Roman"/>
          <w:sz w:val="18"/>
          <w:szCs w:val="18"/>
          <w:i w:val="1"/>
          <w:iCs w:val="1"/>
          <w:color w:val="auto"/>
        </w:rPr>
        <w:t>Limitation on Liens.</w:t>
      </w:r>
      <w:r>
        <w:rPr>
          <w:rFonts w:ascii="Times New Roman" w:cs="Times New Roman" w:eastAsia="Times New Roman" w:hAnsi="Times New Roman"/>
          <w:sz w:val="18"/>
          <w:szCs w:val="18"/>
          <w:color w:val="auto"/>
        </w:rPr>
        <w:t xml:space="preserve"> For the benefit of the Notes, the Company will not, nor will the Company permit any Manufacturing Subsidiary to, issue or assume any Debt secured by a Mortgage upon any Principal Domestic Manufacturing Property of the Company or any Manufacturing Subsidiary or upon any shares of stock or indebtedness of any Manufacturing Subsidiary (whether such Principal Domestic Manufacturing Property, shares of stock or indebtedness are now owned or hereafter acquired) without in any such case effectively providing concurrently with the issuance or assumption of any such Debt that the Notes (together with, if the Company shall so determine, any other indebtedness of the Company or such Manufacturing Subsidiary ranking equally with the Notes and then existing or thereafter created) shall be secured equally and ratably with such Debt, unless the aggregate amount of Debt issued or assumed and so secured by Mortgages, together with all other Debt of the Company and its Manufacturing Subsidiaries which (if originally issued or assumed at such time) would otherwise be subject to the foregoing restrictions, but not including Debt permitted to be secured under clauses (i) through (vii) of the immediately following paragraph, does not at the time exceed 15% of the Consolidated Tangible Assets of the Company.</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above restrictions shall not apply to Debt secured by:</w:t>
      </w:r>
    </w:p>
    <w:p>
      <w:pPr>
        <w:spacing w:after="0" w:line="117" w:lineRule="exact"/>
        <w:rPr>
          <w:sz w:val="20"/>
          <w:szCs w:val="20"/>
          <w:color w:val="auto"/>
        </w:rPr>
      </w:pPr>
    </w:p>
    <w:p>
      <w:pPr>
        <w:ind w:left="440" w:firstLine="419"/>
        <w:spacing w:after="0" w:line="282" w:lineRule="auto"/>
        <w:tabs>
          <w:tab w:leader="none" w:pos="107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on property, shares of stock or indebtedness of any corporation existing at the time such corporation becomes a Manufacturing Subsidiary;</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on property existing at the time of acquisition thereof or to secure the payment of all or any part of the purchase or</w:t>
      </w:r>
    </w:p>
    <w:p>
      <w:pPr>
        <w:spacing w:after="0" w:line="27" w:lineRule="exact"/>
        <w:rPr>
          <w:rFonts w:ascii="Times New Roman" w:cs="Times New Roman" w:eastAsia="Times New Roman" w:hAnsi="Times New Roman"/>
          <w:sz w:val="18"/>
          <w:szCs w:val="18"/>
          <w:color w:val="auto"/>
        </w:rPr>
      </w:pPr>
    </w:p>
    <w:p>
      <w:pPr>
        <w:ind w:left="440" w:right="1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price of property, or to secure Debt incurred for the purpose of financing all or part of the purchase or construction price of property or the cost of improvements on property, which Debt is incurred prior to, at the time of, or within 180 days after the later of such acquisition or completion of such improvements or construction or commencement of full operation of such property;</w:t>
      </w:r>
    </w:p>
    <w:p>
      <w:pPr>
        <w:spacing w:after="0" w:line="77"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securing Debt of a Manufacturing Subsidiary owing to the Company or to another Manufacturing Subsidiary;</w:t>
      </w:r>
    </w:p>
    <w:p>
      <w:pPr>
        <w:spacing w:after="0" w:line="117" w:lineRule="exact"/>
        <w:rPr>
          <w:rFonts w:ascii="Times New Roman" w:cs="Times New Roman" w:eastAsia="Times New Roman" w:hAnsi="Times New Roman"/>
          <w:sz w:val="18"/>
          <w:szCs w:val="18"/>
          <w:color w:val="auto"/>
        </w:rPr>
      </w:pPr>
    </w:p>
    <w:p>
      <w:pPr>
        <w:ind w:left="440" w:right="160" w:firstLine="419"/>
        <w:spacing w:after="0" w:line="266" w:lineRule="auto"/>
        <w:tabs>
          <w:tab w:leader="none" w:pos="116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on property of a corporation existing at the time such corporation is merged or consolidated with the Company or a Manufacturing Subsidiary or at the time of a sale, lease or other disposition of the properties of a corporation as an entirety or substantially as an entirety to the Company or a Manufacturing Subsidiary;</w:t>
      </w:r>
    </w:p>
    <w:p>
      <w:pPr>
        <w:spacing w:after="0" w:line="67" w:lineRule="exact"/>
        <w:rPr>
          <w:rFonts w:ascii="Times New Roman" w:cs="Times New Roman" w:eastAsia="Times New Roman" w:hAnsi="Times New Roman"/>
          <w:sz w:val="18"/>
          <w:szCs w:val="18"/>
          <w:color w:val="auto"/>
        </w:rPr>
      </w:pPr>
    </w:p>
    <w:p>
      <w:pPr>
        <w:ind w:left="440" w:right="260" w:firstLine="419"/>
        <w:spacing w:after="0" w:line="258" w:lineRule="auto"/>
        <w:tabs>
          <w:tab w:leader="none" w:pos="111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in favor of the United States of America or any State thereof, or any department, agency or instrumentality or political subdivision of the United States of America or any State thereof, or in favor of any other country, or any political subdivision thereof, to secure partial, progress, advance or other payments pursuant to any contract or statute or to secure any indebtedness incurred or guaranteed for the purpose of financing all or any part of the purchase price or the cost of construction or improvement of the property subject to such Mortgages (including, without limitation, Mortgages incurred in connection with pollution control, industrial revenue or similar financing);</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68" w:right="459" w:bottom="1440" w:gutter="0" w:footer="0" w:header="0"/>
        </w:sectPr>
      </w:pPr>
    </w:p>
    <w:bookmarkStart w:id="53" w:name="page54"/>
    <w:bookmarkEnd w:id="53"/>
    <w:p>
      <w:pPr>
        <w:ind w:left="1160" w:hanging="301"/>
        <w:spacing w:after="0"/>
        <w:tabs>
          <w:tab w:leader="none" w:pos="11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Mortgages existing on May 7, 2025; or</w:t>
      </w:r>
    </w:p>
    <w:p>
      <w:pPr>
        <w:spacing w:after="0" w:line="117" w:lineRule="exact"/>
        <w:rPr>
          <w:rFonts w:ascii="Times New Roman" w:cs="Times New Roman" w:eastAsia="Times New Roman" w:hAnsi="Times New Roman"/>
          <w:sz w:val="18"/>
          <w:szCs w:val="18"/>
          <w:color w:val="auto"/>
        </w:rPr>
      </w:pPr>
    </w:p>
    <w:p>
      <w:pPr>
        <w:ind w:left="440" w:right="40" w:firstLine="419"/>
        <w:spacing w:after="0" w:line="258" w:lineRule="auto"/>
        <w:tabs>
          <w:tab w:leader="none" w:pos="121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extension, renewal or replacement (or successive extensions, renewals or replacements) in whole or in part of any Mortgage referred to in the foregoing clauses (i) to (vi) or in this clause (vii);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principal amount of Debt secured thereby shall not exceed the principal amount of Debt so secured at the time of such extension, renewal or replacement and that such extension, renewal or replacement shall be limited to all or a part of the property which secured the Mortgage so extended, renewed or replaced (plus improvements on such property).</w:t>
      </w:r>
    </w:p>
    <w:p>
      <w:pPr>
        <w:spacing w:after="0" w:line="181"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i w:val="1"/>
          <w:iCs w:val="1"/>
          <w:color w:val="auto"/>
        </w:rPr>
        <w:t>Limitation on Sales and Lease-Backs</w:t>
      </w:r>
      <w:r>
        <w:rPr>
          <w:rFonts w:ascii="Times New Roman" w:cs="Times New Roman" w:eastAsia="Times New Roman" w:hAnsi="Times New Roman"/>
          <w:sz w:val="18"/>
          <w:szCs w:val="18"/>
          <w:color w:val="auto"/>
        </w:rPr>
        <w:t>. For the benefit of the Notes, the Company will not, nor will the Company permit any Manufacturing Subsidiary to, enter into any arrangement with any person providing for the leasing by the Company or any Manufacturing Subsidiary of any Principal Domestic Manufacturing Property owned by the Company or any Manufacturing Subsidiary on May 7, 2025 (except for temporary leases for a term of not more than five years and except for leases between the Company and a Manufacturing Subsidiary or between Manufacturing Subsidiaries), which property has been or is to be sold or transferred by the Company or such Manufacturing Subsidiary to such person, unless either:</w:t>
      </w:r>
    </w:p>
    <w:p>
      <w:pPr>
        <w:spacing w:after="0" w:line="77" w:lineRule="exact"/>
        <w:rPr>
          <w:sz w:val="20"/>
          <w:szCs w:val="20"/>
          <w:color w:val="auto"/>
        </w:rPr>
      </w:pPr>
    </w:p>
    <w:p>
      <w:pPr>
        <w:ind w:left="440" w:right="60" w:firstLine="419"/>
        <w:spacing w:after="0" w:line="256" w:lineRule="auto"/>
        <w:tabs>
          <w:tab w:leader="none" w:pos="107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or such Manufacturing Subsidiary would be entitled, pursuant to the provisions of Section 3.03 above, to issue, assume, extend, renew or replace Debt secured by a Mortgage upon such property at least equal in amount to the Attributable Debt in respect of such arrangement without equally and ratably securing the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from and after the date on which such arrangement becomes effective the Attributable Debt in respect of such arrangement shall be deemed for all purposes under Section 3.03 above and this Section 3.04 to be Debt subject to the provisions of Section 3.03 above (which provisions include the exceptions set forth in clauses (i) through (vii) of Section 3.03 above); or</w:t>
      </w:r>
    </w:p>
    <w:p>
      <w:pPr>
        <w:spacing w:after="0" w:line="79" w:lineRule="exact"/>
        <w:rPr>
          <w:rFonts w:ascii="Times New Roman" w:cs="Times New Roman" w:eastAsia="Times New Roman" w:hAnsi="Times New Roman"/>
          <w:sz w:val="18"/>
          <w:szCs w:val="18"/>
          <w:color w:val="auto"/>
        </w:rPr>
      </w:pPr>
    </w:p>
    <w:p>
      <w:pPr>
        <w:ind w:left="440" w:firstLine="419"/>
        <w:spacing w:after="0" w:line="256" w:lineRule="auto"/>
        <w:tabs>
          <w:tab w:leader="none" w:pos="112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apply an amount in cash equal to the Attributable Debt in respect of such arrangement within 180 days of the effective date of any such arrangement to either (or a combination) of (i) the retirement (other than any mandatory retirement or by way of payment at maturity) of Debt of ours or any Manufacturing Subsidiary (other than Debt owned by the Company or any Manufacturing Subsidiary) which by its terms matures at or is extendible or renewable at the option of the obligor to a date more than twelve months after the date of the creation of such Debt, or (ii) the purchase, construction or development by the Company or a Manufacturing Subsidiary of other comparable property.</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70" w:right="479" w:bottom="1440" w:gutter="0" w:footer="0" w:header="0"/>
        </w:sectPr>
      </w:pPr>
    </w:p>
    <w:bookmarkStart w:id="54" w:name="page55"/>
    <w:bookmarkEnd w:id="54"/>
    <w:p>
      <w:pPr>
        <w:jc w:val="center"/>
        <w:ind w:right="-5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4</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FORM OF NOTES</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i w:val="1"/>
          <w:iCs w:val="1"/>
          <w:color w:val="auto"/>
        </w:rPr>
        <w:t>Form of Notes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120" w:firstLine="436"/>
        <w:spacing w:after="0" w:line="256" w:lineRule="auto"/>
        <w:tabs>
          <w:tab w:leader="none" w:pos="68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2028 Notes and the Trustee’s certificate of authentication thereon shall be substantially in the form set forth in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 xml:space="preserve"> hereto, with such appropriate insertions, omissions, substitutions and other variations as are required or permitted by the Base Indenture and this Supplemental Indenture, and may have such letters, numbers or other marks of identification and such legends or endorsements placed thereon as may be required to comply with applicable tax laws or the rules of any securities exchange or Depositary therefor or as may, consistent herewith, be determined by the signatory authorized by the Company to execute such 2028 Notes, as evidenced by the execution thereof. All 2028 Notes shall be in fully registered form.</w:t>
      </w:r>
    </w:p>
    <w:p>
      <w:pPr>
        <w:spacing w:after="0" w:line="187" w:lineRule="exact"/>
        <w:rPr>
          <w:rFonts w:ascii="Times New Roman" w:cs="Times New Roman" w:eastAsia="Times New Roman" w:hAnsi="Times New Roman"/>
          <w:sz w:val="18"/>
          <w:szCs w:val="18"/>
          <w:color w:val="auto"/>
        </w:rPr>
      </w:pPr>
    </w:p>
    <w:p>
      <w:pPr>
        <w:ind w:right="120" w:firstLine="436"/>
        <w:spacing w:after="0" w:line="256" w:lineRule="auto"/>
        <w:tabs>
          <w:tab w:leader="none" w:pos="69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2030 Notes and the Trustee’s certificate of authentication thereon shall be substantially in the form set forth in </w:t>
      </w:r>
      <w:r>
        <w:rPr>
          <w:rFonts w:ascii="Times New Roman" w:cs="Times New Roman" w:eastAsia="Times New Roman" w:hAnsi="Times New Roman"/>
          <w:sz w:val="18"/>
          <w:szCs w:val="18"/>
          <w:u w:val="single" w:color="auto"/>
          <w:color w:val="auto"/>
        </w:rPr>
        <w:t>Exhibit A-2</w:t>
      </w:r>
      <w:r>
        <w:rPr>
          <w:rFonts w:ascii="Times New Roman" w:cs="Times New Roman" w:eastAsia="Times New Roman" w:hAnsi="Times New Roman"/>
          <w:sz w:val="18"/>
          <w:szCs w:val="18"/>
          <w:color w:val="auto"/>
        </w:rPr>
        <w:t xml:space="preserve"> hereto, with such appropriate insertions, omissions, substitutions and other variations as are required or permitted by the Base Indenture and this Supplemental Indenture, and may have such letters, numbers or other marks of identification and such legends or endorsements placed thereon as may be required to comply with applicable tax laws or the rules of any securities exchange or Depositary therefor or as may, consistent herewith, be determined by the signatory authorized by the Company to execute such 2030 Notes, as evidenced by the execution thereof. All 2030 Notes shall be in fully registered form.</w:t>
      </w:r>
    </w:p>
    <w:p>
      <w:pPr>
        <w:spacing w:after="0" w:line="187" w:lineRule="exact"/>
        <w:rPr>
          <w:rFonts w:ascii="Times New Roman" w:cs="Times New Roman" w:eastAsia="Times New Roman" w:hAnsi="Times New Roman"/>
          <w:sz w:val="18"/>
          <w:szCs w:val="18"/>
          <w:color w:val="auto"/>
        </w:rPr>
      </w:pPr>
    </w:p>
    <w:p>
      <w:pPr>
        <w:ind w:right="120" w:firstLine="436"/>
        <w:spacing w:after="0" w:line="256" w:lineRule="auto"/>
        <w:tabs>
          <w:tab w:leader="none" w:pos="68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2035 Notes and the Trustee’s certificate of authentication thereon shall be substantially in the form set forth in </w:t>
      </w:r>
      <w:r>
        <w:rPr>
          <w:rFonts w:ascii="Times New Roman" w:cs="Times New Roman" w:eastAsia="Times New Roman" w:hAnsi="Times New Roman"/>
          <w:sz w:val="18"/>
          <w:szCs w:val="18"/>
          <w:u w:val="single" w:color="auto"/>
          <w:color w:val="auto"/>
        </w:rPr>
        <w:t>Exhibit A-3</w:t>
      </w:r>
      <w:r>
        <w:rPr>
          <w:rFonts w:ascii="Times New Roman" w:cs="Times New Roman" w:eastAsia="Times New Roman" w:hAnsi="Times New Roman"/>
          <w:sz w:val="18"/>
          <w:szCs w:val="18"/>
          <w:color w:val="auto"/>
        </w:rPr>
        <w:t xml:space="preserve"> hereto, with such appropriate insertions, omissions, substitutions and other variations as are required or permitted by the Base Indenture and this Supplemental Indenture, and may have such letters, numbers or other marks of identification and such legends or endorsements placed thereon as may be required to comply with applicable tax laws or the rules of any securities exchange or Depositary therefor or as may, consistent herewith, be determined by the signatory authorized by the Company to execute such 2035 Notes, as evidenced by the execution thereof. All 2035 Notes shall be in fully registered form.</w:t>
      </w:r>
    </w:p>
    <w:p>
      <w:pPr>
        <w:spacing w:after="0" w:line="18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i w:val="1"/>
          <w:iCs w:val="1"/>
          <w:color w:val="auto"/>
        </w:rPr>
        <w:t>Global Securities.</w:t>
      </w:r>
      <w:r>
        <w:rPr>
          <w:rFonts w:ascii="Times New Roman" w:cs="Times New Roman" w:eastAsia="Times New Roman" w:hAnsi="Times New Roman"/>
          <w:sz w:val="18"/>
          <w:szCs w:val="18"/>
          <w:color w:val="auto"/>
        </w:rPr>
        <w:t xml:space="preserve"> Upon their original issuance, the 2028 Notes, 2030 Notes and 2035 Notes shall each be issued in the form of one or more permanent global notes in definitive, fully registered form without interest coupons (the “</w:t>
      </w:r>
      <w:r>
        <w:rPr>
          <w:rFonts w:ascii="Times New Roman" w:cs="Times New Roman" w:eastAsia="Times New Roman" w:hAnsi="Times New Roman"/>
          <w:sz w:val="18"/>
          <w:szCs w:val="18"/>
          <w:b w:val="1"/>
          <w:bCs w:val="1"/>
          <w:color w:val="auto"/>
        </w:rPr>
        <w:t>Global Securities</w:t>
      </w:r>
      <w:r>
        <w:rPr>
          <w:rFonts w:ascii="Times New Roman" w:cs="Times New Roman" w:eastAsia="Times New Roman" w:hAnsi="Times New Roman"/>
          <w:sz w:val="18"/>
          <w:szCs w:val="18"/>
          <w:color w:val="auto"/>
        </w:rPr>
        <w:t>”) and shall constitute “Global Securities” under the Base Indenture. Each such Global Security shall be duly executed by the Company, shall be authenticated and delivered by the Trustee and shall be initially registered in the name of Cede &amp; Co. as nominee for the Depositary. DTC shall be the initial Depositary for the 2028 Notes, 2030 Notes and 2035 Notes upon their original issuance. Beneficial interests in the Global Securities will be shown on, and transfers will only be made through, the records maintained by the Depositary, its members or its direct or indirect participants, including Euroclear and Clearstream (collectively, the “</w:t>
      </w:r>
      <w:r>
        <w:rPr>
          <w:rFonts w:ascii="Times New Roman" w:cs="Times New Roman" w:eastAsia="Times New Roman" w:hAnsi="Times New Roman"/>
          <w:sz w:val="18"/>
          <w:szCs w:val="18"/>
          <w:b w:val="1"/>
          <w:bCs w:val="1"/>
          <w:color w:val="auto"/>
        </w:rPr>
        <w:t>Agent Members</w:t>
      </w:r>
      <w:r>
        <w:rPr>
          <w:rFonts w:ascii="Times New Roman" w:cs="Times New Roman" w:eastAsia="Times New Roman" w:hAnsi="Times New Roman"/>
          <w:sz w:val="18"/>
          <w:szCs w:val="18"/>
          <w:color w:val="auto"/>
        </w:rPr>
        <w:t>”). The Agent Members shall have no rights under the Base Indenture or the Supplemental Indenture with respect</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60"/>
          </w:cols>
          <w:pgMar w:left="440" w:top="270" w:right="499" w:bottom="1440" w:gutter="0" w:footer="0" w:header="0"/>
        </w:sectPr>
      </w:pPr>
    </w:p>
    <w:bookmarkStart w:id="55" w:name="page56"/>
    <w:bookmarkEnd w:id="55"/>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any Global Security held on their behalf by the Depositary, or the Trustee as its custodian, or under the Global Securities. The Depositary or its nominee may be treated by the Company, the Trustee and any agent of the Company or the Trustee as the absolute owner of the Global Securities for all purposes whatsoever. Notwithstanding the foregoing, nothing herein shall prevent the Company, the Trustee or any agent of the Company or the Trustee from giving effect to any written certification, proxy or other authorization furnished by the Depositary (or its nominee), or impair, as between the Depositary and its Agent Members, the operation of customary practices governing the exercise of the rights of a Holder of any Note.</w:t>
      </w:r>
    </w:p>
    <w:p>
      <w:pPr>
        <w:spacing w:after="0" w:line="183" w:lineRule="exact"/>
        <w:rPr>
          <w:sz w:val="20"/>
          <w:szCs w:val="20"/>
          <w:color w:val="auto"/>
        </w:rPr>
      </w:pPr>
    </w:p>
    <w:p>
      <w:pPr>
        <w:ind w:right="20" w:firstLine="436"/>
        <w:spacing w:after="0" w:line="256" w:lineRule="auto"/>
        <w:tabs>
          <w:tab w:leader="none" w:pos="68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Transfers of Global Securities shall be limited to transfer in whole, but not in part, to the Depositary, its successors or their respective nominees, except as provided in the Base Indenture. Interests of beneficial owners in the Global Securities may be transferred or exchanged in the name of any Person other than the Depositary or its nominee only in accordance with the applicable rules and procedures of the Depositary and the applicable provisions of Section 311 of the Base Indenture. Global Securities also may be exchanged or replaced, in whole or in part, as provided in Sections 304 and 306 of the Base Indenture. A Global Security may not be exchanged for another Note other than as provided in this Section 4.02(b) or the Base Indenture.</w:t>
      </w:r>
    </w:p>
    <w:p>
      <w:pPr>
        <w:spacing w:after="0" w:line="79" w:lineRule="exact"/>
        <w:rPr>
          <w:rFonts w:ascii="Times New Roman" w:cs="Times New Roman" w:eastAsia="Times New Roman" w:hAnsi="Times New Roman"/>
          <w:sz w:val="18"/>
          <w:szCs w:val="18"/>
          <w:color w:val="auto"/>
        </w:rPr>
      </w:pPr>
    </w:p>
    <w:p>
      <w:pPr>
        <w:ind w:left="440" w:right="80" w:firstLine="419"/>
        <w:spacing w:after="0" w:line="253" w:lineRule="auto"/>
        <w:tabs>
          <w:tab w:leader="none" w:pos="112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such time as all beneficial interests in a particular Global Security have been exchanged for Notes that are issued, under the circumstances permitted under the Base Indenture and this Supplemental Indenture, in the name of a Person other than the Depositary or its nominee (a “</w:t>
      </w:r>
      <w:r>
        <w:rPr>
          <w:rFonts w:ascii="Times New Roman" w:cs="Times New Roman" w:eastAsia="Times New Roman" w:hAnsi="Times New Roman"/>
          <w:sz w:val="18"/>
          <w:szCs w:val="18"/>
          <w:b w:val="1"/>
          <w:bCs w:val="1"/>
          <w:color w:val="auto"/>
        </w:rPr>
        <w:t>Definitive Security</w:t>
      </w:r>
      <w:r>
        <w:rPr>
          <w:rFonts w:ascii="Times New Roman" w:cs="Times New Roman" w:eastAsia="Times New Roman" w:hAnsi="Times New Roman"/>
          <w:sz w:val="18"/>
          <w:szCs w:val="18"/>
          <w:color w:val="auto"/>
        </w:rPr>
        <w:t>”) or a particular Global Security has been redeemed, repurchased or cancelled in whole and not in part, each such Global Security shall be returned to or retained and cancelled by the Trustee in accordance with Section 309 of the Base Indenture. At any time prior to such cancellation, if any beneficial interest in a Global Security is being exchanged for or transferred to a Person who will take delivery thereof in the form of a beneficial interest in another Global Security of the same series or for Definitive Securities, or is being surrendered by the Company for cancellation after redemption, repurchase or other acquisition by the Company, the principal amount of Notes represented by such Global Security shall be reduced accordingly and an endorsement shall be made on such Global Security by the Security Registrar or by the Depositary at the direction of the Trustee to reflect such reduction; and if the beneficial interest is being exchanged for or transferred to a Person who will take delivery thereof in the form of a beneficial interest in another Global Security of the same series, such other Global Security shall be increased accordingly and an endorsement shall be made on such other Global Security by the Security Registrar or by the Depositary at the direction of the Trustee to reflect such increase.</w:t>
      </w:r>
    </w:p>
    <w:p>
      <w:pPr>
        <w:spacing w:after="0" w:line="1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0"/>
          </w:cols>
          <w:pgMar w:left="440" w:top="270" w:right="499" w:bottom="1440" w:gutter="0" w:footer="0" w:header="0"/>
        </w:sectPr>
      </w:pPr>
    </w:p>
    <w:bookmarkStart w:id="56" w:name="page57"/>
    <w:bookmarkEnd w:id="56"/>
    <w:p>
      <w:pPr>
        <w:ind w:right="100" w:firstLine="436"/>
        <w:spacing w:after="0" w:line="282" w:lineRule="auto"/>
        <w:tabs>
          <w:tab w:leader="none" w:pos="69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Note certificate evidencing the Global Securities shall bear a legend in substantially the following form (each defined term in the legend being defined as such for purposes of the legend only):</w:t>
      </w:r>
    </w:p>
    <w:p>
      <w:pPr>
        <w:spacing w:after="0" w:line="54"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“UNLESS THIS CERTIFICATE IS PRESENTED BY AN AUTHORIZED REPRESENTATIVE OF THE DEPOSITORY TRUST COMPANY, A NEW YORK CORPORATION (“DTC”), NEW YORK, NEW YORK, TO THE COMPANY OR ITS AGENT FOR REGISTRATION OF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9" w:lineRule="exact"/>
        <w:rPr>
          <w:sz w:val="20"/>
          <w:szCs w:val="20"/>
          <w:color w:val="auto"/>
        </w:rPr>
      </w:pPr>
    </w:p>
    <w:p>
      <w:pPr>
        <w:ind w:right="380" w:firstLine="440"/>
        <w:spacing w:after="0" w:line="261" w:lineRule="auto"/>
        <w:rPr>
          <w:sz w:val="20"/>
          <w:szCs w:val="20"/>
          <w:color w:val="auto"/>
        </w:rPr>
      </w:pPr>
      <w:r>
        <w:rPr>
          <w:rFonts w:ascii="Times New Roman" w:cs="Times New Roman" w:eastAsia="Times New Roman" w:hAnsi="Times New Roman"/>
          <w:sz w:val="18"/>
          <w:szCs w:val="18"/>
          <w:color w:val="auto"/>
        </w:rPr>
        <w:t>TRANSFERS OF THIS GLOBAL SECURITY SHALL BE LIMITED TO TRANSFERS IN WHOLE, BUT NOT IN PART, TO DTC, TO NOMINEES OF DTC OR TO A SUCCESSOR THEREOF OR SUCH SUCCESSOR’S NOMINEE AND TRANSFERS OF PORTIONS OF THIS GLOBAL SECURITY SHALL BE LIMITED TO TRANSFERS MADE IN ACCORDANCE WITH THE RESTRICTIONS SET FORTH IN THE INDENTURE REFERRED TO ON THE REVERSE HEREOF.”</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5</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ORIGINAL ISSUE OF NOTES</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i w:val="1"/>
          <w:iCs w:val="1"/>
          <w:color w:val="auto"/>
        </w:rPr>
        <w:t>Original Issue of Notes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880" w:firstLine="436"/>
        <w:spacing w:after="0" w:line="312" w:lineRule="auto"/>
        <w:tabs>
          <w:tab w:leader="none" w:pos="685"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2028 Notes may, upon execution of this Supplemental Indenture, be executed by the Company and delivered to the Trustee for authentication, and the Trustee shall, upon Company Order, authenticate and deliver such 2028 Notes as in such Company Order provided.</w:t>
      </w:r>
    </w:p>
    <w:p>
      <w:pPr>
        <w:spacing w:after="0" w:line="139" w:lineRule="exact"/>
        <w:rPr>
          <w:rFonts w:ascii="Times New Roman" w:cs="Times New Roman" w:eastAsia="Times New Roman" w:hAnsi="Times New Roman"/>
          <w:sz w:val="17"/>
          <w:szCs w:val="17"/>
          <w:color w:val="auto"/>
        </w:rPr>
      </w:pPr>
    </w:p>
    <w:p>
      <w:pPr>
        <w:ind w:right="880" w:firstLine="436"/>
        <w:spacing w:after="0" w:line="312" w:lineRule="auto"/>
        <w:tabs>
          <w:tab w:leader="none" w:pos="695"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2030 Notes may, upon execution of this Supplemental Indenture, be executed by the Company and delivered to the Trustee for authentication, and the Trustee shall, upon Company Order, authenticate and deliver such 2030 Notes as in such Company Order provided.</w:t>
      </w:r>
    </w:p>
    <w:p>
      <w:pPr>
        <w:spacing w:after="0" w:line="139" w:lineRule="exact"/>
        <w:rPr>
          <w:rFonts w:ascii="Times New Roman" w:cs="Times New Roman" w:eastAsia="Times New Roman" w:hAnsi="Times New Roman"/>
          <w:sz w:val="17"/>
          <w:szCs w:val="17"/>
          <w:color w:val="auto"/>
        </w:rPr>
      </w:pPr>
    </w:p>
    <w:p>
      <w:pPr>
        <w:ind w:right="880" w:firstLine="436"/>
        <w:spacing w:after="0" w:line="312" w:lineRule="auto"/>
        <w:tabs>
          <w:tab w:leader="none" w:pos="685"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2035 Notes may, upon execution of this Supplemental Indenture, be executed by the Company and delivered to the Trustee for authentication, and the Trustee shall, upon Company Order, authenticate and deliver such 2035 Notes as in such Company Order provided.</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6</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MISCELLANEOUS</w:t>
      </w:r>
    </w:p>
    <w:p>
      <w:pPr>
        <w:spacing w:after="0" w:line="205"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i w:val="1"/>
          <w:iCs w:val="1"/>
          <w:color w:val="auto"/>
        </w:rPr>
        <w:t>Ratification of Base Indenture</w:t>
      </w:r>
      <w:r>
        <w:rPr>
          <w:rFonts w:ascii="Times New Roman" w:cs="Times New Roman" w:eastAsia="Times New Roman" w:hAnsi="Times New Roman"/>
          <w:sz w:val="18"/>
          <w:szCs w:val="18"/>
          <w:color w:val="auto"/>
        </w:rPr>
        <w:t xml:space="preserve">. The Base Indenture, as supplemented by this Supplemental Indenture, is in all respects ratified and confirmed, and this Supplemental Indenture shall be deemed part of the Base Indenture in the manner and to the extent herein and therein provided;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provisions of this Supplemental Indenture shall apply solely with respect to the Notes and not to any other series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issued under the Base Indenture.</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57" w:name="page58"/>
    <w:bookmarkEnd w:id="57"/>
    <w:p>
      <w:pPr>
        <w:ind w:right="80" w:firstLine="440"/>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6.02. </w:t>
      </w:r>
      <w:r>
        <w:rPr>
          <w:rFonts w:ascii="Times New Roman" w:cs="Times New Roman" w:eastAsia="Times New Roman" w:hAnsi="Times New Roman"/>
          <w:sz w:val="18"/>
          <w:szCs w:val="18"/>
          <w:i w:val="1"/>
          <w:iCs w:val="1"/>
          <w:color w:val="auto"/>
        </w:rPr>
        <w:t>Trustee Not Responsible for Recitals</w:t>
      </w:r>
      <w:r>
        <w:rPr>
          <w:rFonts w:ascii="Times New Roman" w:cs="Times New Roman" w:eastAsia="Times New Roman" w:hAnsi="Times New Roman"/>
          <w:sz w:val="18"/>
          <w:szCs w:val="18"/>
          <w:color w:val="auto"/>
        </w:rPr>
        <w:t>. The recitals herein contained are made solely by the Company and not by the Trustee, and the Trustee assumes no responsibility for the correctness thereof. The Trustee makes no representation as to the validity, sufficiency or adequacy of this Supplemental Indenture.</w:t>
      </w:r>
    </w:p>
    <w:p>
      <w:pPr>
        <w:spacing w:after="0" w:line="173"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This Supplemental Indenture and the Notes shall be governed by and construed in accordance with the law of the State of New York in the United States. EACH OF THE COMPANY, THE TRUSTEE AND EACH HOLDER OF THE NOTES BY ITS ACCEPTANCE THEREOF, HEREBY IRREVOCABLY WAIVES, TO THE FULLEST EXTENT PERMITTED BY APPLICABLE LAW, ANY AND ALL RIGHT TO TRIAL BY JURY IN ANY LEGAL PROCEEDING ARISING OUT OF OR RELATING TO THIS SUPPLEMENTAL INDENTURE, THE NOTES OR THE TRANSACTIONS CONTEMPLATED HEREBY OR THEREBY.</w:t>
      </w:r>
    </w:p>
    <w:p>
      <w:pPr>
        <w:spacing w:after="0" w:line="183" w:lineRule="exact"/>
        <w:rPr>
          <w:sz w:val="20"/>
          <w:szCs w:val="20"/>
          <w:color w:val="auto"/>
        </w:rPr>
      </w:pPr>
    </w:p>
    <w:p>
      <w:pPr>
        <w:ind w:right="26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i w:val="1"/>
          <w:iCs w:val="1"/>
          <w:color w:val="auto"/>
        </w:rPr>
        <w:t>Separability Clause</w:t>
      </w:r>
      <w:r>
        <w:rPr>
          <w:rFonts w:ascii="Times New Roman" w:cs="Times New Roman" w:eastAsia="Times New Roman" w:hAnsi="Times New Roman"/>
          <w:sz w:val="18"/>
          <w:szCs w:val="18"/>
          <w:color w:val="auto"/>
        </w:rPr>
        <w:t>. In case any provision in the Base Indenture, this Supplemental Indenture or in the Notes is invalid, illegal or unenforceable, the validity, legality and enforceability of the remaining provisions shall not in any way be affected or impaired thereby.</w:t>
      </w:r>
    </w:p>
    <w:p>
      <w:pPr>
        <w:spacing w:after="0" w:line="158" w:lineRule="exact"/>
        <w:rPr>
          <w:sz w:val="20"/>
          <w:szCs w:val="20"/>
          <w:color w:val="auto"/>
        </w:rPr>
      </w:pPr>
    </w:p>
    <w:p>
      <w:pPr>
        <w:ind w:right="26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i w:val="1"/>
          <w:iCs w:val="1"/>
          <w:color w:val="auto"/>
        </w:rPr>
        <w:t>Effect of Headings and Table of Contents</w:t>
      </w:r>
      <w:r>
        <w:rPr>
          <w:rFonts w:ascii="Times New Roman" w:cs="Times New Roman" w:eastAsia="Times New Roman" w:hAnsi="Times New Roman"/>
          <w:sz w:val="18"/>
          <w:szCs w:val="18"/>
          <w:color w:val="auto"/>
        </w:rPr>
        <w:t>. The Article and Section headings herein and the Table of Contents are for convenience only and shall not affect the construction hereof.</w:t>
      </w:r>
    </w:p>
    <w:p>
      <w:pPr>
        <w:spacing w:after="0" w:line="158"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This Supplemental Indenture or any document to be signed in connection with this Supplemental Indenture may be executed in any number of counterparts by manual or electronic signature, each of which so executed shall be deemed to be an original, but all such counterparts shall together constitute but one and the same instrument. The exchange of copies of this Supplemental Indenture and of signature pages by electronic format (i.e., “pdf” or “tif”) transmission shall constitute effective execution and delivery of this Supplemental Indenture as to the parties hereto and may be used in lieu of the original Supplemental Indenture for all purposes. Signatures of the parties hereto transmitted by electronic format (i.e., “pdf” or “tif”) shall be deemed to be their original signatures for all purposes.</w:t>
      </w:r>
    </w:p>
    <w:p>
      <w:pPr>
        <w:spacing w:after="0" w:line="184"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The words “execution,” “delivered,” “signature,” “authenticated,” and words of like import in or relating to this Supplemental Indenture or any document to be signed in connection with this Supplemental Indenture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68" w:right="479" w:bottom="1440" w:gutter="0" w:footer="0" w:header="0"/>
        </w:sectPr>
      </w:pPr>
    </w:p>
    <w:bookmarkStart w:id="58" w:name="page59"/>
    <w:bookmarkEnd w:id="58"/>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6.07. </w:t>
      </w:r>
      <w:r>
        <w:rPr>
          <w:rFonts w:ascii="Times New Roman" w:cs="Times New Roman" w:eastAsia="Times New Roman" w:hAnsi="Times New Roman"/>
          <w:sz w:val="18"/>
          <w:szCs w:val="18"/>
          <w:i w:val="1"/>
          <w:iCs w:val="1"/>
          <w:color w:val="auto"/>
        </w:rPr>
        <w:t>Electronic Communications</w:t>
      </w:r>
      <w:r>
        <w:rPr>
          <w:rFonts w:ascii="Times New Roman" w:cs="Times New Roman" w:eastAsia="Times New Roman" w:hAnsi="Times New Roman"/>
          <w:sz w:val="18"/>
          <w:szCs w:val="18"/>
          <w:color w:val="auto"/>
        </w:rPr>
        <w:t>.The Trustee shall have the right to accept and act upon instructions (“Instructions”), given pursuant to the Base Indenture and delivered by the Company using Electronic Means (as defined below); provided, however, that the Company shall provide to the Trustee an incumbency certificate listing officers with the authority to provide such Instructions (“Authorized Officers”) and containing specimen signatures of such Authorized Officers, which incumbency certificate shall be amended by the Company whenever a person is to be added or deleted from the listing. The Company understands and agrees that the Trustee cannot determine the identity of the actual sender of such Instructions and that the Trustee shall conclusively presume that directions that purport to have been sent by an Authorized Officer listed on the incumbency certificate provided to the Trustee have been sent by such Authorized Officer. The Company shall be responsible for ensuring that only Authorized Officers transmit such Instructions to the Trustee and that the Company and all Authorized Officers are solely responsible to safeguard the use and confidentiality of applicable user and authorization codes, passwords and/or authentication keys upon receipt by the Company. The Company agrees: (i) to assume all risks arising out of the use by the Company of Electronic Means to submit Instructions to the Trustee, including without limitation the risk of the Trustee acting on unauthorized Instructions, and the risk of interception and misuse by third parties; (ii) that it is fully informed of the protections and risks associated with the various methods of transmitting Instructions to the Trustee and that there may be more secure methods of transmitting Instructions than the method(s) selected by the Company; (iii) that the security procedures (if any) to be followed in connection with its transmission of Instructions provide to it a commercially reasonable degree of protection in light of its particular needs and circumstances; and (iv) to notify the Trustee upon learning of any compromise or unauthorized use of the security procedures.</w:t>
      </w:r>
    </w:p>
    <w:p>
      <w:pPr>
        <w:spacing w:after="0" w:line="198" w:lineRule="exact"/>
        <w:rPr>
          <w:sz w:val="20"/>
          <w:szCs w:val="20"/>
          <w:color w:val="auto"/>
        </w:rPr>
      </w:pPr>
    </w:p>
    <w:p>
      <w:pPr>
        <w:ind w:right="560" w:firstLine="440"/>
        <w:spacing w:after="0" w:line="266" w:lineRule="auto"/>
        <w:rPr>
          <w:sz w:val="20"/>
          <w:szCs w:val="20"/>
          <w:color w:val="auto"/>
        </w:rPr>
      </w:pPr>
      <w:r>
        <w:rPr>
          <w:rFonts w:ascii="Times New Roman" w:cs="Times New Roman" w:eastAsia="Times New Roman" w:hAnsi="Times New Roman"/>
          <w:sz w:val="18"/>
          <w:szCs w:val="18"/>
          <w:color w:val="auto"/>
        </w:rPr>
        <w:t>For the purposes of this Section 6.07 “Electronic Means” shall mean the following communications methods: e-mail, secure electronic transmission containing applicable authorization codes, passwords and/or authentication keys issued by the Trustee, or another method or system specified by the Trustee as available for use in connection with its services hereunder.</w:t>
      </w:r>
    </w:p>
    <w:p>
      <w:pPr>
        <w:spacing w:after="0" w:line="174" w:lineRule="exact"/>
        <w:rPr>
          <w:sz w:val="20"/>
          <w:szCs w:val="20"/>
          <w:color w:val="auto"/>
        </w:rPr>
      </w:pPr>
    </w:p>
    <w:p>
      <w:pPr>
        <w:ind w:right="140"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i w:val="1"/>
          <w:iCs w:val="1"/>
          <w:color w:val="auto"/>
        </w:rPr>
        <w:t>FATCA.</w:t>
      </w:r>
      <w:r>
        <w:rPr>
          <w:rFonts w:ascii="Times New Roman" w:cs="Times New Roman" w:eastAsia="Times New Roman" w:hAnsi="Times New Roman"/>
          <w:sz w:val="18"/>
          <w:szCs w:val="18"/>
          <w:color w:val="auto"/>
        </w:rPr>
        <w:t xml:space="preserve"> In order to assist the Trustee with its compliance with Section 1471 through 1474 of the U. S. Internal Revenue Code and the rules and regulations thereunder (as in effect from time to time, collectively, the “</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the Company agrees (i) if reasonably requested by the Trustee to provide to the Trustee information as the Company may have in its possession about holders or other applicable parties and/or transactions (including any modification to the terms of such transactions) so the Trustee can determine whether it has tax related obligations under Applicable Law and (ii) that the Trustee shall be entitled to make any withholding or deduction from payments under the Indenture to the extent necessary to comply with Applicable Law.</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68" w:right="459" w:bottom="1440" w:gutter="0" w:footer="0" w:header="0"/>
        </w:sectPr>
      </w:pPr>
    </w:p>
    <w:bookmarkStart w:id="59" w:name="page60"/>
    <w:bookmarkEnd w:id="59"/>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Eighth Supplemental Indenture to be duly executed as of the date first above written.</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Andrew 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Andrew Beck</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Assistant Treasurer</w:t>
      </w:r>
    </w:p>
    <w:p>
      <w:pPr>
        <w:spacing w:after="0" w:line="13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Signature Page to Eighth Supplemental Indenture</w:t>
      </w:r>
      <w:r>
        <w:rPr>
          <w:rFonts w:ascii="Times New Roman" w:cs="Times New Roman" w:eastAsia="Times New Roman" w:hAnsi="Times New Roman"/>
          <w:sz w:val="18"/>
          <w:szCs w:val="18"/>
          <w:color w:val="auto"/>
        </w:rPr>
        <w:t>]</w:t>
      </w:r>
    </w:p>
    <w:p>
      <w:pPr>
        <w:sectPr>
          <w:pgSz w:w="11900" w:h="16838" w:orient="portrait"/>
          <w:cols w:equalWidth="0" w:num="1">
            <w:col w:w="10460"/>
          </w:cols>
          <w:pgMar w:left="440" w:top="270" w:right="999" w:bottom="1440" w:gutter="0" w:footer="0" w:header="0"/>
        </w:sectPr>
      </w:pPr>
    </w:p>
    <w:bookmarkStart w:id="60" w:name="page61"/>
    <w:bookmarkEnd w:id="60"/>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BANK OF NEW YORK MELLON, as Trustee</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Stacey B. Poindexter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Stacey B. Poindexter</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7"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Trustee Signature Page to Eighth Supplemental Indenture</w:t>
      </w:r>
      <w:r>
        <w:rPr>
          <w:rFonts w:ascii="Times New Roman" w:cs="Times New Roman" w:eastAsia="Times New Roman" w:hAnsi="Times New Roman"/>
          <w:sz w:val="18"/>
          <w:szCs w:val="18"/>
          <w:color w:val="auto"/>
        </w:rPr>
        <w:t>]</w:t>
      </w:r>
    </w:p>
    <w:p>
      <w:pPr>
        <w:sectPr>
          <w:pgSz w:w="11900" w:h="16838" w:orient="portrait"/>
          <w:cols w:equalWidth="0" w:num="1">
            <w:col w:w="9420"/>
          </w:cols>
          <w:pgMar w:left="1440" w:top="270" w:right="10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5.350% SENIOR NOTE DUE 2028]</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[Global Security Legend]</w:t>
      </w:r>
    </w:p>
    <w:p>
      <w:pPr>
        <w:spacing w:after="0" w:line="225"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UNLESS THIS CERTIFICATE IS PRESENTED BY AN AUTHORIZED REPRESENTATIVE OF THE DEPOSITORY TRUST COMPANY, A NEW YORK CORPORATION (“DTC”), NEW YORK, NEW YORK, TO THE COMPANY OR ITS AGENT FOR REGISTRATION OF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9" w:lineRule="exact"/>
        <w:rPr>
          <w:sz w:val="20"/>
          <w:szCs w:val="20"/>
          <w:color w:val="auto"/>
        </w:rPr>
      </w:pPr>
    </w:p>
    <w:p>
      <w:pPr>
        <w:ind w:right="400" w:firstLine="440"/>
        <w:spacing w:after="0" w:line="261" w:lineRule="auto"/>
        <w:rPr>
          <w:sz w:val="20"/>
          <w:szCs w:val="20"/>
          <w:color w:val="auto"/>
        </w:rPr>
      </w:pPr>
      <w:r>
        <w:rPr>
          <w:rFonts w:ascii="Times New Roman" w:cs="Times New Roman" w:eastAsia="Times New Roman" w:hAnsi="Times New Roman"/>
          <w:sz w:val="18"/>
          <w:szCs w:val="18"/>
          <w:color w:val="auto"/>
        </w:rPr>
        <w:t>TRANSFERS OF THIS GLOBAL SECURITY SHALL BE LIMITED TO TRANSFERS IN WHOLE, BUT NOT IN PART, TO DTC, TO NOMINEES OF DTC OR TO A SUCCESSOR THEREOF OR SUCH SUCCESSOR’S NOMINEE AND TRANSFERS OF PORTIONS OF THIS GLOBAL SECURITY SHALL BE LIMITED TO TRANSFERS MADE IN ACCORDANCE WITH THE RESTRICTIONS SET FORTH IN THE INDENTURE REFERRED TO ON THE REVERSE HEREOF.</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A-1-1</w:t>
      </w:r>
    </w:p>
    <w:p>
      <w:pPr>
        <w:sectPr>
          <w:pgSz w:w="11900" w:h="16838" w:orient="portrait"/>
          <w:cols w:equalWidth="0" w:num="1">
            <w:col w:w="11020"/>
          </w:cols>
          <w:pgMar w:left="440" w:top="266" w:right="439" w:bottom="1440" w:gutter="0" w:footer="0" w:header="0"/>
        </w:sectPr>
      </w:pPr>
    </w:p>
    <w:bookmarkStart w:id="62" w:name="page63"/>
    <w:bookmarkEnd w:id="62"/>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GENERAL MOTORS COMPANY</w:t>
      </w:r>
    </w:p>
    <w:p>
      <w:pPr>
        <w:spacing w:after="0" w:line="11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5.350% Senior Notes due 2028</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CUSIP No.: 37045V BC3</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ISIN No.: US37045VBC37</w:t>
      </w:r>
    </w:p>
    <w:p>
      <w:pPr>
        <w:spacing w:after="0" w:line="234" w:lineRule="exact"/>
        <w:rPr>
          <w:sz w:val="20"/>
          <w:szCs w:val="20"/>
          <w:color w:val="auto"/>
        </w:rPr>
      </w:pPr>
    </w:p>
    <w:p>
      <w:pPr>
        <w:ind w:left="4"/>
        <w:spacing w:after="0"/>
        <w:tabs>
          <w:tab w:leader="none" w:pos="8584" w:val="left"/>
        </w:tabs>
        <w:rPr>
          <w:sz w:val="20"/>
          <w:szCs w:val="20"/>
          <w:color w:val="auto"/>
        </w:rPr>
      </w:pPr>
      <w:r>
        <w:rPr>
          <w:rFonts w:ascii="Times New Roman" w:cs="Times New Roman" w:eastAsia="Times New Roman" w:hAnsi="Times New Roman"/>
          <w:sz w:val="18"/>
          <w:szCs w:val="18"/>
          <w:color w:val="auto"/>
        </w:rPr>
        <w:t>No. [   ]</w:t>
      </w:r>
      <w:r>
        <w:rPr>
          <w:sz w:val="20"/>
          <w:szCs w:val="20"/>
          <w:color w:val="auto"/>
        </w:rPr>
        <w:tab/>
      </w:r>
      <w:r>
        <w:rPr>
          <w:rFonts w:ascii="Times New Roman" w:cs="Times New Roman" w:eastAsia="Times New Roman" w:hAnsi="Times New Roman"/>
          <w:sz w:val="13"/>
          <w:szCs w:val="13"/>
          <w:color w:val="auto"/>
        </w:rPr>
        <w:t>$[   ]</w:t>
      </w:r>
    </w:p>
    <w:p>
      <w:pPr>
        <w:spacing w:after="0" w:line="221" w:lineRule="exact"/>
        <w:rPr>
          <w:sz w:val="20"/>
          <w:szCs w:val="20"/>
          <w:color w:val="auto"/>
        </w:rPr>
      </w:pPr>
    </w:p>
    <w:p>
      <w:pPr>
        <w:ind w:left="4" w:right="40" w:firstLine="440"/>
        <w:spacing w:after="0" w:line="244" w:lineRule="auto"/>
        <w:rPr>
          <w:sz w:val="20"/>
          <w:szCs w:val="20"/>
          <w:color w:val="auto"/>
        </w:rPr>
      </w:pPr>
      <w:r>
        <w:rPr>
          <w:rFonts w:ascii="Times New Roman" w:cs="Times New Roman" w:eastAsia="Times New Roman" w:hAnsi="Times New Roman"/>
          <w:sz w:val="18"/>
          <w:szCs w:val="18"/>
          <w:color w:val="auto"/>
        </w:rPr>
        <w:t>GENERAL MOTORS COMPANY, a corporation duly organized and existing under the laws of Delaware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which term includes any successor Person under the Indenture hereinafter referred to), for value received, hereby promises to pay to CEDE &amp; CO., or registered assigns, the principal sum of $[  ] ([  ] DOLLARS)[, as revised by the Schedule of Increases and Decreases attached hereto,]</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on April 15, 2028, and to pay interest thereon from May 7, 2025 or from the most recent Interest Payment Date to which interest has been paid or duly provided for, semi-annually in arrears on April 15 and October 15 of each year, commencing on October 15, 2025, at the rate of 5.350% per annum, until the principal hereof is paid or made available for payment. The interest so payable, and punctually paid or duly provided for, on any Interest Payment Date will, as provided in the Indenture, be paid to the Person in whose name this Note is registered at the close of business on the Regular Record Date for such interest, which shall be the April 1 or October 1 (whether or not a Business Day), as the case may be, next preceding such Interest Payment Date. Any such interest not so punctually paid or duly provided for will forthwith cease to be payable to the Holder on such Regular Record Date and may either be paid to the Person in whose name this Note is registered at the close of business on a Special Record Date for the payment of such Defaulted Interest to be fixed by the Trustee, notice whereof shall be given to Holders of the Notes not less than 10 days prior to such Special Record Date, or be paid at any time in any other lawful manner not inconsistent with the requirements of any securities exchange on which the Notes may be listed, and upon such notice as may be required by such exchange, all as more fully provided in the Indenture.</w:t>
      </w:r>
    </w:p>
    <w:p>
      <w:pPr>
        <w:spacing w:after="0" w:line="199"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Reference is hereby made to the further provisions of the Notes set forth on the reverse hereof, which further provisions shall for all purposes have the same effect as if set forth at this place.</w:t>
      </w:r>
    </w:p>
    <w:p>
      <w:pPr>
        <w:spacing w:after="0" w:line="162" w:lineRule="exact"/>
        <w:rPr>
          <w:sz w:val="20"/>
          <w:szCs w:val="20"/>
          <w:color w:val="auto"/>
        </w:rPr>
      </w:pPr>
    </w:p>
    <w:p>
      <w:pPr>
        <w:ind w:left="4" w:right="740" w:firstLine="440"/>
        <w:spacing w:after="0" w:line="282" w:lineRule="auto"/>
        <w:rPr>
          <w:sz w:val="20"/>
          <w:szCs w:val="20"/>
          <w:color w:val="auto"/>
        </w:rPr>
      </w:pPr>
      <w:r>
        <w:rPr>
          <w:rFonts w:ascii="Times New Roman" w:cs="Times New Roman" w:eastAsia="Times New Roman" w:hAnsi="Times New Roman"/>
          <w:sz w:val="18"/>
          <w:szCs w:val="18"/>
          <w:color w:val="auto"/>
        </w:rPr>
        <w:t>Unless the certificate of authentication hereon has been executed by the Trustee referred to on the reverse hereof by manual, facsimile or electronic signature, this Note shall not be entitled to any benefit under the Indenture or be valid or obligatory for any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7715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8" w:lineRule="exact"/>
        <w:rPr>
          <w:sz w:val="20"/>
          <w:szCs w:val="20"/>
          <w:color w:val="auto"/>
        </w:rPr>
      </w:pPr>
    </w:p>
    <w:p>
      <w:pPr>
        <w:ind w:left="424" w:hanging="424"/>
        <w:spacing w:after="0"/>
        <w:tabs>
          <w:tab w:leader="none" w:pos="424" w:val="left"/>
        </w:tabs>
        <w:numPr>
          <w:ilvl w:val="0"/>
          <w:numId w:val="4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To be included in Global Securities.</w:t>
      </w:r>
    </w:p>
    <w:p>
      <w:pPr>
        <w:spacing w:after="0" w:line="13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A-1-2</w:t>
      </w:r>
    </w:p>
    <w:p>
      <w:pPr>
        <w:sectPr>
          <w:pgSz w:w="11900" w:h="16838" w:orient="portrait"/>
          <w:cols w:equalWidth="0" w:num="1">
            <w:col w:w="11004"/>
          </w:cols>
          <w:pgMar w:left="436" w:top="266" w:right="459" w:bottom="1440" w:gutter="0" w:footer="0" w:header="0"/>
        </w:sectPr>
      </w:pPr>
    </w:p>
    <w:bookmarkStart w:id="63" w:name="page64"/>
    <w:bookmarkEnd w:id="6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Company has caused this Note to be duly executed.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GENERAL MOTORS COMPANY</w:t>
      </w:r>
    </w:p>
    <w:p>
      <w:pPr>
        <w:spacing w:after="0" w:line="23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Andrew Beck</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Assistant Treasurer</w:t>
      </w:r>
    </w:p>
    <w:p>
      <w:pPr>
        <w:spacing w:after="0" w:line="13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A-1-3</w:t>
      </w:r>
    </w:p>
    <w:p>
      <w:pPr>
        <w:sectPr>
          <w:pgSz w:w="11900" w:h="16838" w:orient="portrait"/>
          <w:cols w:equalWidth="0" w:num="1">
            <w:col w:w="10019"/>
          </w:cols>
          <w:pgMar w:left="440" w:top="270" w:right="1440" w:bottom="1440" w:gutter="0" w:footer="0" w:header="0"/>
        </w:sectPr>
      </w:pPr>
    </w:p>
    <w:bookmarkStart w:id="64" w:name="page65"/>
    <w:bookmarkEnd w:id="6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Note is one of the Securities of the series designated therein referred to in the within-mentioned Indenture.</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THE BANK OF NEW YORK MELLON, as Trustee</w:t>
      </w:r>
    </w:p>
    <w:p>
      <w:pPr>
        <w:spacing w:after="0" w:line="23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15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A-1-4</w:t>
      </w:r>
    </w:p>
    <w:p>
      <w:pPr>
        <w:sectPr>
          <w:pgSz w:w="11900" w:h="16838" w:orient="portrait"/>
          <w:cols w:equalWidth="0" w:num="1">
            <w:col w:w="10420"/>
          </w:cols>
          <w:pgMar w:left="440" w:top="270" w:right="1039" w:bottom="1440" w:gutter="0" w:footer="0" w:header="0"/>
        </w:sectPr>
      </w:pPr>
    </w:p>
    <w:bookmarkStart w:id="65" w:name="page66"/>
    <w:bookmarkEnd w:id="6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[REVERSE OF NOTE]</w:t>
      </w:r>
    </w:p>
    <w:p>
      <w:pPr>
        <w:spacing w:after="0" w:line="225" w:lineRule="exact"/>
        <w:rPr>
          <w:sz w:val="20"/>
          <w:szCs w:val="20"/>
          <w:color w:val="auto"/>
        </w:rPr>
      </w:pPr>
    </w:p>
    <w:p>
      <w:pPr>
        <w:ind w:right="40" w:firstLine="436"/>
        <w:spacing w:after="0" w:line="254" w:lineRule="auto"/>
        <w:tabs>
          <w:tab w:leader="none" w:pos="6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Note is one of a duly authorized issue of Securities of the Company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issued and to be issued in one or more series under the Indenture, dated as of September 27, 2013 (as supplemented prior to the date hereof, the “</w:t>
      </w:r>
      <w:r>
        <w:rPr>
          <w:rFonts w:ascii="Times New Roman" w:cs="Times New Roman" w:eastAsia="Times New Roman" w:hAnsi="Times New Roman"/>
          <w:sz w:val="18"/>
          <w:szCs w:val="18"/>
          <w:b w:val="1"/>
          <w:bCs w:val="1"/>
          <w:color w:val="auto"/>
        </w:rPr>
        <w:t>Original Indenture</w:t>
      </w:r>
      <w:r>
        <w:rPr>
          <w:rFonts w:ascii="Times New Roman" w:cs="Times New Roman" w:eastAsia="Times New Roman" w:hAnsi="Times New Roman"/>
          <w:sz w:val="18"/>
          <w:szCs w:val="18"/>
          <w:color w:val="auto"/>
        </w:rPr>
        <w:t>”), as amended and supplemented by the Seventh Supplemental Indenture, dated as of August 2, 2022 (the “</w:t>
      </w:r>
      <w:r>
        <w:rPr>
          <w:rFonts w:ascii="Times New Roman" w:cs="Times New Roman" w:eastAsia="Times New Roman" w:hAnsi="Times New Roman"/>
          <w:sz w:val="18"/>
          <w:szCs w:val="18"/>
          <w:b w:val="1"/>
          <w:bCs w:val="1"/>
          <w:color w:val="auto"/>
        </w:rPr>
        <w:t>Seventh Supplemental Indenture</w:t>
      </w:r>
      <w:r>
        <w:rPr>
          <w:rFonts w:ascii="Times New Roman" w:cs="Times New Roman" w:eastAsia="Times New Roman" w:hAnsi="Times New Roman"/>
          <w:sz w:val="18"/>
          <w:szCs w:val="18"/>
          <w:color w:val="auto"/>
        </w:rPr>
        <w:t>” and, together with the Original Indenture, the “</w:t>
      </w:r>
      <w:r>
        <w:rPr>
          <w:rFonts w:ascii="Times New Roman" w:cs="Times New Roman" w:eastAsia="Times New Roman" w:hAnsi="Times New Roman"/>
          <w:sz w:val="18"/>
          <w:szCs w:val="18"/>
          <w:b w:val="1"/>
          <w:bCs w:val="1"/>
          <w:color w:val="auto"/>
        </w:rPr>
        <w:t>Base Indenture</w:t>
      </w:r>
      <w:r>
        <w:rPr>
          <w:rFonts w:ascii="Times New Roman" w:cs="Times New Roman" w:eastAsia="Times New Roman" w:hAnsi="Times New Roman"/>
          <w:sz w:val="18"/>
          <w:szCs w:val="18"/>
          <w:color w:val="auto"/>
        </w:rPr>
        <w:t>”) and the Eighth Supplemental Indenture relating to the Notes dated as of May 7, 2025 (the “</w:t>
      </w:r>
      <w:r>
        <w:rPr>
          <w:rFonts w:ascii="Times New Roman" w:cs="Times New Roman" w:eastAsia="Times New Roman" w:hAnsi="Times New Roman"/>
          <w:sz w:val="18"/>
          <w:szCs w:val="18"/>
          <w:b w:val="1"/>
          <w:bCs w:val="1"/>
          <w:color w:val="auto"/>
        </w:rPr>
        <w:t>Supplemental Indenture</w:t>
      </w:r>
      <w:r>
        <w:rPr>
          <w:rFonts w:ascii="Times New Roman" w:cs="Times New Roman" w:eastAsia="Times New Roman" w:hAnsi="Times New Roman"/>
          <w:sz w:val="18"/>
          <w:szCs w:val="18"/>
          <w:color w:val="auto"/>
        </w:rPr>
        <w:t>” and, together with the Base Indenture,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between the Company and The Bank of New York Mellon,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xml:space="preserve">,” which term includes any successor trustee under the Indenture), and reference is hereby made to the Indenture for a statement of the respective rights, limitations of rights, duties and immunities thereunder of the Company, the Trustee and the Holders of the Notes and of the terms upon which the Notes are, and are to be, authenticated and delivered. This Note is one of the series designated on the face hereof, such series initially limited in aggregate principal amount to $750,000,000;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may at any time and from time to time, without the consent of any Holder, issue additional Notes of this series.</w:t>
      </w:r>
    </w:p>
    <w:p>
      <w:pPr>
        <w:spacing w:after="0" w:line="189"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All terms which are used but not defined in this Note and which are defined in the Indenture shall have the meanings assigned to them in the Indenture.</w:t>
      </w:r>
    </w:p>
    <w:p>
      <w:pPr>
        <w:spacing w:after="0" w:line="158" w:lineRule="exact"/>
        <w:rPr>
          <w:sz w:val="20"/>
          <w:szCs w:val="20"/>
          <w:color w:val="auto"/>
        </w:rPr>
      </w:pPr>
    </w:p>
    <w:p>
      <w:pPr>
        <w:ind w:firstLine="436"/>
        <w:spacing w:after="0" w:line="257" w:lineRule="auto"/>
        <w:tabs>
          <w:tab w:leader="none" w:pos="6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March 15, 2028 (the “</w:t>
      </w:r>
      <w:r>
        <w:rPr>
          <w:rFonts w:ascii="Times New Roman" w:cs="Times New Roman" w:eastAsia="Times New Roman" w:hAnsi="Times New Roman"/>
          <w:sz w:val="18"/>
          <w:szCs w:val="18"/>
          <w:b w:val="1"/>
          <w:bCs w:val="1"/>
          <w:color w:val="auto"/>
        </w:rPr>
        <w:t>Par Call Date</w:t>
      </w:r>
      <w:r>
        <w:rPr>
          <w:rFonts w:ascii="Times New Roman" w:cs="Times New Roman" w:eastAsia="Times New Roman" w:hAnsi="Times New Roman"/>
          <w:sz w:val="18"/>
          <w:szCs w:val="18"/>
          <w:color w:val="auto"/>
        </w:rPr>
        <w:t>”), the Company may redeem the Notes, in whole or in part, at any time and from time to time, at a redemption price (expressed as a percentage of principal amount and rounded to three decimal places) equal to the greater of: (i)(a) the sum of the present values of the remaining scheduled payments of principal and interest on the Notes to be redeemed, discounted to the redemption date (assuming the Notes matured on the Par Call Date) on a semiannual basis (assuming a 360-day year consisting of twelve 30-day months) at the Treasury Rate plus 25 basis points less (b) interest accrued to the date of redemption, and (ii) 100% of the principal amount of the Notes to be redeemed, plus, in either case, accrued and unpaid interest thereon to the redemption date.</w:t>
      </w:r>
    </w:p>
    <w:p>
      <w:pPr>
        <w:spacing w:after="0" w:line="186"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Unless the Company defaults in the payment of the applicable redemption price, on and after the applicable redemption date, interest will cease to accrue on the Notes or portions of the Notes called for redemption.</w:t>
      </w:r>
    </w:p>
    <w:p>
      <w:pPr>
        <w:spacing w:after="0" w:line="162"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On or after the Par Call Date, the Company may redeem the Notes, in whole or in part, at any time and from time to time, at a redemption price equal to 100% of the principal amount of the Notes being redeemed plus accrued and unpaid interest thereon to the redemption date.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actions and determinations in determining the redemption price shall be conclusive and binding for all purposes, absent manifest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error.</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A-1-5</w:t>
      </w:r>
    </w:p>
    <w:p>
      <w:pPr>
        <w:sectPr>
          <w:pgSz w:w="11900" w:h="16838" w:orient="portrait"/>
          <w:cols w:equalWidth="0" w:num="1">
            <w:col w:w="10960"/>
          </w:cols>
          <w:pgMar w:left="440" w:top="266" w:right="499" w:bottom="1440" w:gutter="0" w:footer="0" w:header="0"/>
        </w:sectPr>
      </w:pPr>
    </w:p>
    <w:bookmarkStart w:id="66" w:name="page67"/>
    <w:bookmarkEnd w:id="66"/>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 of any redemption will be mailed or electronically delivered (or otherwise transmitted in accordance with the depositary’s procedures) at least 10 days but not more than 60 days before the redemption date to each holder of Notes to be redeemed.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the case of a partial redemption, selection of the Notes for redemption will be made by the Trustee by lot. No Notes of a principal amount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$2,000 or less will be redeemed in part. If any Note is to be redeemed in part only, the notice of redemption that relates to the Note will state the portion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principal amount of the Note to be redeemed. A new Note in a principal amount equal to the unredeemed portion of the Note will be issued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the holder of the Note upon surrender for cancellation of the original Note. For so long as the Notes are held by DTC (or another depositary),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redemption of the Notes shall be done in accordance with the policies and procedures of the depositary.</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provisions of Article Eleven of the Base Indenture shall apply to any redemption of the Notes.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purposes of this Section 2, the following terms shall have the following specified meanings:</w:t>
      </w:r>
    </w:p>
    <w:p>
      <w:pPr>
        <w:spacing w:after="0" w:line="113" w:lineRule="exact"/>
        <w:rPr>
          <w:sz w:val="20"/>
          <w:szCs w:val="20"/>
          <w:color w:val="auto"/>
        </w:rPr>
      </w:pPr>
    </w:p>
    <w:p>
      <w:pPr>
        <w:ind w:right="6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Treasury Rate</w:t>
      </w:r>
      <w:r>
        <w:rPr>
          <w:rFonts w:ascii="Times New Roman" w:cs="Times New Roman" w:eastAsia="Times New Roman" w:hAnsi="Times New Roman"/>
          <w:sz w:val="18"/>
          <w:szCs w:val="18"/>
          <w:color w:val="auto"/>
        </w:rPr>
        <w:t>” means, with respect to any redemption date, the yield determined by the Company in accordance with the following two paragraphs.</w:t>
      </w:r>
    </w:p>
    <w:p>
      <w:pPr>
        <w:spacing w:after="0" w:line="15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A-1-6</w:t>
      </w:r>
    </w:p>
    <w:p>
      <w:pPr>
        <w:sectPr>
          <w:pgSz w:w="11900" w:h="16838" w:orient="portrait"/>
          <w:cols w:equalWidth="0" w:num="1">
            <w:col w:w="10980"/>
          </w:cols>
          <w:pgMar w:left="440" w:top="270" w:right="479" w:bottom="1440" w:gutter="0" w:footer="0" w:header="0"/>
        </w:sectPr>
      </w:pPr>
    </w:p>
    <w:bookmarkStart w:id="67" w:name="page68"/>
    <w:bookmarkEnd w:id="67"/>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90" w:lineRule="exact"/>
        <w:rPr>
          <w:sz w:val="20"/>
          <w:szCs w:val="20"/>
          <w:color w:val="auto"/>
        </w:rPr>
      </w:pPr>
    </w:p>
    <w:p>
      <w:pPr>
        <w:ind w:right="140" w:firstLine="436"/>
        <w:spacing w:after="0" w:line="282" w:lineRule="auto"/>
        <w:tabs>
          <w:tab w:leader="none" w:pos="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consolidate with or merge with or into, or convey, transfer or lease all or substantially all of its properties and assets to any Person, unless the provisions of Article Eight of the Base Indenture are complied with.</w:t>
      </w:r>
    </w:p>
    <w:p>
      <w:pPr>
        <w:spacing w:after="0" w:line="161" w:lineRule="exact"/>
        <w:rPr>
          <w:rFonts w:ascii="Times New Roman" w:cs="Times New Roman" w:eastAsia="Times New Roman" w:hAnsi="Times New Roman"/>
          <w:sz w:val="18"/>
          <w:szCs w:val="18"/>
          <w:color w:val="auto"/>
        </w:rPr>
      </w:pPr>
    </w:p>
    <w:p>
      <w:pPr>
        <w:ind w:right="60" w:firstLine="436"/>
        <w:spacing w:after="0" w:line="254" w:lineRule="auto"/>
        <w:tabs>
          <w:tab w:leader="none" w:pos="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Base Indenture permits, with certain exceptions as therein provided, the amendment of the Indenture and the modification of the rights and obligations of the Company and the rights of the Holders of the Notes under the Indenture and the Notes at any time by the Company and the Trustee with the consent of the Holders of a majority in aggregate principal amount of the Notes at the time Outstanding. The Base Indenture and the Supplemental Indenture also contain provisions (including the provisions in Section 1006 of the Base Indenture and Section 2.10 of the Supplemental Indenture) permitting the Holders of specified percentages in aggregate principal amount of the Notes at the time Outstanding, on behalf of the Holders of all Notes, to waive compliance by the Company with certain provisions of the Indenture and the Notes and certain past defaults under the Indenture and their consequences. Any such consent or waiver by the Holders of Notes shall be conclusive and binding upon such Holders and upon all future Holders of the Notes and of any Notes issued upon the registration of transfer hereof or in exchange herefor or in lieu hereof, whether or not notation of such consent or waiver is made upon this Note.</w:t>
      </w:r>
    </w:p>
    <w:p>
      <w:pPr>
        <w:spacing w:after="0" w:line="188" w:lineRule="exact"/>
        <w:rPr>
          <w:rFonts w:ascii="Times New Roman" w:cs="Times New Roman" w:eastAsia="Times New Roman" w:hAnsi="Times New Roman"/>
          <w:sz w:val="18"/>
          <w:szCs w:val="18"/>
          <w:color w:val="auto"/>
        </w:rPr>
      </w:pPr>
    </w:p>
    <w:p>
      <w:pPr>
        <w:ind w:right="100" w:firstLine="436"/>
        <w:spacing w:after="0" w:line="282" w:lineRule="auto"/>
        <w:tabs>
          <w:tab w:leader="none" w:pos="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with respect to the Notes shall occur and be continuing, the principal of the Notes may be declared, or shall immediately become, due and payable in the manner and with the effect provided in the Indenture.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A-1-7</w:t>
      </w:r>
    </w:p>
    <w:p>
      <w:pPr>
        <w:sectPr>
          <w:pgSz w:w="11900" w:h="16838" w:orient="portrait"/>
          <w:cols w:equalWidth="0" w:num="1">
            <w:col w:w="11000"/>
          </w:cols>
          <w:pgMar w:left="440" w:top="270" w:right="459" w:bottom="1440" w:gutter="0" w:footer="0" w:header="0"/>
        </w:sectPr>
      </w:pPr>
    </w:p>
    <w:bookmarkStart w:id="68" w:name="page69"/>
    <w:bookmarkEnd w:id="68"/>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provided in and subject to the provisions of the Indenture, the Holders of the Notes shall not have any right to institute any proceeding, judicial or otherwise, with respect to the Indenture, or for the appointment of a receiver or trustee, or for any other remedy thereunder or hereunder, unless certain conditions set forth in the Indenture are met. The foregoing shall not apply to any suit instituted by the Holder of the Notes for the enforcement of any payment of principal hereof or any premium or interest hereon on or after the respective due dates expressed herein.</w:t>
      </w:r>
    </w:p>
    <w:p>
      <w:pPr>
        <w:spacing w:after="0" w:line="180"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No reference herein to the Indenture and no provision of this Note or of the Indenture shall alter or impair the obligation of the Company, which is absolute and unconditional, to pay the principal of and interest on this Note at the times, place and rate, and in the coin or currency, herein prescribed.</w:t>
      </w:r>
    </w:p>
    <w:p>
      <w:pPr>
        <w:spacing w:after="0" w:line="162" w:lineRule="exact"/>
        <w:rPr>
          <w:sz w:val="20"/>
          <w:szCs w:val="20"/>
          <w:color w:val="auto"/>
        </w:rPr>
      </w:pPr>
    </w:p>
    <w:p>
      <w:pPr>
        <w:ind w:right="320" w:firstLine="436"/>
        <w:spacing w:after="0" w:line="266" w:lineRule="auto"/>
        <w:tabs>
          <w:tab w:leader="none" w:pos="6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Base Indenture and the Supplemental Indenture contain provisions for defeasance at any time of the entire indebtedness of the Notes or certain restrictive covenants and Events of Default with respect to such Notes, in each case upon compliance with certain conditions set forth in the Indenture.</w:t>
      </w:r>
    </w:p>
    <w:p>
      <w:pPr>
        <w:spacing w:after="0" w:line="175" w:lineRule="exact"/>
        <w:rPr>
          <w:rFonts w:ascii="Times New Roman" w:cs="Times New Roman" w:eastAsia="Times New Roman" w:hAnsi="Times New Roman"/>
          <w:sz w:val="18"/>
          <w:szCs w:val="18"/>
          <w:color w:val="auto"/>
        </w:rPr>
      </w:pPr>
    </w:p>
    <w:p>
      <w:pPr>
        <w:ind w:right="20" w:firstLine="436"/>
        <w:spacing w:after="0" w:line="256" w:lineRule="auto"/>
        <w:tabs>
          <w:tab w:leader="none" w:pos="6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provided in the Indenture and subject to certain limitations set forth in the Indenture (including the limitations in Section 311 of the Base Indenture), the transfer of this Note is registrable in the Security Register, upon surrender of this Note for registration of transfer at the office or agency of the Company in any place where the principal of and any interest on this Note are payable, duly endorsed by, or accompanied by a written instrument of transfer in form satisfactory to the Company and the Security Registrar duly executed by, the Holder hereof or his attorney duly authorized in writing, and thereupon one or more new Notes and of like tenor, of authorized denominations and for the same aggregate principal amount, will be issued to the designated transferee or transferees.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Notes are issuable only in registered form without coupons in denominations of $2,000 and integral multiples of $1,000 in excess thereof.</w:t>
      </w:r>
    </w:p>
    <w:p>
      <w:pPr>
        <w:spacing w:after="0" w:line="225"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Prior to due presentment of this Note for registration of transfer, the Company, the Trustee and any agent of the Company or the Trustee may treat the Person in whose name this Note is registered as the owner hereof for all purposes, whether or not this Note be overdue, and neither the Company, the Trustee nor any such agent shall be affected by notice to the contrary.</w:t>
      </w:r>
    </w:p>
    <w:p>
      <w:pPr>
        <w:spacing w:after="0" w:line="176" w:lineRule="exact"/>
        <w:rPr>
          <w:sz w:val="20"/>
          <w:szCs w:val="20"/>
          <w:color w:val="auto"/>
        </w:rPr>
      </w:pPr>
    </w:p>
    <w:p>
      <w:pPr>
        <w:jc w:val="both"/>
        <w:ind w:right="20" w:firstLine="440"/>
        <w:spacing w:after="0" w:line="296" w:lineRule="auto"/>
        <w:rPr>
          <w:sz w:val="20"/>
          <w:szCs w:val="20"/>
          <w:color w:val="auto"/>
        </w:rPr>
      </w:pPr>
      <w:r>
        <w:rPr>
          <w:rFonts w:ascii="Times New Roman" w:cs="Times New Roman" w:eastAsia="Times New Roman" w:hAnsi="Times New Roman"/>
          <w:sz w:val="18"/>
          <w:szCs w:val="18"/>
          <w:color w:val="auto"/>
        </w:rPr>
        <w:t>[This Note is a Global Security and is subject to the provisions of the Base Indenture and the Supplemental Indenture relating to Global Securities, including the limitations in Section 311 of the Base Indenture on transfers and exchanges of Global Securities.]</w:t>
      </w:r>
      <w:r>
        <w:rPr>
          <w:rFonts w:ascii="Times New Roman" w:cs="Times New Roman" w:eastAsia="Times New Roman" w:hAnsi="Times New Roman"/>
          <w:sz w:val="26"/>
          <w:szCs w:val="26"/>
          <w:color w:val="auto"/>
          <w:vertAlign w:val="superscript"/>
        </w:rPr>
        <w:t>1</w:t>
      </w:r>
    </w:p>
    <w:p>
      <w:pPr>
        <w:spacing w:after="0" w:line="20" w:lineRule="exact"/>
        <w:rPr>
          <w:sz w:val="20"/>
          <w:szCs w:val="20"/>
          <w:color w:val="auto"/>
        </w:rPr>
      </w:pPr>
    </w:p>
    <w:p>
      <w:pPr>
        <w:ind w:right="400" w:firstLine="440"/>
        <w:spacing w:after="0" w:line="286" w:lineRule="auto"/>
        <w:rPr>
          <w:sz w:val="20"/>
          <w:szCs w:val="20"/>
          <w:color w:val="auto"/>
        </w:rPr>
      </w:pPr>
      <w:r>
        <w:rPr>
          <w:rFonts w:ascii="Times New Roman" w:cs="Times New Roman" w:eastAsia="Times New Roman" w:hAnsi="Times New Roman"/>
          <w:sz w:val="18"/>
          <w:szCs w:val="18"/>
          <w:color w:val="auto"/>
        </w:rPr>
        <w:t xml:space="preserve">8. </w:t>
      </w:r>
      <w:r>
        <w:rPr>
          <w:rFonts w:ascii="Times New Roman" w:cs="Times New Roman" w:eastAsia="Times New Roman" w:hAnsi="Times New Roman"/>
          <w:sz w:val="18"/>
          <w:szCs w:val="18"/>
          <w:b w:val="1"/>
          <w:bCs w:val="1"/>
          <w:color w:val="auto"/>
        </w:rPr>
        <w:t>This Note and the Indenture shall be governed by and construed in accordance with the law of the State of New York in the United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7152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7"/>
          <w:szCs w:val="27"/>
          <w:color w:val="auto"/>
          <w:vertAlign w:val="superscript"/>
        </w:rPr>
        <w:t>1</w:t>
      </w:r>
      <w:r>
        <w:rPr>
          <w:sz w:val="20"/>
          <w:szCs w:val="20"/>
          <w:color w:val="auto"/>
        </w:rPr>
        <w:tab/>
      </w:r>
      <w:r>
        <w:rPr>
          <w:rFonts w:ascii="Times New Roman" w:cs="Times New Roman" w:eastAsia="Times New Roman" w:hAnsi="Times New Roman"/>
          <w:sz w:val="18"/>
          <w:szCs w:val="18"/>
          <w:color w:val="auto"/>
        </w:rPr>
        <w:t>To be included in Global Securities.</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A-1-8</w:t>
      </w:r>
    </w:p>
    <w:p>
      <w:pPr>
        <w:sectPr>
          <w:pgSz w:w="11900" w:h="16838" w:orient="portrait"/>
          <w:cols w:equalWidth="0" w:num="1">
            <w:col w:w="11000"/>
          </w:cols>
          <w:pgMar w:left="440" w:top="270" w:right="459" w:bottom="1440" w:gutter="0" w:footer="0" w:header="0"/>
        </w:sectPr>
      </w:pPr>
    </w:p>
    <w:bookmarkStart w:id="69" w:name="page70"/>
    <w:bookmarkEnd w:id="69"/>
    <w:p>
      <w:pPr>
        <w:ind w:left="3664"/>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OF INCREASES OR DECREASES</w:t>
      </w:r>
      <w:r>
        <w:rPr>
          <w:rFonts w:ascii="Times New Roman" w:cs="Times New Roman" w:eastAsia="Times New Roman" w:hAnsi="Times New Roman"/>
          <w:sz w:val="25"/>
          <w:szCs w:val="25"/>
          <w:color w:val="auto"/>
          <w:vertAlign w:val="superscript"/>
        </w:rPr>
        <w:t>1</w:t>
      </w:r>
    </w:p>
    <w:p>
      <w:pPr>
        <w:spacing w:after="0" w:line="14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following increases and decreases in this Global Security have been made:</w:t>
      </w:r>
    </w:p>
    <w:p>
      <w:pPr>
        <w:spacing w:after="0" w:line="233" w:lineRule="exact"/>
        <w:rPr>
          <w:sz w:val="20"/>
          <w:szCs w:val="20"/>
          <w:color w:val="auto"/>
        </w:rPr>
      </w:pPr>
    </w:p>
    <w:tbl>
      <w:tblPr>
        <w:tblLayout w:type="fixed"/>
        <w:tblInd w:w="1124" w:type="dxa"/>
        <w:tblCellMar>
          <w:top w:w="0" w:type="dxa"/>
          <w:left w:w="0" w:type="dxa"/>
          <w:bottom w:w="0" w:type="dxa"/>
          <w:right w:w="0" w:type="dxa"/>
        </w:tblCellMar>
      </w:tblPr>
      <w:tr>
        <w:trPr>
          <w:trHeight w:val="161"/>
        </w:trPr>
        <w:tc>
          <w:tcPr>
            <w:tcW w:w="300" w:type="dxa"/>
            <w:vAlign w:val="bottom"/>
          </w:tcPr>
          <w:p>
            <w:pPr>
              <w:spacing w:after="0"/>
              <w:rPr>
                <w:sz w:val="13"/>
                <w:szCs w:val="13"/>
                <w:color w:val="auto"/>
              </w:rPr>
            </w:pPr>
          </w:p>
        </w:tc>
        <w:tc>
          <w:tcPr>
            <w:tcW w:w="3400" w:type="dxa"/>
            <w:vAlign w:val="bottom"/>
            <w:gridSpan w:val="3"/>
          </w:tcPr>
          <w:p>
            <w:pPr>
              <w:jc w:val="center"/>
              <w:ind w:left="1108"/>
              <w:spacing w:after="0"/>
              <w:rPr>
                <w:sz w:val="20"/>
                <w:szCs w:val="20"/>
                <w:color w:val="auto"/>
              </w:rPr>
            </w:pPr>
            <w:r>
              <w:rPr>
                <w:rFonts w:ascii="Times New Roman" w:cs="Times New Roman" w:eastAsia="Times New Roman" w:hAnsi="Times New Roman"/>
                <w:sz w:val="14"/>
                <w:szCs w:val="14"/>
                <w:b w:val="1"/>
                <w:bCs w:val="1"/>
                <w:color w:val="auto"/>
              </w:rPr>
              <w:t>Amount of decrease</w:t>
            </w:r>
          </w:p>
        </w:tc>
        <w:tc>
          <w:tcPr>
            <w:tcW w:w="1820" w:type="dxa"/>
            <w:vAlign w:val="bottom"/>
            <w:gridSpan w:val="3"/>
            <w:vMerge w:val="restart"/>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Amount of increase in</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3400" w:type="dxa"/>
            <w:vAlign w:val="bottom"/>
            <w:gridSpan w:val="3"/>
          </w:tcPr>
          <w:p>
            <w:pPr>
              <w:jc w:val="center"/>
              <w:ind w:left="1108"/>
              <w:spacing w:after="0" w:line="149" w:lineRule="exact"/>
              <w:rPr>
                <w:sz w:val="20"/>
                <w:szCs w:val="20"/>
                <w:color w:val="auto"/>
              </w:rPr>
            </w:pPr>
            <w:r>
              <w:rPr>
                <w:rFonts w:ascii="Times New Roman" w:cs="Times New Roman" w:eastAsia="Times New Roman" w:hAnsi="Times New Roman"/>
                <w:sz w:val="14"/>
                <w:szCs w:val="14"/>
                <w:b w:val="1"/>
                <w:bCs w:val="1"/>
                <w:color w:val="auto"/>
              </w:rPr>
              <w:t>in Principal Amount</w:t>
            </w:r>
          </w:p>
        </w:tc>
        <w:tc>
          <w:tcPr>
            <w:tcW w:w="1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3400" w:type="dxa"/>
            <w:vAlign w:val="bottom"/>
            <w:gridSpan w:val="3"/>
          </w:tcPr>
          <w:p>
            <w:pPr>
              <w:jc w:val="center"/>
              <w:ind w:left="1128"/>
              <w:spacing w:after="0" w:line="149" w:lineRule="exact"/>
              <w:rPr>
                <w:sz w:val="20"/>
                <w:szCs w:val="20"/>
                <w:color w:val="auto"/>
              </w:rPr>
            </w:pPr>
            <w:r>
              <w:rPr>
                <w:rFonts w:ascii="Times New Roman" w:cs="Times New Roman" w:eastAsia="Times New Roman" w:hAnsi="Times New Roman"/>
                <w:sz w:val="14"/>
                <w:szCs w:val="14"/>
                <w:b w:val="1"/>
                <w:bCs w:val="1"/>
                <w:color w:val="auto"/>
              </w:rPr>
              <w:t>of this Global</w:t>
            </w:r>
          </w:p>
        </w:tc>
        <w:tc>
          <w:tcPr>
            <w:tcW w:w="1820" w:type="dxa"/>
            <w:vAlign w:val="bottom"/>
            <w:gridSpan w:val="3"/>
          </w:tcPr>
          <w:p>
            <w:pPr>
              <w:jc w:val="center"/>
              <w:ind w:left="408"/>
              <w:spacing w:after="0" w:line="149" w:lineRule="exact"/>
              <w:rPr>
                <w:sz w:val="20"/>
                <w:szCs w:val="20"/>
                <w:color w:val="auto"/>
              </w:rPr>
            </w:pPr>
            <w:r>
              <w:rPr>
                <w:rFonts w:ascii="Times New Roman" w:cs="Times New Roman" w:eastAsia="Times New Roman" w:hAnsi="Times New Roman"/>
                <w:sz w:val="14"/>
                <w:szCs w:val="14"/>
                <w:b w:val="1"/>
                <w:bCs w:val="1"/>
                <w:color w:val="auto"/>
              </w:rPr>
              <w:t>Principal Amount of</w:t>
            </w:r>
          </w:p>
        </w:tc>
        <w:tc>
          <w:tcPr>
            <w:tcW w:w="0" w:type="dxa"/>
            <w:vAlign w:val="bottom"/>
          </w:tcPr>
          <w:p>
            <w:pPr>
              <w:spacing w:after="0"/>
              <w:rPr>
                <w:sz w:val="1"/>
                <w:szCs w:val="1"/>
                <w:color w:val="auto"/>
              </w:rPr>
            </w:pPr>
          </w:p>
        </w:tc>
      </w:tr>
      <w:tr>
        <w:trPr>
          <w:trHeight w:val="173"/>
        </w:trPr>
        <w:tc>
          <w:tcPr>
            <w:tcW w:w="300" w:type="dxa"/>
            <w:vAlign w:val="bottom"/>
            <w:vMerge w:val="continue"/>
          </w:tcPr>
          <w:p>
            <w:pPr>
              <w:spacing w:after="0"/>
              <w:rPr>
                <w:sz w:val="15"/>
                <w:szCs w:val="15"/>
                <w:color w:val="auto"/>
              </w:rPr>
            </w:pPr>
          </w:p>
        </w:tc>
        <w:tc>
          <w:tcPr>
            <w:tcW w:w="3400" w:type="dxa"/>
            <w:vAlign w:val="bottom"/>
            <w:gridSpan w:val="3"/>
          </w:tcPr>
          <w:p>
            <w:pPr>
              <w:jc w:val="center"/>
              <w:ind w:left="1128"/>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540" w:type="dxa"/>
            <w:vAlign w:val="bottom"/>
          </w:tcPr>
          <w:p>
            <w:pPr>
              <w:spacing w:after="0"/>
              <w:rPr>
                <w:sz w:val="15"/>
                <w:szCs w:val="15"/>
                <w:color w:val="auto"/>
              </w:rPr>
            </w:pPr>
          </w:p>
        </w:tc>
        <w:tc>
          <w:tcPr>
            <w:tcW w:w="12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this Global Security</w:t>
            </w: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75" w:lineRule="exact"/>
        <w:rPr>
          <w:sz w:val="20"/>
          <w:szCs w:val="20"/>
          <w:color w:val="auto"/>
        </w:rPr>
      </w:pPr>
    </w:p>
    <w:p>
      <w:pPr>
        <w:ind w:left="424" w:hanging="424"/>
        <w:spacing w:after="0"/>
        <w:tabs>
          <w:tab w:leader="none" w:pos="424" w:val="left"/>
        </w:tabs>
        <w:numPr>
          <w:ilvl w:val="0"/>
          <w:numId w:val="5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To be included in Global Securities.</w:t>
      </w:r>
    </w:p>
    <w:p>
      <w:pPr>
        <w:spacing w:after="0" w:line="130" w:lineRule="exact"/>
        <w:rPr>
          <w:sz w:val="20"/>
          <w:szCs w:val="20"/>
          <w:color w:val="auto"/>
        </w:rPr>
      </w:pPr>
    </w:p>
    <w:p>
      <w:pPr>
        <w:ind w:left="5284"/>
        <w:spacing w:after="0"/>
        <w:rPr>
          <w:sz w:val="20"/>
          <w:szCs w:val="20"/>
          <w:color w:val="auto"/>
        </w:rPr>
      </w:pPr>
      <w:r>
        <w:rPr>
          <w:rFonts w:ascii="Times New Roman" w:cs="Times New Roman" w:eastAsia="Times New Roman" w:hAnsi="Times New Roman"/>
          <w:sz w:val="18"/>
          <w:szCs w:val="18"/>
          <w:color w:val="auto"/>
        </w:rPr>
        <w:t>A-1-9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4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Principal Amount of</w:t>
            </w:r>
          </w:p>
        </w:tc>
        <w:tc>
          <w:tcPr>
            <w:tcW w:w="30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 of</w:t>
            </w:r>
          </w:p>
        </w:tc>
      </w:tr>
      <w:tr>
        <w:trPr>
          <w:trHeight w:val="148"/>
        </w:trPr>
        <w:tc>
          <w:tcPr>
            <w:tcW w:w="20" w:type="dxa"/>
            <w:vAlign w:val="bottom"/>
          </w:tcPr>
          <w:p>
            <w:pPr>
              <w:spacing w:after="0"/>
              <w:rPr>
                <w:sz w:val="12"/>
                <w:szCs w:val="12"/>
                <w:color w:val="auto"/>
              </w:rPr>
            </w:pPr>
          </w:p>
        </w:tc>
        <w:tc>
          <w:tcPr>
            <w:tcW w:w="15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this Global Security</w:t>
            </w:r>
          </w:p>
        </w:tc>
        <w:tc>
          <w:tcPr>
            <w:tcW w:w="30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authorized signatory</w:t>
            </w:r>
          </w:p>
        </w:tc>
      </w:tr>
      <w:tr>
        <w:trPr>
          <w:trHeight w:val="148"/>
        </w:trPr>
        <w:tc>
          <w:tcPr>
            <w:tcW w:w="20" w:type="dxa"/>
            <w:vAlign w:val="bottom"/>
          </w:tcPr>
          <w:p>
            <w:pPr>
              <w:spacing w:after="0"/>
              <w:rPr>
                <w:sz w:val="12"/>
                <w:szCs w:val="12"/>
                <w:color w:val="auto"/>
              </w:rPr>
            </w:pPr>
          </w:p>
        </w:tc>
        <w:tc>
          <w:tcPr>
            <w:tcW w:w="15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following such</w:t>
            </w:r>
          </w:p>
        </w:tc>
        <w:tc>
          <w:tcPr>
            <w:tcW w:w="1620" w:type="dxa"/>
            <w:vAlign w:val="bottom"/>
            <w:gridSpan w:val="2"/>
          </w:tcPr>
          <w:p>
            <w:pPr>
              <w:jc w:val="center"/>
              <w:ind w:left="208"/>
              <w:spacing w:after="0" w:line="149" w:lineRule="exact"/>
              <w:rPr>
                <w:sz w:val="20"/>
                <w:szCs w:val="20"/>
                <w:color w:val="auto"/>
              </w:rPr>
            </w:pPr>
            <w:r>
              <w:rPr>
                <w:rFonts w:ascii="Times New Roman" w:cs="Times New Roman" w:eastAsia="Times New Roman" w:hAnsi="Times New Roman"/>
                <w:sz w:val="14"/>
                <w:szCs w:val="14"/>
                <w:b w:val="1"/>
                <w:bCs w:val="1"/>
                <w:color w:val="auto"/>
              </w:rPr>
              <w:t>of Trustee or Security</w:t>
            </w:r>
          </w:p>
        </w:tc>
      </w:tr>
      <w:tr>
        <w:trPr>
          <w:trHeight w:val="173"/>
        </w:trPr>
        <w:tc>
          <w:tcPr>
            <w:tcW w:w="2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decrease or increase</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Registrar</w:t>
            </w:r>
          </w:p>
        </w:tc>
      </w:tr>
    </w:tbl>
    <w:p>
      <w:pPr>
        <w:sectPr>
          <w:pgSz w:w="11900" w:h="16838" w:orient="portrait"/>
          <w:cols w:equalWidth="0" w:num="2">
            <w:col w:w="7344" w:space="300"/>
            <w:col w:w="3160"/>
          </w:cols>
          <w:pgMar w:left="436" w:top="270" w:right="65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 FORM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assign this Note, fill in the form below: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102870</wp:posOffset>
            </wp:positionV>
            <wp:extent cx="69951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4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(Insert assignee’s soc. sec. or tax I.D. No.)</w:t>
            </w:r>
          </w:p>
        </w:tc>
      </w:tr>
      <w:tr>
        <w:trPr>
          <w:trHeight w:val="432"/>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5"/>
              </w:rPr>
              <w:t>and irrevocably appoint </w:t>
            </w: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8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agent to transfer this Note on the books of the Company. The agent may substitute another to act for him.</w:t>
            </w:r>
          </w:p>
        </w:tc>
      </w:tr>
      <w:tr>
        <w:trPr>
          <w:trHeight w:val="418"/>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Date:                       </w:t>
            </w: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640" w:type="dxa"/>
            <w:vAlign w:val="bottom"/>
            <w:gridSpan w:val="2"/>
          </w:tcPr>
          <w:p>
            <w:pPr>
              <w:ind w:left="2820"/>
              <w:spacing w:after="0"/>
              <w:rPr>
                <w:sz w:val="20"/>
                <w:szCs w:val="20"/>
                <w:color w:val="auto"/>
              </w:rPr>
            </w:pPr>
            <w:r>
              <w:rPr>
                <w:rFonts w:ascii="Times New Roman" w:cs="Times New Roman" w:eastAsia="Times New Roman" w:hAnsi="Times New Roman"/>
                <w:sz w:val="18"/>
                <w:szCs w:val="18"/>
                <w:color w:val="auto"/>
              </w:rPr>
              <w:t>Your Signature:</w:t>
            </w:r>
          </w:p>
        </w:tc>
      </w:tr>
      <w:tr>
        <w:trPr>
          <w:trHeight w:val="21"/>
        </w:trPr>
        <w:tc>
          <w:tcPr>
            <w:tcW w:w="440" w:type="dxa"/>
            <w:vAlign w:val="bottom"/>
          </w:tcPr>
          <w:p>
            <w:pPr>
              <w:spacing w:after="0" w:line="20" w:lineRule="exact"/>
              <w:rPr>
                <w:sz w:val="1"/>
                <w:szCs w:val="1"/>
                <w:color w:val="auto"/>
              </w:rPr>
            </w:pPr>
          </w:p>
        </w:tc>
        <w:tc>
          <w:tcPr>
            <w:tcW w:w="13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46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162560</wp:posOffset>
            </wp:positionV>
            <wp:extent cx="699516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 exactly as your name appears on the other side of this Note.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5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Date:</w:t>
        <w:tab/>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-7620</wp:posOffset>
            </wp:positionV>
            <wp:extent cx="10287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Signature must be guaranteed by a participant in a recognized signature guaranty medallion program or other signature guarantor program reasonably acceptable to the Trustee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ind w:right="2460"/>
        <w:spacing w:after="0"/>
        <w:rPr>
          <w:sz w:val="20"/>
          <w:szCs w:val="20"/>
          <w:color w:val="auto"/>
        </w:rPr>
      </w:pPr>
      <w:r>
        <w:rPr>
          <w:rFonts w:ascii="Times New Roman" w:cs="Times New Roman" w:eastAsia="Times New Roman" w:hAnsi="Times New Roman"/>
          <w:sz w:val="18"/>
          <w:szCs w:val="18"/>
          <w:color w:val="auto"/>
        </w:rPr>
        <w:t>Signature of 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-127635</wp:posOffset>
            </wp:positionV>
            <wp:extent cx="314579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A-1-10</w:t>
      </w:r>
    </w:p>
    <w:p>
      <w:pPr>
        <w:sectPr>
          <w:pgSz w:w="11900" w:h="16838" w:orient="portrait"/>
          <w:cols w:equalWidth="0" w:num="2">
            <w:col w:w="5140" w:space="100"/>
            <w:col w:w="5780"/>
          </w:cols>
          <w:pgMar w:left="440" w:top="270" w:right="439" w:bottom="1440" w:gutter="0" w:footer="0" w:header="0"/>
          <w:type w:val="continuous"/>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5.625% SENIOR NOTE DUE 2030]</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[Global Security Legend]</w:t>
      </w:r>
    </w:p>
    <w:p>
      <w:pPr>
        <w:spacing w:after="0" w:line="225"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UNLESS THIS CERTIFICATE IS PRESENTED BY AN AUTHORIZED REPRESENTATIVE OF THE DEPOSITORY TRUST COMPANY, A NEW YORK CORPORATION (“DTC”), NEW YORK, NEW YORK, TO THE COMPANY OR ITS AGENT FOR REGISTRATION OF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9" w:lineRule="exact"/>
        <w:rPr>
          <w:sz w:val="20"/>
          <w:szCs w:val="20"/>
          <w:color w:val="auto"/>
        </w:rPr>
      </w:pPr>
    </w:p>
    <w:p>
      <w:pPr>
        <w:ind w:right="400" w:firstLine="440"/>
        <w:spacing w:after="0" w:line="261" w:lineRule="auto"/>
        <w:rPr>
          <w:sz w:val="20"/>
          <w:szCs w:val="20"/>
          <w:color w:val="auto"/>
        </w:rPr>
      </w:pPr>
      <w:r>
        <w:rPr>
          <w:rFonts w:ascii="Times New Roman" w:cs="Times New Roman" w:eastAsia="Times New Roman" w:hAnsi="Times New Roman"/>
          <w:sz w:val="18"/>
          <w:szCs w:val="18"/>
          <w:color w:val="auto"/>
        </w:rPr>
        <w:t>TRANSFERS OF THIS GLOBAL SECURITY SHALL BE LIMITED TO TRANSFERS IN WHOLE, BUT NOT IN PART, TO DTC, TO NOMINEES OF DTC OR TO A SUCCESSOR THEREOF OR SUCH SUCCESSOR’S NOMINEE AND TRANSFERS OF PORTIONS OF THIS GLOBAL SECURITY SHALL BE LIMITED TO TRANSFERS MADE IN ACCORDANCE WITH THE RESTRICTIONS SET FORTH IN THE INDENTURE REFERRED TO ON THE REVERSE HEREOF.</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A-2-1</w:t>
      </w:r>
    </w:p>
    <w:p>
      <w:pPr>
        <w:sectPr>
          <w:pgSz w:w="11900" w:h="16838" w:orient="portrait"/>
          <w:cols w:equalWidth="0" w:num="1">
            <w:col w:w="11020"/>
          </w:cols>
          <w:pgMar w:left="440" w:top="266" w:right="439" w:bottom="1440" w:gutter="0" w:footer="0" w:header="0"/>
        </w:sectPr>
      </w:pPr>
    </w:p>
    <w:bookmarkStart w:id="72" w:name="page73"/>
    <w:bookmarkEnd w:id="72"/>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GENERAL MOTORS COMPANY</w:t>
      </w:r>
    </w:p>
    <w:p>
      <w:pPr>
        <w:spacing w:after="0" w:line="11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5.625% Senior Notes due 2030</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CUSIP No.: 37045V BA7</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ISIN No.: US37045VBA70</w:t>
      </w:r>
    </w:p>
    <w:p>
      <w:pPr>
        <w:spacing w:after="0" w:line="234" w:lineRule="exact"/>
        <w:rPr>
          <w:sz w:val="20"/>
          <w:szCs w:val="20"/>
          <w:color w:val="auto"/>
        </w:rPr>
      </w:pPr>
    </w:p>
    <w:p>
      <w:pPr>
        <w:ind w:left="4"/>
        <w:spacing w:after="0"/>
        <w:tabs>
          <w:tab w:leader="none" w:pos="8584" w:val="left"/>
        </w:tabs>
        <w:rPr>
          <w:sz w:val="20"/>
          <w:szCs w:val="20"/>
          <w:color w:val="auto"/>
        </w:rPr>
      </w:pPr>
      <w:r>
        <w:rPr>
          <w:rFonts w:ascii="Times New Roman" w:cs="Times New Roman" w:eastAsia="Times New Roman" w:hAnsi="Times New Roman"/>
          <w:sz w:val="18"/>
          <w:szCs w:val="18"/>
          <w:color w:val="auto"/>
        </w:rPr>
        <w:t>No. [   ]</w:t>
      </w:r>
      <w:r>
        <w:rPr>
          <w:sz w:val="20"/>
          <w:szCs w:val="20"/>
          <w:color w:val="auto"/>
        </w:rPr>
        <w:tab/>
      </w:r>
      <w:r>
        <w:rPr>
          <w:rFonts w:ascii="Times New Roman" w:cs="Times New Roman" w:eastAsia="Times New Roman" w:hAnsi="Times New Roman"/>
          <w:sz w:val="13"/>
          <w:szCs w:val="13"/>
          <w:color w:val="auto"/>
        </w:rPr>
        <w:t>$[   ]</w:t>
      </w:r>
    </w:p>
    <w:p>
      <w:pPr>
        <w:spacing w:after="0" w:line="221" w:lineRule="exact"/>
        <w:rPr>
          <w:sz w:val="20"/>
          <w:szCs w:val="20"/>
          <w:color w:val="auto"/>
        </w:rPr>
      </w:pPr>
    </w:p>
    <w:p>
      <w:pPr>
        <w:ind w:left="4" w:right="40" w:firstLine="440"/>
        <w:spacing w:after="0" w:line="244" w:lineRule="auto"/>
        <w:rPr>
          <w:sz w:val="20"/>
          <w:szCs w:val="20"/>
          <w:color w:val="auto"/>
        </w:rPr>
      </w:pPr>
      <w:r>
        <w:rPr>
          <w:rFonts w:ascii="Times New Roman" w:cs="Times New Roman" w:eastAsia="Times New Roman" w:hAnsi="Times New Roman"/>
          <w:sz w:val="18"/>
          <w:szCs w:val="18"/>
          <w:color w:val="auto"/>
        </w:rPr>
        <w:t>GENERAL MOTORS COMPANY, a corporation duly organized and existing under the laws of Delaware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which term includes any successor Person under the Indenture hereinafter referred to), for value received, hereby promises to pay to CEDE &amp; CO., or registered assigns, the principal sum of $[  ] ([  ] DOLLARS)[, as revised by the Schedule of Increases and Decreases attached hereto,]</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on April 15, 2030, and to pay interest thereon from May 7, 2025 or from the most recent Interest Payment Date to which interest has been paid or duly provided for, semi-annually in arrears on April 15 and October 15 of each year, commencing on October 15, 2025, at the rate of 5.625% per annum, until the principal hereof is paid or made available for payment. The interest so payable, and punctually paid or duly provided for, on any Interest Payment Date will, as provided in the Indenture, be paid to the Person in whose name this Note is registered at the close of business on the Regular Record Date for such interest, which shall be the April 1 or October 1 (whether or not a Business Day), as the case may be, next preceding such Interest Payment Date. Any such interest not so punctually paid or duly provided for will forthwith cease to be payable to the Holder on such Regular Record Date and may either be paid to the Person in whose name this Note is registered at the close of business on a Special Record Date for the payment of such Defaulted Interest to be fixed by the Trustee, notice whereof shall be given to Holders of the Notes not less than 10 days prior to such Special Record Date, or be paid at any time in any other lawful manner not inconsistent with the requirements of any securities exchange on which the Notes may be listed, and upon such notice as may be required by such exchange, all as more fully provided in the Indenture.</w:t>
      </w:r>
    </w:p>
    <w:p>
      <w:pPr>
        <w:spacing w:after="0" w:line="199"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Reference is hereby made to the further provisions of the Notes set forth on the reverse hereof, which further provisions shall for all purposes have the same effect as if set forth at this place.</w:t>
      </w:r>
    </w:p>
    <w:p>
      <w:pPr>
        <w:spacing w:after="0" w:line="162" w:lineRule="exact"/>
        <w:rPr>
          <w:sz w:val="20"/>
          <w:szCs w:val="20"/>
          <w:color w:val="auto"/>
        </w:rPr>
      </w:pPr>
    </w:p>
    <w:p>
      <w:pPr>
        <w:ind w:left="4" w:right="740" w:firstLine="440"/>
        <w:spacing w:after="0" w:line="282" w:lineRule="auto"/>
        <w:rPr>
          <w:sz w:val="20"/>
          <w:szCs w:val="20"/>
          <w:color w:val="auto"/>
        </w:rPr>
      </w:pPr>
      <w:r>
        <w:rPr>
          <w:rFonts w:ascii="Times New Roman" w:cs="Times New Roman" w:eastAsia="Times New Roman" w:hAnsi="Times New Roman"/>
          <w:sz w:val="18"/>
          <w:szCs w:val="18"/>
          <w:color w:val="auto"/>
        </w:rPr>
        <w:t>Unless the certificate of authentication hereon has been executed by the Trustee referred to on the reverse hereof by manual, facsimile or electronic signature, this Note shall not be entitled to any benefit under the Indenture or be valid or obligatory for any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77152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38" w:lineRule="exact"/>
        <w:rPr>
          <w:sz w:val="20"/>
          <w:szCs w:val="20"/>
          <w:color w:val="auto"/>
        </w:rPr>
      </w:pPr>
    </w:p>
    <w:p>
      <w:pPr>
        <w:ind w:left="424" w:hanging="424"/>
        <w:spacing w:after="0"/>
        <w:tabs>
          <w:tab w:leader="none" w:pos="424" w:val="left"/>
        </w:tabs>
        <w:numPr>
          <w:ilvl w:val="0"/>
          <w:numId w:val="5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To be included in Global Securities.</w:t>
      </w:r>
    </w:p>
    <w:p>
      <w:pPr>
        <w:spacing w:after="0" w:line="13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A-2-2</w:t>
      </w:r>
    </w:p>
    <w:p>
      <w:pPr>
        <w:sectPr>
          <w:pgSz w:w="11900" w:h="16838" w:orient="portrait"/>
          <w:cols w:equalWidth="0" w:num="1">
            <w:col w:w="11004"/>
          </w:cols>
          <w:pgMar w:left="436" w:top="266" w:right="459" w:bottom="1440" w:gutter="0" w:footer="0" w:header="0"/>
        </w:sectPr>
      </w:pPr>
    </w:p>
    <w:bookmarkStart w:id="73" w:name="page74"/>
    <w:bookmarkEnd w:id="7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Company has caused this Note to be duly executed.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GENERAL MOTORS COMPANY</w:t>
      </w:r>
    </w:p>
    <w:p>
      <w:pPr>
        <w:spacing w:after="0" w:line="23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Andrew Beck</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Assistant Treasurer</w:t>
      </w:r>
    </w:p>
    <w:p>
      <w:pPr>
        <w:spacing w:after="0" w:line="13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A-2-3</w:t>
      </w:r>
    </w:p>
    <w:p>
      <w:pPr>
        <w:sectPr>
          <w:pgSz w:w="11900" w:h="16838" w:orient="portrait"/>
          <w:cols w:equalWidth="0" w:num="1">
            <w:col w:w="10019"/>
          </w:cols>
          <w:pgMar w:left="440" w:top="270" w:right="1440" w:bottom="1440" w:gutter="0" w:footer="0" w:header="0"/>
        </w:sectPr>
      </w:pPr>
    </w:p>
    <w:bookmarkStart w:id="74" w:name="page75"/>
    <w:bookmarkEnd w:id="7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Note is one of the Securities of the series designated therein referred to in the within-mentioned Indenture.</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THE BANK OF NEW YORK MELLON, as Trustee</w:t>
      </w:r>
    </w:p>
    <w:p>
      <w:pPr>
        <w:spacing w:after="0" w:line="23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15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A-2-4</w:t>
      </w:r>
    </w:p>
    <w:p>
      <w:pPr>
        <w:sectPr>
          <w:pgSz w:w="11900" w:h="16838" w:orient="portrait"/>
          <w:cols w:equalWidth="0" w:num="1">
            <w:col w:w="10420"/>
          </w:cols>
          <w:pgMar w:left="440" w:top="270" w:right="1039" w:bottom="1440" w:gutter="0" w:footer="0" w:header="0"/>
        </w:sectPr>
      </w:pPr>
    </w:p>
    <w:bookmarkStart w:id="75" w:name="page76"/>
    <w:bookmarkEnd w:id="7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[REVERSE OF NOTE]</w:t>
      </w:r>
    </w:p>
    <w:p>
      <w:pPr>
        <w:spacing w:after="0" w:line="225" w:lineRule="exact"/>
        <w:rPr>
          <w:sz w:val="20"/>
          <w:szCs w:val="20"/>
          <w:color w:val="auto"/>
        </w:rPr>
      </w:pPr>
    </w:p>
    <w:p>
      <w:pPr>
        <w:ind w:right="40" w:firstLine="436"/>
        <w:spacing w:after="0" w:line="254" w:lineRule="auto"/>
        <w:tabs>
          <w:tab w:leader="none" w:pos="6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Note is one of a duly authorized issue of Securities of the Company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issued and to be issued in one or more series under the Indenture, dated as of September 27, 2013 (as supplemented prior to the date hereof, the “</w:t>
      </w:r>
      <w:r>
        <w:rPr>
          <w:rFonts w:ascii="Times New Roman" w:cs="Times New Roman" w:eastAsia="Times New Roman" w:hAnsi="Times New Roman"/>
          <w:sz w:val="18"/>
          <w:szCs w:val="18"/>
          <w:b w:val="1"/>
          <w:bCs w:val="1"/>
          <w:color w:val="auto"/>
        </w:rPr>
        <w:t>Original Indenture</w:t>
      </w:r>
      <w:r>
        <w:rPr>
          <w:rFonts w:ascii="Times New Roman" w:cs="Times New Roman" w:eastAsia="Times New Roman" w:hAnsi="Times New Roman"/>
          <w:sz w:val="18"/>
          <w:szCs w:val="18"/>
          <w:color w:val="auto"/>
        </w:rPr>
        <w:t>”), as amended and supplemented by the Seventh Supplemental Indenture, dated as of August 2, 2022 (the “</w:t>
      </w:r>
      <w:r>
        <w:rPr>
          <w:rFonts w:ascii="Times New Roman" w:cs="Times New Roman" w:eastAsia="Times New Roman" w:hAnsi="Times New Roman"/>
          <w:sz w:val="18"/>
          <w:szCs w:val="18"/>
          <w:b w:val="1"/>
          <w:bCs w:val="1"/>
          <w:color w:val="auto"/>
        </w:rPr>
        <w:t>Seventh Supplemental Indenture</w:t>
      </w:r>
      <w:r>
        <w:rPr>
          <w:rFonts w:ascii="Times New Roman" w:cs="Times New Roman" w:eastAsia="Times New Roman" w:hAnsi="Times New Roman"/>
          <w:sz w:val="18"/>
          <w:szCs w:val="18"/>
          <w:color w:val="auto"/>
        </w:rPr>
        <w:t>” and, together with the Original Indenture, the “</w:t>
      </w:r>
      <w:r>
        <w:rPr>
          <w:rFonts w:ascii="Times New Roman" w:cs="Times New Roman" w:eastAsia="Times New Roman" w:hAnsi="Times New Roman"/>
          <w:sz w:val="18"/>
          <w:szCs w:val="18"/>
          <w:b w:val="1"/>
          <w:bCs w:val="1"/>
          <w:color w:val="auto"/>
        </w:rPr>
        <w:t>Base Indenture</w:t>
      </w:r>
      <w:r>
        <w:rPr>
          <w:rFonts w:ascii="Times New Roman" w:cs="Times New Roman" w:eastAsia="Times New Roman" w:hAnsi="Times New Roman"/>
          <w:sz w:val="18"/>
          <w:szCs w:val="18"/>
          <w:color w:val="auto"/>
        </w:rPr>
        <w:t>”) and the Eighth Supplemental Indenture relating to the Notes dated as of May 7, 2025 (the “</w:t>
      </w:r>
      <w:r>
        <w:rPr>
          <w:rFonts w:ascii="Times New Roman" w:cs="Times New Roman" w:eastAsia="Times New Roman" w:hAnsi="Times New Roman"/>
          <w:sz w:val="18"/>
          <w:szCs w:val="18"/>
          <w:b w:val="1"/>
          <w:bCs w:val="1"/>
          <w:color w:val="auto"/>
        </w:rPr>
        <w:t>Supplemental Indenture</w:t>
      </w:r>
      <w:r>
        <w:rPr>
          <w:rFonts w:ascii="Times New Roman" w:cs="Times New Roman" w:eastAsia="Times New Roman" w:hAnsi="Times New Roman"/>
          <w:sz w:val="18"/>
          <w:szCs w:val="18"/>
          <w:color w:val="auto"/>
        </w:rPr>
        <w:t>” and, together with the Base Indenture,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between the Company and The Bank of New York Mellon,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xml:space="preserve">,” which term includes any successor trustee under the Indenture), and reference is hereby made to the Indenture for a statement of the respective rights, limitations of rights, duties and immunities thereunder of the Company, the Trustee and the Holders of the Notes and of the terms upon which the Notes are, and are to be, authenticated and delivered. This Note is one of the series designated on the face hereof, such series initially limited in aggregate principal amount to $750,000,000;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may at any time and from time to time, without the consent of any Holder, issue additional Notes of this series.</w:t>
      </w:r>
    </w:p>
    <w:p>
      <w:pPr>
        <w:spacing w:after="0" w:line="189"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All terms which are used but not defined in this Note and which are defined in the Indenture shall have the meanings assigned to them in the Indenture.</w:t>
      </w:r>
    </w:p>
    <w:p>
      <w:pPr>
        <w:spacing w:after="0" w:line="158" w:lineRule="exact"/>
        <w:rPr>
          <w:sz w:val="20"/>
          <w:szCs w:val="20"/>
          <w:color w:val="auto"/>
        </w:rPr>
      </w:pPr>
    </w:p>
    <w:p>
      <w:pPr>
        <w:ind w:firstLine="436"/>
        <w:spacing w:after="0" w:line="257" w:lineRule="auto"/>
        <w:tabs>
          <w:tab w:leader="none" w:pos="6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March 15, 2030 (the “</w:t>
      </w:r>
      <w:r>
        <w:rPr>
          <w:rFonts w:ascii="Times New Roman" w:cs="Times New Roman" w:eastAsia="Times New Roman" w:hAnsi="Times New Roman"/>
          <w:sz w:val="18"/>
          <w:szCs w:val="18"/>
          <w:b w:val="1"/>
          <w:bCs w:val="1"/>
          <w:color w:val="auto"/>
        </w:rPr>
        <w:t>Par Call Date</w:t>
      </w:r>
      <w:r>
        <w:rPr>
          <w:rFonts w:ascii="Times New Roman" w:cs="Times New Roman" w:eastAsia="Times New Roman" w:hAnsi="Times New Roman"/>
          <w:sz w:val="18"/>
          <w:szCs w:val="18"/>
          <w:color w:val="auto"/>
        </w:rPr>
        <w:t>”), the Company may redeem the Notes, in whole or in part, at any time and from time to time, at a redemption price (expressed as a percentage of principal amount and rounded to three decimal places) equal to the greater of: (i)(a) the sum of the present values of the remaining scheduled payments of principal and interest on the Notes to be redeemed, discounted to the redemption date (assuming the Notes matured on the Par Call Date) on a semiannual basis (assuming a 360-day year consisting of twelve 30-day months) at the Treasury Rate plus 30 basis points less (b) interest accrued to the date of redemption, and (ii) 100% of the principal amount of the Notes to be redeemed, plus, in either case, accrued and unpaid interest thereon to the redemption date.</w:t>
      </w:r>
    </w:p>
    <w:p>
      <w:pPr>
        <w:spacing w:after="0" w:line="186"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Unless the Company defaults in the payment of the applicable redemption price, on and after the applicable redemption date, interest will cease to accrue on the Notes or portions of the Notes called for redemption.</w:t>
      </w:r>
    </w:p>
    <w:p>
      <w:pPr>
        <w:spacing w:after="0" w:line="162"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On or after the Par Call Date, the Company may redeem the Notes, in whole or in part, at any time and from time to time, at a redemption price equal to 100% of the principal amount of the Notes being redeemed plus accrued and unpaid interest thereon to the redemption date.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actions and determinations in determining the redemption price shall be conclusive and binding for all purposes, absent manifest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error.</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A-2-5</w:t>
      </w:r>
    </w:p>
    <w:p>
      <w:pPr>
        <w:sectPr>
          <w:pgSz w:w="11900" w:h="16838" w:orient="portrait"/>
          <w:cols w:equalWidth="0" w:num="1">
            <w:col w:w="10960"/>
          </w:cols>
          <w:pgMar w:left="440" w:top="266" w:right="499" w:bottom="1440" w:gutter="0" w:footer="0" w:header="0"/>
        </w:sectPr>
      </w:pPr>
    </w:p>
    <w:bookmarkStart w:id="76" w:name="page77"/>
    <w:bookmarkEnd w:id="76"/>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 of any redemption will be mailed or electronically delivered (or otherwise transmitted in accordance with the depositary’s procedures) at least 10 days but not more than 60 days before the redemption date to each holder of Notes to be redeemed.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the case of a partial redemption, selection of the Notes for redemption will be made by the Trustee by lot. No Notes of a principal amount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$2,000 or less will be redeemed in part. If any Note is to be redeemed in part only, the notice of redemption that relates to the Note will state the portion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principal amount of the Note to be redeemed. A new Note in a principal amount equal to the unredeemed portion of the Note will be issued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the holder of the Note upon surrender for cancellation of the original Note. For so long as the Notes are held by DTC (or another depositary),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redemption of the Notes shall be done in accordance with the policies and procedures of the depositary.</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provisions of Article Eleven of the Base Indenture shall apply to any redemption of the Notes.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purposes of this Section 2, the following terms shall have the following specified meanings:</w:t>
      </w:r>
    </w:p>
    <w:p>
      <w:pPr>
        <w:spacing w:after="0" w:line="113" w:lineRule="exact"/>
        <w:rPr>
          <w:sz w:val="20"/>
          <w:szCs w:val="20"/>
          <w:color w:val="auto"/>
        </w:rPr>
      </w:pPr>
    </w:p>
    <w:p>
      <w:pPr>
        <w:ind w:right="6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Treasury Rate</w:t>
      </w:r>
      <w:r>
        <w:rPr>
          <w:rFonts w:ascii="Times New Roman" w:cs="Times New Roman" w:eastAsia="Times New Roman" w:hAnsi="Times New Roman"/>
          <w:sz w:val="18"/>
          <w:szCs w:val="18"/>
          <w:color w:val="auto"/>
        </w:rPr>
        <w:t>” means, with respect to any redemption date, the yield determined by the Company in accordance with the following two paragraphs.</w:t>
      </w:r>
    </w:p>
    <w:p>
      <w:pPr>
        <w:spacing w:after="0" w:line="15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A-2-6</w:t>
      </w:r>
    </w:p>
    <w:p>
      <w:pPr>
        <w:sectPr>
          <w:pgSz w:w="11900" w:h="16838" w:orient="portrait"/>
          <w:cols w:equalWidth="0" w:num="1">
            <w:col w:w="10980"/>
          </w:cols>
          <w:pgMar w:left="440" w:top="270" w:right="479" w:bottom="1440" w:gutter="0" w:footer="0" w:header="0"/>
        </w:sectPr>
      </w:pPr>
    </w:p>
    <w:bookmarkStart w:id="77" w:name="page78"/>
    <w:bookmarkEnd w:id="77"/>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90" w:lineRule="exact"/>
        <w:rPr>
          <w:sz w:val="20"/>
          <w:szCs w:val="20"/>
          <w:color w:val="auto"/>
        </w:rPr>
      </w:pPr>
    </w:p>
    <w:p>
      <w:pPr>
        <w:ind w:right="140" w:firstLine="436"/>
        <w:spacing w:after="0" w:line="282" w:lineRule="auto"/>
        <w:tabs>
          <w:tab w:leader="none" w:pos="6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consolidate with or merge with or into, or convey, transfer or lease all or substantially all of its properties and assets to any Person, unless the provisions of Article Eight of the Base Indenture are complied with.</w:t>
      </w:r>
    </w:p>
    <w:p>
      <w:pPr>
        <w:spacing w:after="0" w:line="161" w:lineRule="exact"/>
        <w:rPr>
          <w:rFonts w:ascii="Times New Roman" w:cs="Times New Roman" w:eastAsia="Times New Roman" w:hAnsi="Times New Roman"/>
          <w:sz w:val="18"/>
          <w:szCs w:val="18"/>
          <w:color w:val="auto"/>
        </w:rPr>
      </w:pPr>
    </w:p>
    <w:p>
      <w:pPr>
        <w:ind w:right="60" w:firstLine="436"/>
        <w:spacing w:after="0" w:line="254" w:lineRule="auto"/>
        <w:tabs>
          <w:tab w:leader="none" w:pos="6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Base Indenture permits, with certain exceptions as therein provided, the amendment of the Indenture and the modification of the rights and obligations of the Company and the rights of the Holders of the Notes under the Indenture and the Notes at any time by the Company and the Trustee with the consent of the Holders of a majority in aggregate principal amount of the Notes at the time Outstanding. The Base Indenture and the Supplemental Indenture also contain provisions (including the provisions in Section 1006 of the Base Indenture and Section 2.10 of the Supplemental Indenture) permitting the Holders of specified percentages in aggregate principal amount of the Notes at the time Outstanding, on behalf of the Holders of all Notes, to waive compliance by the Company with certain provisions of the Indenture and the Notes and certain past defaults under the Indenture and their consequences. Any such consent or waiver by the Holders of Notes shall be conclusive and binding upon such Holders and upon all future Holders of the Notes and of any Notes issued upon the registration of transfer hereof or in exchange herefor or in lieu hereof, whether or not notation of such consent or waiver is made upon this Note.</w:t>
      </w:r>
    </w:p>
    <w:p>
      <w:pPr>
        <w:spacing w:after="0" w:line="188" w:lineRule="exact"/>
        <w:rPr>
          <w:rFonts w:ascii="Times New Roman" w:cs="Times New Roman" w:eastAsia="Times New Roman" w:hAnsi="Times New Roman"/>
          <w:sz w:val="18"/>
          <w:szCs w:val="18"/>
          <w:color w:val="auto"/>
        </w:rPr>
      </w:pPr>
    </w:p>
    <w:p>
      <w:pPr>
        <w:ind w:right="100" w:firstLine="436"/>
        <w:spacing w:after="0" w:line="282" w:lineRule="auto"/>
        <w:tabs>
          <w:tab w:leader="none" w:pos="6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with respect to the Notes shall occur and be continuing, the principal of the Notes may be declared, or shall immediately become, due and payable in the manner and with the effect provided in the Indenture.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A-2-7</w:t>
      </w:r>
    </w:p>
    <w:p>
      <w:pPr>
        <w:sectPr>
          <w:pgSz w:w="11900" w:h="16838" w:orient="portrait"/>
          <w:cols w:equalWidth="0" w:num="1">
            <w:col w:w="11000"/>
          </w:cols>
          <w:pgMar w:left="440" w:top="270" w:right="459" w:bottom="1440" w:gutter="0" w:footer="0" w:header="0"/>
        </w:sectPr>
      </w:pPr>
    </w:p>
    <w:bookmarkStart w:id="78" w:name="page79"/>
    <w:bookmarkEnd w:id="78"/>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provided in and subject to the provisions of the Indenture, the Holders of the Notes shall not have any right to institute any proceeding, judicial or otherwise, with respect to the Indenture, or for the appointment of a receiver or trustee, or for any other remedy thereunder or hereunder, unless certain conditions set forth in the Indenture are met. The foregoing shall not apply to any suit instituted by the Holder of the Notes for the enforcement of any payment of principal hereof or any premium or interest hereon on or after the respective due dates expressed herein.</w:t>
      </w:r>
    </w:p>
    <w:p>
      <w:pPr>
        <w:spacing w:after="0" w:line="180"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No reference herein to the Indenture and no provision of this Note or of the Indenture shall alter or impair the obligation of the Company, which is absolute and unconditional, to pay the principal of and interest on this Note at the times, place and rate, and in the coin or currency, herein prescribed.</w:t>
      </w:r>
    </w:p>
    <w:p>
      <w:pPr>
        <w:spacing w:after="0" w:line="162" w:lineRule="exact"/>
        <w:rPr>
          <w:sz w:val="20"/>
          <w:szCs w:val="20"/>
          <w:color w:val="auto"/>
        </w:rPr>
      </w:pPr>
    </w:p>
    <w:p>
      <w:pPr>
        <w:ind w:right="320" w:firstLine="436"/>
        <w:spacing w:after="0" w:line="266" w:lineRule="auto"/>
        <w:tabs>
          <w:tab w:leader="none" w:pos="6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Base Indenture and the Supplemental Indenture contain provisions for defeasance at any time of the entire indebtedness of the Notes or certain restrictive covenants and Events of Default with respect to such Notes, in each case upon compliance with certain conditions set forth in the Indenture.</w:t>
      </w:r>
    </w:p>
    <w:p>
      <w:pPr>
        <w:spacing w:after="0" w:line="175" w:lineRule="exact"/>
        <w:rPr>
          <w:rFonts w:ascii="Times New Roman" w:cs="Times New Roman" w:eastAsia="Times New Roman" w:hAnsi="Times New Roman"/>
          <w:sz w:val="18"/>
          <w:szCs w:val="18"/>
          <w:color w:val="auto"/>
        </w:rPr>
      </w:pPr>
    </w:p>
    <w:p>
      <w:pPr>
        <w:ind w:right="20" w:firstLine="436"/>
        <w:spacing w:after="0" w:line="256" w:lineRule="auto"/>
        <w:tabs>
          <w:tab w:leader="none" w:pos="6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provided in the Indenture and subject to certain limitations set forth in the Indenture (including the limitations in Section 311 of the Base Indenture), the transfer of this Note is registrable in the Security Register, upon surrender of this Note for registration of transfer at the office or agency of the Company in any place where the principal of and any interest on this Note are payable, duly endorsed by, or accompanied by a written instrument of transfer in form satisfactory to the Company and the Security Registrar duly executed by, the Holder hereof or his attorney duly authorized in writing, and thereupon one or more new Notes and of like tenor, of authorized denominations and for the same aggregate principal amount, will be issued to the designated transferee or transferees.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Notes are issuable only in registered form without coupons in denominations of $2,000 and integral multiples of $1,000 in excess thereof.</w:t>
      </w:r>
    </w:p>
    <w:p>
      <w:pPr>
        <w:spacing w:after="0" w:line="225"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Prior to due presentment of this Note for registration of transfer, the Company, the Trustee and any agent of the Company or the Trustee may treat the Person in whose name this Note is registered as the owner hereof for all purposes, whether or not this Note be overdue, and neither the Company, the Trustee nor any such agent shall be affected by notice to the contrary.</w:t>
      </w:r>
    </w:p>
    <w:p>
      <w:pPr>
        <w:spacing w:after="0" w:line="176" w:lineRule="exact"/>
        <w:rPr>
          <w:sz w:val="20"/>
          <w:szCs w:val="20"/>
          <w:color w:val="auto"/>
        </w:rPr>
      </w:pPr>
    </w:p>
    <w:p>
      <w:pPr>
        <w:jc w:val="both"/>
        <w:ind w:right="20" w:firstLine="440"/>
        <w:spacing w:after="0" w:line="296" w:lineRule="auto"/>
        <w:rPr>
          <w:sz w:val="20"/>
          <w:szCs w:val="20"/>
          <w:color w:val="auto"/>
        </w:rPr>
      </w:pPr>
      <w:r>
        <w:rPr>
          <w:rFonts w:ascii="Times New Roman" w:cs="Times New Roman" w:eastAsia="Times New Roman" w:hAnsi="Times New Roman"/>
          <w:sz w:val="18"/>
          <w:szCs w:val="18"/>
          <w:color w:val="auto"/>
        </w:rPr>
        <w:t>[This Note is a Global Security and is subject to the provisions of the Base Indenture and the Supplemental Indenture relating to Global Securities, including the limitations in Section 311 of the Base Indenture on transfers and exchanges of Global Securities.]</w:t>
      </w:r>
      <w:r>
        <w:rPr>
          <w:rFonts w:ascii="Times New Roman" w:cs="Times New Roman" w:eastAsia="Times New Roman" w:hAnsi="Times New Roman"/>
          <w:sz w:val="26"/>
          <w:szCs w:val="26"/>
          <w:color w:val="auto"/>
          <w:vertAlign w:val="superscript"/>
        </w:rPr>
        <w:t>1</w:t>
      </w:r>
    </w:p>
    <w:p>
      <w:pPr>
        <w:spacing w:after="0" w:line="20" w:lineRule="exact"/>
        <w:rPr>
          <w:sz w:val="20"/>
          <w:szCs w:val="20"/>
          <w:color w:val="auto"/>
        </w:rPr>
      </w:pPr>
    </w:p>
    <w:p>
      <w:pPr>
        <w:ind w:right="400" w:firstLine="440"/>
        <w:spacing w:after="0" w:line="286" w:lineRule="auto"/>
        <w:rPr>
          <w:sz w:val="20"/>
          <w:szCs w:val="20"/>
          <w:color w:val="auto"/>
        </w:rPr>
      </w:pPr>
      <w:r>
        <w:rPr>
          <w:rFonts w:ascii="Times New Roman" w:cs="Times New Roman" w:eastAsia="Times New Roman" w:hAnsi="Times New Roman"/>
          <w:sz w:val="18"/>
          <w:szCs w:val="18"/>
          <w:color w:val="auto"/>
        </w:rPr>
        <w:t xml:space="preserve">8. </w:t>
      </w:r>
      <w:r>
        <w:rPr>
          <w:rFonts w:ascii="Times New Roman" w:cs="Times New Roman" w:eastAsia="Times New Roman" w:hAnsi="Times New Roman"/>
          <w:sz w:val="18"/>
          <w:szCs w:val="18"/>
          <w:b w:val="1"/>
          <w:bCs w:val="1"/>
          <w:color w:val="auto"/>
        </w:rPr>
        <w:t>This Note and the Indenture shall be governed by and construed in accordance with the law of the State of New York in the United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715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7"/>
          <w:szCs w:val="27"/>
          <w:color w:val="auto"/>
          <w:vertAlign w:val="superscript"/>
        </w:rPr>
        <w:t>1</w:t>
      </w:r>
      <w:r>
        <w:rPr>
          <w:sz w:val="20"/>
          <w:szCs w:val="20"/>
          <w:color w:val="auto"/>
        </w:rPr>
        <w:tab/>
      </w:r>
      <w:r>
        <w:rPr>
          <w:rFonts w:ascii="Times New Roman" w:cs="Times New Roman" w:eastAsia="Times New Roman" w:hAnsi="Times New Roman"/>
          <w:sz w:val="18"/>
          <w:szCs w:val="18"/>
          <w:color w:val="auto"/>
        </w:rPr>
        <w:t>To be included in Global Securities.</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A-2-8</w:t>
      </w:r>
    </w:p>
    <w:p>
      <w:pPr>
        <w:sectPr>
          <w:pgSz w:w="11900" w:h="16838" w:orient="portrait"/>
          <w:cols w:equalWidth="0" w:num="1">
            <w:col w:w="11000"/>
          </w:cols>
          <w:pgMar w:left="440" w:top="270" w:right="459" w:bottom="1440" w:gutter="0" w:footer="0" w:header="0"/>
        </w:sectPr>
      </w:pPr>
    </w:p>
    <w:bookmarkStart w:id="79" w:name="page80"/>
    <w:bookmarkEnd w:id="79"/>
    <w:p>
      <w:pPr>
        <w:ind w:left="3664"/>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OF INCREASES OR DECREASES</w:t>
      </w:r>
      <w:r>
        <w:rPr>
          <w:rFonts w:ascii="Times New Roman" w:cs="Times New Roman" w:eastAsia="Times New Roman" w:hAnsi="Times New Roman"/>
          <w:sz w:val="25"/>
          <w:szCs w:val="25"/>
          <w:color w:val="auto"/>
          <w:vertAlign w:val="superscript"/>
        </w:rPr>
        <w:t>1</w:t>
      </w:r>
    </w:p>
    <w:p>
      <w:pPr>
        <w:spacing w:after="0" w:line="14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following increases and decreases in this Global Security have been made:</w:t>
      </w:r>
    </w:p>
    <w:p>
      <w:pPr>
        <w:spacing w:after="0" w:line="233" w:lineRule="exact"/>
        <w:rPr>
          <w:sz w:val="20"/>
          <w:szCs w:val="20"/>
          <w:color w:val="auto"/>
        </w:rPr>
      </w:pPr>
    </w:p>
    <w:tbl>
      <w:tblPr>
        <w:tblLayout w:type="fixed"/>
        <w:tblInd w:w="1124" w:type="dxa"/>
        <w:tblCellMar>
          <w:top w:w="0" w:type="dxa"/>
          <w:left w:w="0" w:type="dxa"/>
          <w:bottom w:w="0" w:type="dxa"/>
          <w:right w:w="0" w:type="dxa"/>
        </w:tblCellMar>
      </w:tblPr>
      <w:tr>
        <w:trPr>
          <w:trHeight w:val="161"/>
        </w:trPr>
        <w:tc>
          <w:tcPr>
            <w:tcW w:w="300" w:type="dxa"/>
            <w:vAlign w:val="bottom"/>
          </w:tcPr>
          <w:p>
            <w:pPr>
              <w:spacing w:after="0"/>
              <w:rPr>
                <w:sz w:val="13"/>
                <w:szCs w:val="13"/>
                <w:color w:val="auto"/>
              </w:rPr>
            </w:pPr>
          </w:p>
        </w:tc>
        <w:tc>
          <w:tcPr>
            <w:tcW w:w="3400" w:type="dxa"/>
            <w:vAlign w:val="bottom"/>
            <w:gridSpan w:val="3"/>
          </w:tcPr>
          <w:p>
            <w:pPr>
              <w:jc w:val="center"/>
              <w:ind w:left="1108"/>
              <w:spacing w:after="0"/>
              <w:rPr>
                <w:sz w:val="20"/>
                <w:szCs w:val="20"/>
                <w:color w:val="auto"/>
              </w:rPr>
            </w:pPr>
            <w:r>
              <w:rPr>
                <w:rFonts w:ascii="Times New Roman" w:cs="Times New Roman" w:eastAsia="Times New Roman" w:hAnsi="Times New Roman"/>
                <w:sz w:val="14"/>
                <w:szCs w:val="14"/>
                <w:b w:val="1"/>
                <w:bCs w:val="1"/>
                <w:color w:val="auto"/>
              </w:rPr>
              <w:t>Amount of decrease</w:t>
            </w:r>
          </w:p>
        </w:tc>
        <w:tc>
          <w:tcPr>
            <w:tcW w:w="1820" w:type="dxa"/>
            <w:vAlign w:val="bottom"/>
            <w:gridSpan w:val="3"/>
            <w:vMerge w:val="restart"/>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Amount of increase in</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3400" w:type="dxa"/>
            <w:vAlign w:val="bottom"/>
            <w:gridSpan w:val="3"/>
          </w:tcPr>
          <w:p>
            <w:pPr>
              <w:jc w:val="center"/>
              <w:ind w:left="1108"/>
              <w:spacing w:after="0" w:line="149" w:lineRule="exact"/>
              <w:rPr>
                <w:sz w:val="20"/>
                <w:szCs w:val="20"/>
                <w:color w:val="auto"/>
              </w:rPr>
            </w:pPr>
            <w:r>
              <w:rPr>
                <w:rFonts w:ascii="Times New Roman" w:cs="Times New Roman" w:eastAsia="Times New Roman" w:hAnsi="Times New Roman"/>
                <w:sz w:val="14"/>
                <w:szCs w:val="14"/>
                <w:b w:val="1"/>
                <w:bCs w:val="1"/>
                <w:color w:val="auto"/>
              </w:rPr>
              <w:t>in Principal Amount</w:t>
            </w:r>
          </w:p>
        </w:tc>
        <w:tc>
          <w:tcPr>
            <w:tcW w:w="1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3400" w:type="dxa"/>
            <w:vAlign w:val="bottom"/>
            <w:gridSpan w:val="3"/>
          </w:tcPr>
          <w:p>
            <w:pPr>
              <w:jc w:val="center"/>
              <w:ind w:left="1128"/>
              <w:spacing w:after="0" w:line="149" w:lineRule="exact"/>
              <w:rPr>
                <w:sz w:val="20"/>
                <w:szCs w:val="20"/>
                <w:color w:val="auto"/>
              </w:rPr>
            </w:pPr>
            <w:r>
              <w:rPr>
                <w:rFonts w:ascii="Times New Roman" w:cs="Times New Roman" w:eastAsia="Times New Roman" w:hAnsi="Times New Roman"/>
                <w:sz w:val="14"/>
                <w:szCs w:val="14"/>
                <w:b w:val="1"/>
                <w:bCs w:val="1"/>
                <w:color w:val="auto"/>
              </w:rPr>
              <w:t>of this Global</w:t>
            </w:r>
          </w:p>
        </w:tc>
        <w:tc>
          <w:tcPr>
            <w:tcW w:w="1820" w:type="dxa"/>
            <w:vAlign w:val="bottom"/>
            <w:gridSpan w:val="3"/>
          </w:tcPr>
          <w:p>
            <w:pPr>
              <w:jc w:val="center"/>
              <w:ind w:left="408"/>
              <w:spacing w:after="0" w:line="149" w:lineRule="exact"/>
              <w:rPr>
                <w:sz w:val="20"/>
                <w:szCs w:val="20"/>
                <w:color w:val="auto"/>
              </w:rPr>
            </w:pPr>
            <w:r>
              <w:rPr>
                <w:rFonts w:ascii="Times New Roman" w:cs="Times New Roman" w:eastAsia="Times New Roman" w:hAnsi="Times New Roman"/>
                <w:sz w:val="14"/>
                <w:szCs w:val="14"/>
                <w:b w:val="1"/>
                <w:bCs w:val="1"/>
                <w:color w:val="auto"/>
              </w:rPr>
              <w:t>Principal Amount of</w:t>
            </w:r>
          </w:p>
        </w:tc>
        <w:tc>
          <w:tcPr>
            <w:tcW w:w="0" w:type="dxa"/>
            <w:vAlign w:val="bottom"/>
          </w:tcPr>
          <w:p>
            <w:pPr>
              <w:spacing w:after="0"/>
              <w:rPr>
                <w:sz w:val="1"/>
                <w:szCs w:val="1"/>
                <w:color w:val="auto"/>
              </w:rPr>
            </w:pPr>
          </w:p>
        </w:tc>
      </w:tr>
      <w:tr>
        <w:trPr>
          <w:trHeight w:val="173"/>
        </w:trPr>
        <w:tc>
          <w:tcPr>
            <w:tcW w:w="300" w:type="dxa"/>
            <w:vAlign w:val="bottom"/>
            <w:vMerge w:val="continue"/>
          </w:tcPr>
          <w:p>
            <w:pPr>
              <w:spacing w:after="0"/>
              <w:rPr>
                <w:sz w:val="15"/>
                <w:szCs w:val="15"/>
                <w:color w:val="auto"/>
              </w:rPr>
            </w:pPr>
          </w:p>
        </w:tc>
        <w:tc>
          <w:tcPr>
            <w:tcW w:w="3400" w:type="dxa"/>
            <w:vAlign w:val="bottom"/>
            <w:gridSpan w:val="3"/>
          </w:tcPr>
          <w:p>
            <w:pPr>
              <w:jc w:val="center"/>
              <w:ind w:left="1128"/>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540" w:type="dxa"/>
            <w:vAlign w:val="bottom"/>
          </w:tcPr>
          <w:p>
            <w:pPr>
              <w:spacing w:after="0"/>
              <w:rPr>
                <w:sz w:val="15"/>
                <w:szCs w:val="15"/>
                <w:color w:val="auto"/>
              </w:rPr>
            </w:pPr>
          </w:p>
        </w:tc>
        <w:tc>
          <w:tcPr>
            <w:tcW w:w="12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this Global Security</w:t>
            </w: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75" w:lineRule="exact"/>
        <w:rPr>
          <w:sz w:val="20"/>
          <w:szCs w:val="20"/>
          <w:color w:val="auto"/>
        </w:rPr>
      </w:pPr>
    </w:p>
    <w:p>
      <w:pPr>
        <w:ind w:left="424" w:hanging="424"/>
        <w:spacing w:after="0"/>
        <w:tabs>
          <w:tab w:leader="none" w:pos="424" w:val="left"/>
        </w:tabs>
        <w:numPr>
          <w:ilvl w:val="0"/>
          <w:numId w:val="5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To be included in Global Securities.</w:t>
      </w:r>
    </w:p>
    <w:p>
      <w:pPr>
        <w:spacing w:after="0" w:line="130" w:lineRule="exact"/>
        <w:rPr>
          <w:sz w:val="20"/>
          <w:szCs w:val="20"/>
          <w:color w:val="auto"/>
        </w:rPr>
      </w:pPr>
    </w:p>
    <w:p>
      <w:pPr>
        <w:ind w:left="5284"/>
        <w:spacing w:after="0"/>
        <w:rPr>
          <w:sz w:val="20"/>
          <w:szCs w:val="20"/>
          <w:color w:val="auto"/>
        </w:rPr>
      </w:pPr>
      <w:r>
        <w:rPr>
          <w:rFonts w:ascii="Times New Roman" w:cs="Times New Roman" w:eastAsia="Times New Roman" w:hAnsi="Times New Roman"/>
          <w:sz w:val="18"/>
          <w:szCs w:val="18"/>
          <w:color w:val="auto"/>
        </w:rPr>
        <w:t>A-2-9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4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Principal Amount of</w:t>
            </w:r>
          </w:p>
        </w:tc>
        <w:tc>
          <w:tcPr>
            <w:tcW w:w="30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 of</w:t>
            </w:r>
          </w:p>
        </w:tc>
      </w:tr>
      <w:tr>
        <w:trPr>
          <w:trHeight w:val="148"/>
        </w:trPr>
        <w:tc>
          <w:tcPr>
            <w:tcW w:w="20" w:type="dxa"/>
            <w:vAlign w:val="bottom"/>
          </w:tcPr>
          <w:p>
            <w:pPr>
              <w:spacing w:after="0"/>
              <w:rPr>
                <w:sz w:val="12"/>
                <w:szCs w:val="12"/>
                <w:color w:val="auto"/>
              </w:rPr>
            </w:pPr>
          </w:p>
        </w:tc>
        <w:tc>
          <w:tcPr>
            <w:tcW w:w="15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this Global Security</w:t>
            </w:r>
          </w:p>
        </w:tc>
        <w:tc>
          <w:tcPr>
            <w:tcW w:w="30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authorized signatory</w:t>
            </w:r>
          </w:p>
        </w:tc>
      </w:tr>
      <w:tr>
        <w:trPr>
          <w:trHeight w:val="148"/>
        </w:trPr>
        <w:tc>
          <w:tcPr>
            <w:tcW w:w="20" w:type="dxa"/>
            <w:vAlign w:val="bottom"/>
          </w:tcPr>
          <w:p>
            <w:pPr>
              <w:spacing w:after="0"/>
              <w:rPr>
                <w:sz w:val="12"/>
                <w:szCs w:val="12"/>
                <w:color w:val="auto"/>
              </w:rPr>
            </w:pPr>
          </w:p>
        </w:tc>
        <w:tc>
          <w:tcPr>
            <w:tcW w:w="15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following such</w:t>
            </w:r>
          </w:p>
        </w:tc>
        <w:tc>
          <w:tcPr>
            <w:tcW w:w="1620" w:type="dxa"/>
            <w:vAlign w:val="bottom"/>
            <w:gridSpan w:val="2"/>
          </w:tcPr>
          <w:p>
            <w:pPr>
              <w:jc w:val="center"/>
              <w:ind w:left="208"/>
              <w:spacing w:after="0" w:line="149" w:lineRule="exact"/>
              <w:rPr>
                <w:sz w:val="20"/>
                <w:szCs w:val="20"/>
                <w:color w:val="auto"/>
              </w:rPr>
            </w:pPr>
            <w:r>
              <w:rPr>
                <w:rFonts w:ascii="Times New Roman" w:cs="Times New Roman" w:eastAsia="Times New Roman" w:hAnsi="Times New Roman"/>
                <w:sz w:val="14"/>
                <w:szCs w:val="14"/>
                <w:b w:val="1"/>
                <w:bCs w:val="1"/>
                <w:color w:val="auto"/>
              </w:rPr>
              <w:t>of Trustee or Security</w:t>
            </w:r>
          </w:p>
        </w:tc>
      </w:tr>
      <w:tr>
        <w:trPr>
          <w:trHeight w:val="173"/>
        </w:trPr>
        <w:tc>
          <w:tcPr>
            <w:tcW w:w="2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decrease or increase</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Registrar</w:t>
            </w:r>
          </w:p>
        </w:tc>
      </w:tr>
    </w:tbl>
    <w:p>
      <w:pPr>
        <w:sectPr>
          <w:pgSz w:w="11900" w:h="16838" w:orient="portrait"/>
          <w:cols w:equalWidth="0" w:num="2">
            <w:col w:w="7344" w:space="300"/>
            <w:col w:w="3160"/>
          </w:cols>
          <w:pgMar w:left="436" w:top="270" w:right="65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 FORM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assign this Note, fill in the form below: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102870</wp:posOffset>
            </wp:positionV>
            <wp:extent cx="699516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4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(Insert assignee’s soc. sec. or tax I.D. No.)</w:t>
            </w:r>
          </w:p>
        </w:tc>
      </w:tr>
      <w:tr>
        <w:trPr>
          <w:trHeight w:val="432"/>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5"/>
              </w:rPr>
              <w:t>and irrevocably appoint </w:t>
            </w: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8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agent to transfer this Note on the books of the Company. The agent may substitute another to act for him.</w:t>
            </w:r>
          </w:p>
        </w:tc>
      </w:tr>
      <w:tr>
        <w:trPr>
          <w:trHeight w:val="418"/>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Date:                       </w:t>
            </w: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640" w:type="dxa"/>
            <w:vAlign w:val="bottom"/>
            <w:gridSpan w:val="2"/>
          </w:tcPr>
          <w:p>
            <w:pPr>
              <w:ind w:left="2820"/>
              <w:spacing w:after="0"/>
              <w:rPr>
                <w:sz w:val="20"/>
                <w:szCs w:val="20"/>
                <w:color w:val="auto"/>
              </w:rPr>
            </w:pPr>
            <w:r>
              <w:rPr>
                <w:rFonts w:ascii="Times New Roman" w:cs="Times New Roman" w:eastAsia="Times New Roman" w:hAnsi="Times New Roman"/>
                <w:sz w:val="18"/>
                <w:szCs w:val="18"/>
                <w:color w:val="auto"/>
              </w:rPr>
              <w:t>Your Signature:</w:t>
            </w:r>
          </w:p>
        </w:tc>
      </w:tr>
      <w:tr>
        <w:trPr>
          <w:trHeight w:val="21"/>
        </w:trPr>
        <w:tc>
          <w:tcPr>
            <w:tcW w:w="440" w:type="dxa"/>
            <w:vAlign w:val="bottom"/>
          </w:tcPr>
          <w:p>
            <w:pPr>
              <w:spacing w:after="0" w:line="20" w:lineRule="exact"/>
              <w:rPr>
                <w:sz w:val="1"/>
                <w:szCs w:val="1"/>
                <w:color w:val="auto"/>
              </w:rPr>
            </w:pPr>
          </w:p>
        </w:tc>
        <w:tc>
          <w:tcPr>
            <w:tcW w:w="13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46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163195</wp:posOffset>
            </wp:positionV>
            <wp:extent cx="69951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 exactly as your name appears on the other side of this Note.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5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Date:</w:t>
        <w:tab/>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-7620</wp:posOffset>
            </wp:positionV>
            <wp:extent cx="1028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spacing w:after="0" w:line="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Signature must be guaranteed by a participant in a recognized signature guaranty medallion program or other signature guarantor program reasonably acceptable to the Trustee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ind w:right="2460"/>
        <w:spacing w:after="0"/>
        <w:rPr>
          <w:sz w:val="20"/>
          <w:szCs w:val="20"/>
          <w:color w:val="auto"/>
        </w:rPr>
      </w:pPr>
      <w:r>
        <w:rPr>
          <w:rFonts w:ascii="Times New Roman" w:cs="Times New Roman" w:eastAsia="Times New Roman" w:hAnsi="Times New Roman"/>
          <w:sz w:val="18"/>
          <w:szCs w:val="18"/>
          <w:color w:val="auto"/>
        </w:rPr>
        <w:t>Signature of 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-127635</wp:posOffset>
            </wp:positionV>
            <wp:extent cx="314579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A-2-10</w:t>
      </w:r>
    </w:p>
    <w:p>
      <w:pPr>
        <w:sectPr>
          <w:pgSz w:w="11900" w:h="16838" w:orient="portrait"/>
          <w:cols w:equalWidth="0" w:num="2">
            <w:col w:w="5140" w:space="100"/>
            <w:col w:w="5780"/>
          </w:cols>
          <w:pgMar w:left="440" w:top="270" w:right="439" w:bottom="1440" w:gutter="0" w:footer="0" w:header="0"/>
          <w:type w:val="continuous"/>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6.250% SENIOR NOTE DUE 2035]</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[Global Security Legend]</w:t>
      </w:r>
    </w:p>
    <w:p>
      <w:pPr>
        <w:spacing w:after="0" w:line="225"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UNLESS THIS CERTIFICATE IS PRESENTED BY AN AUTHORIZED REPRESENTATIVE OF THE DEPOSITORY TRUST COMPANY, A NEW YORK CORPORATION (“DTC”), NEW YORK, NEW YORK, TO THE COMPANY OR ITS AGENT FOR REGISTRATION OF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9" w:lineRule="exact"/>
        <w:rPr>
          <w:sz w:val="20"/>
          <w:szCs w:val="20"/>
          <w:color w:val="auto"/>
        </w:rPr>
      </w:pPr>
    </w:p>
    <w:p>
      <w:pPr>
        <w:ind w:right="400" w:firstLine="440"/>
        <w:spacing w:after="0" w:line="261" w:lineRule="auto"/>
        <w:rPr>
          <w:sz w:val="20"/>
          <w:szCs w:val="20"/>
          <w:color w:val="auto"/>
        </w:rPr>
      </w:pPr>
      <w:r>
        <w:rPr>
          <w:rFonts w:ascii="Times New Roman" w:cs="Times New Roman" w:eastAsia="Times New Roman" w:hAnsi="Times New Roman"/>
          <w:sz w:val="18"/>
          <w:szCs w:val="18"/>
          <w:color w:val="auto"/>
        </w:rPr>
        <w:t>TRANSFERS OF THIS GLOBAL SECURITY SHALL BE LIMITED TO TRANSFERS IN WHOLE, BUT NOT IN PART, TO DTC, TO NOMINEES OF DTC OR TO A SUCCESSOR THEREOF OR SUCH SUCCESSOR’S NOMINEE AND TRANSFERS OF PORTIONS OF THIS GLOBAL SECURITY SHALL BE LIMITED TO TRANSFERS MADE IN ACCORDANCE WITH THE RESTRICTIONS SET FORTH IN THE INDENTURE REFERRED TO ON THE REVERSE HEREOF.</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A-3-1</w:t>
      </w:r>
    </w:p>
    <w:p>
      <w:pPr>
        <w:sectPr>
          <w:pgSz w:w="11900" w:h="16838" w:orient="portrait"/>
          <w:cols w:equalWidth="0" w:num="1">
            <w:col w:w="11020"/>
          </w:cols>
          <w:pgMar w:left="440" w:top="266" w:right="439" w:bottom="1440" w:gutter="0" w:footer="0" w:header="0"/>
        </w:sectPr>
      </w:pPr>
    </w:p>
    <w:bookmarkStart w:id="82" w:name="page83"/>
    <w:bookmarkEnd w:id="82"/>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GENERAL MOTORS COMPANY</w:t>
      </w:r>
    </w:p>
    <w:p>
      <w:pPr>
        <w:spacing w:after="0" w:line="11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6.250% Senior Notes due 2035</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CUSIP No.: 37045V BB5</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ISIN No.: US37045VBB53</w:t>
      </w:r>
    </w:p>
    <w:p>
      <w:pPr>
        <w:spacing w:after="0" w:line="234" w:lineRule="exact"/>
        <w:rPr>
          <w:sz w:val="20"/>
          <w:szCs w:val="20"/>
          <w:color w:val="auto"/>
        </w:rPr>
      </w:pPr>
    </w:p>
    <w:p>
      <w:pPr>
        <w:ind w:left="4"/>
        <w:spacing w:after="0"/>
        <w:tabs>
          <w:tab w:leader="none" w:pos="8464" w:val="left"/>
        </w:tabs>
        <w:rPr>
          <w:sz w:val="20"/>
          <w:szCs w:val="20"/>
          <w:color w:val="auto"/>
        </w:rPr>
      </w:pPr>
      <w:r>
        <w:rPr>
          <w:rFonts w:ascii="Times New Roman" w:cs="Times New Roman" w:eastAsia="Times New Roman" w:hAnsi="Times New Roman"/>
          <w:sz w:val="18"/>
          <w:szCs w:val="18"/>
          <w:color w:val="auto"/>
        </w:rPr>
        <w:t>No. [   ]</w:t>
      </w:r>
      <w:r>
        <w:rPr>
          <w:sz w:val="20"/>
          <w:szCs w:val="20"/>
          <w:color w:val="auto"/>
        </w:rPr>
        <w:tab/>
      </w:r>
      <w:r>
        <w:rPr>
          <w:rFonts w:ascii="Times New Roman" w:cs="Times New Roman" w:eastAsia="Times New Roman" w:hAnsi="Times New Roman"/>
          <w:sz w:val="15"/>
          <w:szCs w:val="15"/>
          <w:color w:val="auto"/>
        </w:rPr>
        <w:t>$[   ]</w:t>
      </w:r>
    </w:p>
    <w:p>
      <w:pPr>
        <w:spacing w:after="0" w:line="221" w:lineRule="exact"/>
        <w:rPr>
          <w:sz w:val="20"/>
          <w:szCs w:val="20"/>
          <w:color w:val="auto"/>
        </w:rPr>
      </w:pPr>
    </w:p>
    <w:p>
      <w:pPr>
        <w:ind w:left="4" w:right="40" w:firstLine="440"/>
        <w:spacing w:after="0" w:line="244" w:lineRule="auto"/>
        <w:rPr>
          <w:sz w:val="20"/>
          <w:szCs w:val="20"/>
          <w:color w:val="auto"/>
        </w:rPr>
      </w:pPr>
      <w:r>
        <w:rPr>
          <w:rFonts w:ascii="Times New Roman" w:cs="Times New Roman" w:eastAsia="Times New Roman" w:hAnsi="Times New Roman"/>
          <w:sz w:val="18"/>
          <w:szCs w:val="18"/>
          <w:color w:val="auto"/>
        </w:rPr>
        <w:t>GENERAL MOTORS COMPANY, a corporation duly organized and existing under the laws of Delaware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which term includes any successor Person under the Indenture hereinafter referred to), for value received, hereby promises to pay to CEDE &amp; CO., or registered assigns, the principal sum of $[  ] ([  ] DOLLARS)[, as revised by the Schedule of Increases and Decreases attached hereto,]</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on April 15, 2035, and to pay interest thereon from May 7, 2025 or from the most recent Interest Payment Date to which interest has been paid or duly provided for, semi-annually in arrears on April 15 and October 15 of each year, commencing on October 15, 2025, at the rate of 6.250% per annum, until the principal hereof is paid or made available for payment. The interest so payable, and punctually paid or duly provided for, on any Interest Payment Date will, as provided in the Indenture, be paid to the Person in whose name this Note is registered at the close of business on the Regular Record Date for such interest, which shall be the April 1 or October 1 (whether or not a Business Day), as the case may be, next preceding such Interest Payment Date. Any such interest not so punctually paid or duly provided for will forthwith cease to be payable to the Holder on such Regular Record Date and may either be paid to the Person in whose name this Note is registered at the close of business on a Special Record Date for the payment of such Defaulted Interest to be fixed by the Trustee, notice whereof shall be given to Holders of the Notes not less than 10 days prior to such Special Record Date, or be paid at any time in any other lawful manner not inconsistent with the requirements of any securities exchange on which the Notes may be listed, and upon such notice as may be required by such exchange, all as more fully provided in the Indenture.</w:t>
      </w:r>
    </w:p>
    <w:p>
      <w:pPr>
        <w:spacing w:after="0" w:line="199"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Reference is hereby made to the further provisions of the Notes set forth on the reverse hereof, which further provisions shall for all purposes have the same effect as if set forth at this place.</w:t>
      </w:r>
    </w:p>
    <w:p>
      <w:pPr>
        <w:spacing w:after="0" w:line="162" w:lineRule="exact"/>
        <w:rPr>
          <w:sz w:val="20"/>
          <w:szCs w:val="20"/>
          <w:color w:val="auto"/>
        </w:rPr>
      </w:pPr>
    </w:p>
    <w:p>
      <w:pPr>
        <w:ind w:left="4" w:right="740" w:firstLine="440"/>
        <w:spacing w:after="0" w:line="282" w:lineRule="auto"/>
        <w:rPr>
          <w:sz w:val="20"/>
          <w:szCs w:val="20"/>
          <w:color w:val="auto"/>
        </w:rPr>
      </w:pPr>
      <w:r>
        <w:rPr>
          <w:rFonts w:ascii="Times New Roman" w:cs="Times New Roman" w:eastAsia="Times New Roman" w:hAnsi="Times New Roman"/>
          <w:sz w:val="18"/>
          <w:szCs w:val="18"/>
          <w:color w:val="auto"/>
        </w:rPr>
        <w:t>Unless the certificate of authentication hereon has been executed by the Trustee referred to on the reverse hereof by manual, facsimile or electronic signature, this Note shall not be entitled to any benefit under the Indenture or be valid or obligatory for any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7715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8" w:lineRule="exact"/>
        <w:rPr>
          <w:sz w:val="20"/>
          <w:szCs w:val="20"/>
          <w:color w:val="auto"/>
        </w:rPr>
      </w:pPr>
    </w:p>
    <w:p>
      <w:pPr>
        <w:ind w:left="424" w:hanging="424"/>
        <w:spacing w:after="0"/>
        <w:tabs>
          <w:tab w:leader="none" w:pos="424" w:val="left"/>
        </w:tabs>
        <w:numPr>
          <w:ilvl w:val="0"/>
          <w:numId w:val="5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To be included in Global Securities.</w:t>
      </w:r>
    </w:p>
    <w:p>
      <w:pPr>
        <w:spacing w:after="0" w:line="13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A-3-2</w:t>
      </w:r>
    </w:p>
    <w:p>
      <w:pPr>
        <w:sectPr>
          <w:pgSz w:w="11900" w:h="16838" w:orient="portrait"/>
          <w:cols w:equalWidth="0" w:num="1">
            <w:col w:w="11004"/>
          </w:cols>
          <w:pgMar w:left="436" w:top="266" w:right="459" w:bottom="1440" w:gutter="0" w:footer="0" w:header="0"/>
        </w:sectPr>
      </w:pPr>
    </w:p>
    <w:bookmarkStart w:id="83" w:name="page84"/>
    <w:bookmarkEnd w:id="8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Company has caused this Note to be duly executed.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GENERAL MOTORS COMPANY</w:t>
      </w:r>
    </w:p>
    <w:p>
      <w:pPr>
        <w:spacing w:after="0" w:line="23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Andrew Beck</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Assistant Treasurer</w:t>
      </w:r>
    </w:p>
    <w:p>
      <w:pPr>
        <w:spacing w:after="0" w:line="13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A-3-3</w:t>
      </w:r>
    </w:p>
    <w:p>
      <w:pPr>
        <w:sectPr>
          <w:pgSz w:w="11900" w:h="16838" w:orient="portrait"/>
          <w:cols w:equalWidth="0" w:num="1">
            <w:col w:w="10019"/>
          </w:cols>
          <w:pgMar w:left="440" w:top="270" w:right="1440" w:bottom="1440" w:gutter="0" w:footer="0" w:header="0"/>
        </w:sectPr>
      </w:pPr>
    </w:p>
    <w:bookmarkStart w:id="84" w:name="page85"/>
    <w:bookmarkEnd w:id="8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Note is one of the Securities of the series designated therein referred to in the within-mentioned Indenture.</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THE BANK OF NEW YORK MELLON, as Trustee</w:t>
      </w:r>
    </w:p>
    <w:p>
      <w:pPr>
        <w:spacing w:after="0" w:line="23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15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A-3-4</w:t>
      </w:r>
    </w:p>
    <w:p>
      <w:pPr>
        <w:sectPr>
          <w:pgSz w:w="11900" w:h="16838" w:orient="portrait"/>
          <w:cols w:equalWidth="0" w:num="1">
            <w:col w:w="10420"/>
          </w:cols>
          <w:pgMar w:left="440" w:top="270" w:right="1039" w:bottom="1440" w:gutter="0" w:footer="0" w:header="0"/>
        </w:sectPr>
      </w:pPr>
    </w:p>
    <w:bookmarkStart w:id="85" w:name="page86"/>
    <w:bookmarkEnd w:id="8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[REVERSE OF NOTE]</w:t>
      </w:r>
    </w:p>
    <w:p>
      <w:pPr>
        <w:spacing w:after="0" w:line="225" w:lineRule="exact"/>
        <w:rPr>
          <w:sz w:val="20"/>
          <w:szCs w:val="20"/>
          <w:color w:val="auto"/>
        </w:rPr>
      </w:pPr>
    </w:p>
    <w:p>
      <w:pPr>
        <w:ind w:right="20" w:firstLine="436"/>
        <w:spacing w:after="0" w:line="254" w:lineRule="auto"/>
        <w:tabs>
          <w:tab w:leader="none" w:pos="6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Note is one of a duly authorized issue of Securities of the Company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issued and to be issued in one or more series under the Indenture, dated as of September 27, 2013 (as supplemented prior to the date hereof, the “</w:t>
      </w:r>
      <w:r>
        <w:rPr>
          <w:rFonts w:ascii="Times New Roman" w:cs="Times New Roman" w:eastAsia="Times New Roman" w:hAnsi="Times New Roman"/>
          <w:sz w:val="18"/>
          <w:szCs w:val="18"/>
          <w:b w:val="1"/>
          <w:bCs w:val="1"/>
          <w:color w:val="auto"/>
        </w:rPr>
        <w:t>Original Indenture</w:t>
      </w:r>
      <w:r>
        <w:rPr>
          <w:rFonts w:ascii="Times New Roman" w:cs="Times New Roman" w:eastAsia="Times New Roman" w:hAnsi="Times New Roman"/>
          <w:sz w:val="18"/>
          <w:szCs w:val="18"/>
          <w:color w:val="auto"/>
        </w:rPr>
        <w:t>”), as amended and supplemented by the Seventh Supplemental Indenture, dated as of August 2, 2022 (the “</w:t>
      </w:r>
      <w:r>
        <w:rPr>
          <w:rFonts w:ascii="Times New Roman" w:cs="Times New Roman" w:eastAsia="Times New Roman" w:hAnsi="Times New Roman"/>
          <w:sz w:val="18"/>
          <w:szCs w:val="18"/>
          <w:b w:val="1"/>
          <w:bCs w:val="1"/>
          <w:color w:val="auto"/>
        </w:rPr>
        <w:t>Seventh Supplemental Indenture</w:t>
      </w:r>
      <w:r>
        <w:rPr>
          <w:rFonts w:ascii="Times New Roman" w:cs="Times New Roman" w:eastAsia="Times New Roman" w:hAnsi="Times New Roman"/>
          <w:sz w:val="18"/>
          <w:szCs w:val="18"/>
          <w:color w:val="auto"/>
        </w:rPr>
        <w:t>” and, together with the Original Indenture, the “</w:t>
      </w:r>
      <w:r>
        <w:rPr>
          <w:rFonts w:ascii="Times New Roman" w:cs="Times New Roman" w:eastAsia="Times New Roman" w:hAnsi="Times New Roman"/>
          <w:sz w:val="18"/>
          <w:szCs w:val="18"/>
          <w:b w:val="1"/>
          <w:bCs w:val="1"/>
          <w:color w:val="auto"/>
        </w:rPr>
        <w:t>Base Indenture</w:t>
      </w:r>
      <w:r>
        <w:rPr>
          <w:rFonts w:ascii="Times New Roman" w:cs="Times New Roman" w:eastAsia="Times New Roman" w:hAnsi="Times New Roman"/>
          <w:sz w:val="18"/>
          <w:szCs w:val="18"/>
          <w:color w:val="auto"/>
        </w:rPr>
        <w:t>”) and the Eighth Supplemental Indenture relating to the Notes dated as of May 7, 2025 (the “</w:t>
      </w:r>
      <w:r>
        <w:rPr>
          <w:rFonts w:ascii="Times New Roman" w:cs="Times New Roman" w:eastAsia="Times New Roman" w:hAnsi="Times New Roman"/>
          <w:sz w:val="18"/>
          <w:szCs w:val="18"/>
          <w:b w:val="1"/>
          <w:bCs w:val="1"/>
          <w:color w:val="auto"/>
        </w:rPr>
        <w:t>Supplemental Indenture</w:t>
      </w:r>
      <w:r>
        <w:rPr>
          <w:rFonts w:ascii="Times New Roman" w:cs="Times New Roman" w:eastAsia="Times New Roman" w:hAnsi="Times New Roman"/>
          <w:sz w:val="18"/>
          <w:szCs w:val="18"/>
          <w:color w:val="auto"/>
        </w:rPr>
        <w:t>” and, together with the Base Indenture,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between the Company and The Bank of New York Mellon,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xml:space="preserve">,” which term includes any successor trustee under the Indenture), and reference is hereby made to the Indenture for a statement of the respective rights, limitations of rights, duties and immunities thereunder of the Company, the Trustee and the Holders of the Notes and of the terms upon which the Notes are, and are to be, authenticated and delivered. This Note is one of the series designated on the face hereof, such series initially limited in aggregate principal amount to $500,000,000;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may at any time and from time to time, without the consent of any Holder, issue additional Notes of this series.</w:t>
      </w:r>
    </w:p>
    <w:p>
      <w:pPr>
        <w:spacing w:after="0" w:line="189"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All terms which are used but not defined in this Note and which are defined in the Indenture shall have the meanings assigned to them in the Indenture.</w:t>
      </w:r>
    </w:p>
    <w:p>
      <w:pPr>
        <w:spacing w:after="0" w:line="158" w:lineRule="exact"/>
        <w:rPr>
          <w:sz w:val="20"/>
          <w:szCs w:val="20"/>
          <w:color w:val="auto"/>
        </w:rPr>
      </w:pPr>
    </w:p>
    <w:p>
      <w:pPr>
        <w:ind w:firstLine="436"/>
        <w:spacing w:after="0" w:line="257" w:lineRule="auto"/>
        <w:tabs>
          <w:tab w:leader="none" w:pos="6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January 15, 2035 (the “</w:t>
      </w:r>
      <w:r>
        <w:rPr>
          <w:rFonts w:ascii="Times New Roman" w:cs="Times New Roman" w:eastAsia="Times New Roman" w:hAnsi="Times New Roman"/>
          <w:sz w:val="18"/>
          <w:szCs w:val="18"/>
          <w:b w:val="1"/>
          <w:bCs w:val="1"/>
          <w:color w:val="auto"/>
        </w:rPr>
        <w:t>Par Call Date</w:t>
      </w:r>
      <w:r>
        <w:rPr>
          <w:rFonts w:ascii="Times New Roman" w:cs="Times New Roman" w:eastAsia="Times New Roman" w:hAnsi="Times New Roman"/>
          <w:sz w:val="18"/>
          <w:szCs w:val="18"/>
          <w:color w:val="auto"/>
        </w:rPr>
        <w:t>”), the Company may redeem the Notes, in whole or in part, at any time and from time to time, at a redemption price (expressed as a percentage of principal amount and rounded to three decimal places) equal to the greater of: (i)(a) the sum of the present values of the remaining scheduled payments of principal and interest on the Notes to be redeemed, discounted to the redemption date (assuming the Notes matured on the Par Call Date) on a semiannual basis (assuming a 360-day year consisting of twelve 30-day months) at the Treasury Rate plus 30 basis points less (b) interest accrued to the date of redemption, and (ii) 100% of the principal amount of the Notes to be redeemed, plus, in either case, accrued and unpaid interest thereon to the redemption date.</w:t>
      </w:r>
    </w:p>
    <w:p>
      <w:pPr>
        <w:spacing w:after="0" w:line="186"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Unless the Company defaults in the payment of the applicable redemption price, on and after the applicable redemption date, interest will cease to accrue on the Notes or portions of the Notes called for redemption.</w:t>
      </w:r>
    </w:p>
    <w:p>
      <w:pPr>
        <w:spacing w:after="0" w:line="162"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On or after the Par Call Date, the Company may redeem the Notes, in whole or in part, at any time and from time to time, at a redemption price equal to 100% of the principal amount of the Notes being redeemed plus accrued and unpaid interest thereon to the redemption date.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actions and determinations in determining the redemption price shall be conclusive and binding for all purposes, absent manifest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error.</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A-3-5</w:t>
      </w:r>
    </w:p>
    <w:p>
      <w:pPr>
        <w:sectPr>
          <w:pgSz w:w="11900" w:h="16838" w:orient="portrait"/>
          <w:cols w:equalWidth="0" w:num="1">
            <w:col w:w="10940"/>
          </w:cols>
          <w:pgMar w:left="440" w:top="266" w:right="519" w:bottom="1440" w:gutter="0" w:footer="0" w:header="0"/>
        </w:sectPr>
      </w:pPr>
    </w:p>
    <w:bookmarkStart w:id="86" w:name="page87"/>
    <w:bookmarkEnd w:id="86"/>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 of any redemption will be mailed or electronically delivered (or otherwise transmitted in accordance with the depositary’s procedures) at least 10 days but not more than 60 days before the redemption date to each holder of Notes to be redeemed.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the case of a partial redemption, selection of the Notes for redemption will be made by the Trustee by lot. No Notes of a principal amount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$2,000 or less will be redeemed in part. If any Note is to be redeemed in part only, the notice of redemption that relates to the Note will state the portion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principal amount of the Note to be redeemed. A new Note in a principal amount equal to the unredeemed portion of the Note will be issued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the holder of the Note upon surrender for cancellation of the original Note. For so long as the Notes are held by DTC (or another depositary),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redemption of the Notes shall be done in accordance with the policies and procedures of the depositary.</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provisions of Article Eleven of the Base Indenture shall apply to any redemption of the Notes.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purposes of this Section 2, the following terms shall have the following specified meanings:</w:t>
      </w:r>
    </w:p>
    <w:p>
      <w:pPr>
        <w:spacing w:after="0" w:line="113" w:lineRule="exact"/>
        <w:rPr>
          <w:sz w:val="20"/>
          <w:szCs w:val="20"/>
          <w:color w:val="auto"/>
        </w:rPr>
      </w:pPr>
    </w:p>
    <w:p>
      <w:pPr>
        <w:ind w:right="6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Treasury Rate</w:t>
      </w:r>
      <w:r>
        <w:rPr>
          <w:rFonts w:ascii="Times New Roman" w:cs="Times New Roman" w:eastAsia="Times New Roman" w:hAnsi="Times New Roman"/>
          <w:sz w:val="18"/>
          <w:szCs w:val="18"/>
          <w:color w:val="auto"/>
        </w:rPr>
        <w:t>” means, with respect to any redemption date, the yield determined by the Company in accordance with the following two paragraphs.</w:t>
      </w:r>
    </w:p>
    <w:p>
      <w:pPr>
        <w:spacing w:after="0" w:line="15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A-3-6</w:t>
      </w:r>
    </w:p>
    <w:p>
      <w:pPr>
        <w:sectPr>
          <w:pgSz w:w="11900" w:h="16838" w:orient="portrait"/>
          <w:cols w:equalWidth="0" w:num="1">
            <w:col w:w="10980"/>
          </w:cols>
          <w:pgMar w:left="440" w:top="270" w:right="479" w:bottom="1440" w:gutter="0" w:footer="0" w:header="0"/>
        </w:sectPr>
      </w:pPr>
    </w:p>
    <w:bookmarkStart w:id="87" w:name="page88"/>
    <w:bookmarkEnd w:id="87"/>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90" w:lineRule="exact"/>
        <w:rPr>
          <w:sz w:val="20"/>
          <w:szCs w:val="20"/>
          <w:color w:val="auto"/>
        </w:rPr>
      </w:pPr>
    </w:p>
    <w:p>
      <w:pPr>
        <w:ind w:right="140" w:firstLine="436"/>
        <w:spacing w:after="0" w:line="282" w:lineRule="auto"/>
        <w:tabs>
          <w:tab w:leader="none" w:pos="6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consolidate with or merge with or into, or convey, transfer or lease all or substantially all of its properties and assets to any Person, unless the provisions of Article Eight of the Base Indenture are complied with.</w:t>
      </w:r>
    </w:p>
    <w:p>
      <w:pPr>
        <w:spacing w:after="0" w:line="161" w:lineRule="exact"/>
        <w:rPr>
          <w:rFonts w:ascii="Times New Roman" w:cs="Times New Roman" w:eastAsia="Times New Roman" w:hAnsi="Times New Roman"/>
          <w:sz w:val="18"/>
          <w:szCs w:val="18"/>
          <w:color w:val="auto"/>
        </w:rPr>
      </w:pPr>
    </w:p>
    <w:p>
      <w:pPr>
        <w:ind w:right="60" w:firstLine="436"/>
        <w:spacing w:after="0" w:line="254" w:lineRule="auto"/>
        <w:tabs>
          <w:tab w:leader="none" w:pos="6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Base Indenture permits, with certain exceptions as therein provided, the amendment of the Indenture and the modification of the rights and obligations of the Company and the rights of the Holders of the Notes under the Indenture and the Notes at any time by the Company and the Trustee with the consent of the Holders of a majority in aggregate principal amount of the Notes at the time Outstanding. The Base Indenture and the Supplemental Indenture also contain provisions (including the provisions in Section 1006 of the Base Indenture and Section 2.10 of the Supplemental Indenture) permitting the Holders of specified percentages in aggregate principal amount of the Notes at the time Outstanding, on behalf of the Holders of all Notes, to waive compliance by the Company with certain provisions of the Indenture and the Notes and certain past defaults under the Indenture and their consequences. Any such consent or waiver by the Holders of Notes shall be conclusive and binding upon such Holders and upon all future Holders of the Notes and of any Notes issued upon the registration of transfer hereof or in exchange herefor or in lieu hereof, whether or not notation of such consent or waiver is made upon this Note.</w:t>
      </w:r>
    </w:p>
    <w:p>
      <w:pPr>
        <w:spacing w:after="0" w:line="188" w:lineRule="exact"/>
        <w:rPr>
          <w:rFonts w:ascii="Times New Roman" w:cs="Times New Roman" w:eastAsia="Times New Roman" w:hAnsi="Times New Roman"/>
          <w:sz w:val="18"/>
          <w:szCs w:val="18"/>
          <w:color w:val="auto"/>
        </w:rPr>
      </w:pPr>
    </w:p>
    <w:p>
      <w:pPr>
        <w:ind w:right="100" w:firstLine="436"/>
        <w:spacing w:after="0" w:line="282" w:lineRule="auto"/>
        <w:tabs>
          <w:tab w:leader="none" w:pos="6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with respect to the Notes shall occur and be continuing, the principal of the Notes may be declared, or shall immediately become, due and payable in the manner and with the effect provided in the Indenture.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A-3-7</w:t>
      </w:r>
    </w:p>
    <w:p>
      <w:pPr>
        <w:sectPr>
          <w:pgSz w:w="11900" w:h="16838" w:orient="portrait"/>
          <w:cols w:equalWidth="0" w:num="1">
            <w:col w:w="11000"/>
          </w:cols>
          <w:pgMar w:left="440" w:top="270" w:right="459" w:bottom="1440" w:gutter="0" w:footer="0" w:header="0"/>
        </w:sectPr>
      </w:pPr>
    </w:p>
    <w:bookmarkStart w:id="88" w:name="page89"/>
    <w:bookmarkEnd w:id="88"/>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provided in and subject to the provisions of the Indenture, the Holders of the Notes shall not have any right to institute any proceeding, judicial or otherwise, with respect to the Indenture, or for the appointment of a receiver or trustee, or for any other remedy thereunder or hereunder, unless certain conditions set forth in the Indenture are met. The foregoing shall not apply to any suit instituted by the Holder of the Notes for the enforcement of any payment of principal hereof or any premium or interest hereon on or after the respective due dates expressed herein.</w:t>
      </w:r>
    </w:p>
    <w:p>
      <w:pPr>
        <w:spacing w:after="0" w:line="180"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No reference herein to the Indenture and no provision of this Note or of the Indenture shall alter or impair the obligation of the Company, which is absolute and unconditional, to pay the principal of and interest on this Note at the times, place and rate, and in the coin or currency, herein prescribed.</w:t>
      </w:r>
    </w:p>
    <w:p>
      <w:pPr>
        <w:spacing w:after="0" w:line="162" w:lineRule="exact"/>
        <w:rPr>
          <w:sz w:val="20"/>
          <w:szCs w:val="20"/>
          <w:color w:val="auto"/>
        </w:rPr>
      </w:pPr>
    </w:p>
    <w:p>
      <w:pPr>
        <w:ind w:right="320" w:firstLine="436"/>
        <w:spacing w:after="0" w:line="266" w:lineRule="auto"/>
        <w:tabs>
          <w:tab w:leader="none" w:pos="6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Base Indenture and the Supplemental Indenture contain provisions for defeasance at any time of the entire indebtedness of the Notes or certain restrictive covenants and Events of Default with respect to such Notes, in each case upon compliance with certain conditions set forth in the Indenture.</w:t>
      </w:r>
    </w:p>
    <w:p>
      <w:pPr>
        <w:spacing w:after="0" w:line="175" w:lineRule="exact"/>
        <w:rPr>
          <w:rFonts w:ascii="Times New Roman" w:cs="Times New Roman" w:eastAsia="Times New Roman" w:hAnsi="Times New Roman"/>
          <w:sz w:val="18"/>
          <w:szCs w:val="18"/>
          <w:color w:val="auto"/>
        </w:rPr>
      </w:pPr>
    </w:p>
    <w:p>
      <w:pPr>
        <w:ind w:right="20" w:firstLine="436"/>
        <w:spacing w:after="0" w:line="256" w:lineRule="auto"/>
        <w:tabs>
          <w:tab w:leader="none" w:pos="6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provided in the Indenture and subject to certain limitations set forth in the Indenture (including the limitations in Section 311 of the Base Indenture), the transfer of this Note is registrable in the Security Register, upon surrender of this Note for registration of transfer at the office or agency of the Company in any place where the principal of and any interest on this Note are payable, duly endorsed by, or accompanied by a written instrument of transfer in form satisfactory to the Company and the Security Registrar duly executed by, the Holder hereof or his attorney duly authorized in writing, and thereupon one or more new Notes and of like tenor, of authorized denominations and for the same aggregate principal amount, will be issued to the designated transferee or transferees.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Notes are issuable only in registered form without coupons in denominations of $2,000 and integral multiples of $1,000 in excess thereof.</w:t>
      </w:r>
    </w:p>
    <w:p>
      <w:pPr>
        <w:spacing w:after="0" w:line="225"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Prior to due presentment of this Note for registration of transfer, the Company, the Trustee and any agent of the Company or the Trustee may treat the Person in whose name this Note is registered as the owner hereof for all purposes, whether or not this Note be overdue, and neither the Company, the Trustee nor any such agent shall be affected by notice to the contrary.</w:t>
      </w:r>
    </w:p>
    <w:p>
      <w:pPr>
        <w:spacing w:after="0" w:line="176" w:lineRule="exact"/>
        <w:rPr>
          <w:sz w:val="20"/>
          <w:szCs w:val="20"/>
          <w:color w:val="auto"/>
        </w:rPr>
      </w:pPr>
    </w:p>
    <w:p>
      <w:pPr>
        <w:jc w:val="both"/>
        <w:ind w:right="20" w:firstLine="440"/>
        <w:spacing w:after="0" w:line="296" w:lineRule="auto"/>
        <w:rPr>
          <w:sz w:val="20"/>
          <w:szCs w:val="20"/>
          <w:color w:val="auto"/>
        </w:rPr>
      </w:pPr>
      <w:r>
        <w:rPr>
          <w:rFonts w:ascii="Times New Roman" w:cs="Times New Roman" w:eastAsia="Times New Roman" w:hAnsi="Times New Roman"/>
          <w:sz w:val="18"/>
          <w:szCs w:val="18"/>
          <w:color w:val="auto"/>
        </w:rPr>
        <w:t>[This Note is a Global Security and is subject to the provisions of the Base Indenture and the Supplemental Indenture relating to Global Securities, including the limitations in Section 311 of the Base Indenture on transfers and exchanges of Global Securities.]</w:t>
      </w:r>
      <w:r>
        <w:rPr>
          <w:rFonts w:ascii="Times New Roman" w:cs="Times New Roman" w:eastAsia="Times New Roman" w:hAnsi="Times New Roman"/>
          <w:sz w:val="26"/>
          <w:szCs w:val="26"/>
          <w:color w:val="auto"/>
          <w:vertAlign w:val="superscript"/>
        </w:rPr>
        <w:t>1</w:t>
      </w:r>
    </w:p>
    <w:p>
      <w:pPr>
        <w:spacing w:after="0" w:line="20" w:lineRule="exact"/>
        <w:rPr>
          <w:sz w:val="20"/>
          <w:szCs w:val="20"/>
          <w:color w:val="auto"/>
        </w:rPr>
      </w:pPr>
    </w:p>
    <w:p>
      <w:pPr>
        <w:ind w:right="400" w:firstLine="440"/>
        <w:spacing w:after="0" w:line="286" w:lineRule="auto"/>
        <w:rPr>
          <w:sz w:val="20"/>
          <w:szCs w:val="20"/>
          <w:color w:val="auto"/>
        </w:rPr>
      </w:pPr>
      <w:r>
        <w:rPr>
          <w:rFonts w:ascii="Times New Roman" w:cs="Times New Roman" w:eastAsia="Times New Roman" w:hAnsi="Times New Roman"/>
          <w:sz w:val="18"/>
          <w:szCs w:val="18"/>
          <w:color w:val="auto"/>
        </w:rPr>
        <w:t xml:space="preserve">8. </w:t>
      </w:r>
      <w:r>
        <w:rPr>
          <w:rFonts w:ascii="Times New Roman" w:cs="Times New Roman" w:eastAsia="Times New Roman" w:hAnsi="Times New Roman"/>
          <w:sz w:val="18"/>
          <w:szCs w:val="18"/>
          <w:b w:val="1"/>
          <w:bCs w:val="1"/>
          <w:color w:val="auto"/>
        </w:rPr>
        <w:t>This Note and the Indenture shall be governed by and construed in accordance with the law of the State of New York in the United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715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7"/>
          <w:szCs w:val="27"/>
          <w:color w:val="auto"/>
          <w:vertAlign w:val="superscript"/>
        </w:rPr>
        <w:t>1</w:t>
      </w:r>
      <w:r>
        <w:rPr>
          <w:sz w:val="20"/>
          <w:szCs w:val="20"/>
          <w:color w:val="auto"/>
        </w:rPr>
        <w:tab/>
      </w:r>
      <w:r>
        <w:rPr>
          <w:rFonts w:ascii="Times New Roman" w:cs="Times New Roman" w:eastAsia="Times New Roman" w:hAnsi="Times New Roman"/>
          <w:sz w:val="18"/>
          <w:szCs w:val="18"/>
          <w:color w:val="auto"/>
        </w:rPr>
        <w:t>To be included in Global Securities.</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A-3-8</w:t>
      </w:r>
    </w:p>
    <w:p>
      <w:pPr>
        <w:sectPr>
          <w:pgSz w:w="11900" w:h="16838" w:orient="portrait"/>
          <w:cols w:equalWidth="0" w:num="1">
            <w:col w:w="11000"/>
          </w:cols>
          <w:pgMar w:left="440" w:top="270" w:right="459" w:bottom="1440" w:gutter="0" w:footer="0" w:header="0"/>
        </w:sectPr>
      </w:pPr>
    </w:p>
    <w:bookmarkStart w:id="89" w:name="page90"/>
    <w:bookmarkEnd w:id="89"/>
    <w:p>
      <w:pPr>
        <w:ind w:left="3664"/>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OF INCREASES OR DECREASES</w:t>
      </w:r>
      <w:r>
        <w:rPr>
          <w:rFonts w:ascii="Times New Roman" w:cs="Times New Roman" w:eastAsia="Times New Roman" w:hAnsi="Times New Roman"/>
          <w:sz w:val="25"/>
          <w:szCs w:val="25"/>
          <w:color w:val="auto"/>
          <w:vertAlign w:val="superscript"/>
        </w:rPr>
        <w:t>1</w:t>
      </w:r>
    </w:p>
    <w:p>
      <w:pPr>
        <w:spacing w:after="0" w:line="14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following increases and decreases in this Global Security have been made:</w:t>
      </w:r>
    </w:p>
    <w:p>
      <w:pPr>
        <w:spacing w:after="0" w:line="233" w:lineRule="exact"/>
        <w:rPr>
          <w:sz w:val="20"/>
          <w:szCs w:val="20"/>
          <w:color w:val="auto"/>
        </w:rPr>
      </w:pPr>
    </w:p>
    <w:tbl>
      <w:tblPr>
        <w:tblLayout w:type="fixed"/>
        <w:tblInd w:w="1124" w:type="dxa"/>
        <w:tblCellMar>
          <w:top w:w="0" w:type="dxa"/>
          <w:left w:w="0" w:type="dxa"/>
          <w:bottom w:w="0" w:type="dxa"/>
          <w:right w:w="0" w:type="dxa"/>
        </w:tblCellMar>
      </w:tblPr>
      <w:tr>
        <w:trPr>
          <w:trHeight w:val="161"/>
        </w:trPr>
        <w:tc>
          <w:tcPr>
            <w:tcW w:w="300" w:type="dxa"/>
            <w:vAlign w:val="bottom"/>
          </w:tcPr>
          <w:p>
            <w:pPr>
              <w:spacing w:after="0"/>
              <w:rPr>
                <w:sz w:val="13"/>
                <w:szCs w:val="13"/>
                <w:color w:val="auto"/>
              </w:rPr>
            </w:pPr>
          </w:p>
        </w:tc>
        <w:tc>
          <w:tcPr>
            <w:tcW w:w="3400" w:type="dxa"/>
            <w:vAlign w:val="bottom"/>
            <w:gridSpan w:val="3"/>
          </w:tcPr>
          <w:p>
            <w:pPr>
              <w:jc w:val="center"/>
              <w:ind w:left="1108"/>
              <w:spacing w:after="0"/>
              <w:rPr>
                <w:sz w:val="20"/>
                <w:szCs w:val="20"/>
                <w:color w:val="auto"/>
              </w:rPr>
            </w:pPr>
            <w:r>
              <w:rPr>
                <w:rFonts w:ascii="Times New Roman" w:cs="Times New Roman" w:eastAsia="Times New Roman" w:hAnsi="Times New Roman"/>
                <w:sz w:val="14"/>
                <w:szCs w:val="14"/>
                <w:b w:val="1"/>
                <w:bCs w:val="1"/>
                <w:color w:val="auto"/>
              </w:rPr>
              <w:t>Amount of decrease</w:t>
            </w:r>
          </w:p>
        </w:tc>
        <w:tc>
          <w:tcPr>
            <w:tcW w:w="1820" w:type="dxa"/>
            <w:vAlign w:val="bottom"/>
            <w:gridSpan w:val="3"/>
            <w:vMerge w:val="restart"/>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Amount of increase in</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3400" w:type="dxa"/>
            <w:vAlign w:val="bottom"/>
            <w:gridSpan w:val="3"/>
          </w:tcPr>
          <w:p>
            <w:pPr>
              <w:jc w:val="center"/>
              <w:ind w:left="1108"/>
              <w:spacing w:after="0" w:line="149" w:lineRule="exact"/>
              <w:rPr>
                <w:sz w:val="20"/>
                <w:szCs w:val="20"/>
                <w:color w:val="auto"/>
              </w:rPr>
            </w:pPr>
            <w:r>
              <w:rPr>
                <w:rFonts w:ascii="Times New Roman" w:cs="Times New Roman" w:eastAsia="Times New Roman" w:hAnsi="Times New Roman"/>
                <w:sz w:val="14"/>
                <w:szCs w:val="14"/>
                <w:b w:val="1"/>
                <w:bCs w:val="1"/>
                <w:color w:val="auto"/>
              </w:rPr>
              <w:t>in Principal Amount</w:t>
            </w:r>
          </w:p>
        </w:tc>
        <w:tc>
          <w:tcPr>
            <w:tcW w:w="1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3400" w:type="dxa"/>
            <w:vAlign w:val="bottom"/>
            <w:gridSpan w:val="3"/>
          </w:tcPr>
          <w:p>
            <w:pPr>
              <w:jc w:val="center"/>
              <w:ind w:left="1128"/>
              <w:spacing w:after="0" w:line="149" w:lineRule="exact"/>
              <w:rPr>
                <w:sz w:val="20"/>
                <w:szCs w:val="20"/>
                <w:color w:val="auto"/>
              </w:rPr>
            </w:pPr>
            <w:r>
              <w:rPr>
                <w:rFonts w:ascii="Times New Roman" w:cs="Times New Roman" w:eastAsia="Times New Roman" w:hAnsi="Times New Roman"/>
                <w:sz w:val="14"/>
                <w:szCs w:val="14"/>
                <w:b w:val="1"/>
                <w:bCs w:val="1"/>
                <w:color w:val="auto"/>
              </w:rPr>
              <w:t>of this Global</w:t>
            </w:r>
          </w:p>
        </w:tc>
        <w:tc>
          <w:tcPr>
            <w:tcW w:w="1820" w:type="dxa"/>
            <w:vAlign w:val="bottom"/>
            <w:gridSpan w:val="3"/>
          </w:tcPr>
          <w:p>
            <w:pPr>
              <w:jc w:val="center"/>
              <w:ind w:left="408"/>
              <w:spacing w:after="0" w:line="149" w:lineRule="exact"/>
              <w:rPr>
                <w:sz w:val="20"/>
                <w:szCs w:val="20"/>
                <w:color w:val="auto"/>
              </w:rPr>
            </w:pPr>
            <w:r>
              <w:rPr>
                <w:rFonts w:ascii="Times New Roman" w:cs="Times New Roman" w:eastAsia="Times New Roman" w:hAnsi="Times New Roman"/>
                <w:sz w:val="14"/>
                <w:szCs w:val="14"/>
                <w:b w:val="1"/>
                <w:bCs w:val="1"/>
                <w:color w:val="auto"/>
              </w:rPr>
              <w:t>Principal Amount of</w:t>
            </w:r>
          </w:p>
        </w:tc>
        <w:tc>
          <w:tcPr>
            <w:tcW w:w="0" w:type="dxa"/>
            <w:vAlign w:val="bottom"/>
          </w:tcPr>
          <w:p>
            <w:pPr>
              <w:spacing w:after="0"/>
              <w:rPr>
                <w:sz w:val="1"/>
                <w:szCs w:val="1"/>
                <w:color w:val="auto"/>
              </w:rPr>
            </w:pPr>
          </w:p>
        </w:tc>
      </w:tr>
      <w:tr>
        <w:trPr>
          <w:trHeight w:val="173"/>
        </w:trPr>
        <w:tc>
          <w:tcPr>
            <w:tcW w:w="300" w:type="dxa"/>
            <w:vAlign w:val="bottom"/>
            <w:vMerge w:val="continue"/>
          </w:tcPr>
          <w:p>
            <w:pPr>
              <w:spacing w:after="0"/>
              <w:rPr>
                <w:sz w:val="15"/>
                <w:szCs w:val="15"/>
                <w:color w:val="auto"/>
              </w:rPr>
            </w:pPr>
          </w:p>
        </w:tc>
        <w:tc>
          <w:tcPr>
            <w:tcW w:w="3400" w:type="dxa"/>
            <w:vAlign w:val="bottom"/>
            <w:gridSpan w:val="3"/>
          </w:tcPr>
          <w:p>
            <w:pPr>
              <w:jc w:val="center"/>
              <w:ind w:left="1128"/>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540" w:type="dxa"/>
            <w:vAlign w:val="bottom"/>
          </w:tcPr>
          <w:p>
            <w:pPr>
              <w:spacing w:after="0"/>
              <w:rPr>
                <w:sz w:val="15"/>
                <w:szCs w:val="15"/>
                <w:color w:val="auto"/>
              </w:rPr>
            </w:pPr>
          </w:p>
        </w:tc>
        <w:tc>
          <w:tcPr>
            <w:tcW w:w="12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this Global Security</w:t>
            </w: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75" w:lineRule="exact"/>
        <w:rPr>
          <w:sz w:val="20"/>
          <w:szCs w:val="20"/>
          <w:color w:val="auto"/>
        </w:rPr>
      </w:pPr>
    </w:p>
    <w:p>
      <w:pPr>
        <w:ind w:left="424" w:hanging="424"/>
        <w:spacing w:after="0"/>
        <w:tabs>
          <w:tab w:leader="none" w:pos="424" w:val="left"/>
        </w:tabs>
        <w:numPr>
          <w:ilvl w:val="0"/>
          <w:numId w:val="6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To be included in Global Securities.</w:t>
      </w:r>
    </w:p>
    <w:p>
      <w:pPr>
        <w:spacing w:after="0" w:line="130" w:lineRule="exact"/>
        <w:rPr>
          <w:sz w:val="20"/>
          <w:szCs w:val="20"/>
          <w:color w:val="auto"/>
        </w:rPr>
      </w:pPr>
    </w:p>
    <w:p>
      <w:pPr>
        <w:ind w:left="5284"/>
        <w:spacing w:after="0"/>
        <w:rPr>
          <w:sz w:val="20"/>
          <w:szCs w:val="20"/>
          <w:color w:val="auto"/>
        </w:rPr>
      </w:pPr>
      <w:r>
        <w:rPr>
          <w:rFonts w:ascii="Times New Roman" w:cs="Times New Roman" w:eastAsia="Times New Roman" w:hAnsi="Times New Roman"/>
          <w:sz w:val="18"/>
          <w:szCs w:val="18"/>
          <w:color w:val="auto"/>
        </w:rPr>
        <w:t>A-3-9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4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Principal Amount of</w:t>
            </w:r>
          </w:p>
        </w:tc>
        <w:tc>
          <w:tcPr>
            <w:tcW w:w="30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 of</w:t>
            </w:r>
          </w:p>
        </w:tc>
      </w:tr>
      <w:tr>
        <w:trPr>
          <w:trHeight w:val="148"/>
        </w:trPr>
        <w:tc>
          <w:tcPr>
            <w:tcW w:w="20" w:type="dxa"/>
            <w:vAlign w:val="bottom"/>
          </w:tcPr>
          <w:p>
            <w:pPr>
              <w:spacing w:after="0"/>
              <w:rPr>
                <w:sz w:val="12"/>
                <w:szCs w:val="12"/>
                <w:color w:val="auto"/>
              </w:rPr>
            </w:pPr>
          </w:p>
        </w:tc>
        <w:tc>
          <w:tcPr>
            <w:tcW w:w="15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this Global Security</w:t>
            </w:r>
          </w:p>
        </w:tc>
        <w:tc>
          <w:tcPr>
            <w:tcW w:w="30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authorized signatory</w:t>
            </w:r>
          </w:p>
        </w:tc>
      </w:tr>
      <w:tr>
        <w:trPr>
          <w:trHeight w:val="149"/>
        </w:trPr>
        <w:tc>
          <w:tcPr>
            <w:tcW w:w="20" w:type="dxa"/>
            <w:vAlign w:val="bottom"/>
          </w:tcPr>
          <w:p>
            <w:pPr>
              <w:spacing w:after="0"/>
              <w:rPr>
                <w:sz w:val="12"/>
                <w:szCs w:val="12"/>
                <w:color w:val="auto"/>
              </w:rPr>
            </w:pPr>
          </w:p>
        </w:tc>
        <w:tc>
          <w:tcPr>
            <w:tcW w:w="15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following such</w:t>
            </w:r>
          </w:p>
        </w:tc>
        <w:tc>
          <w:tcPr>
            <w:tcW w:w="1620" w:type="dxa"/>
            <w:vAlign w:val="bottom"/>
            <w:gridSpan w:val="2"/>
          </w:tcPr>
          <w:p>
            <w:pPr>
              <w:jc w:val="center"/>
              <w:ind w:left="208"/>
              <w:spacing w:after="0" w:line="149" w:lineRule="exact"/>
              <w:rPr>
                <w:sz w:val="20"/>
                <w:szCs w:val="20"/>
                <w:color w:val="auto"/>
              </w:rPr>
            </w:pPr>
            <w:r>
              <w:rPr>
                <w:rFonts w:ascii="Times New Roman" w:cs="Times New Roman" w:eastAsia="Times New Roman" w:hAnsi="Times New Roman"/>
                <w:sz w:val="14"/>
                <w:szCs w:val="14"/>
                <w:b w:val="1"/>
                <w:bCs w:val="1"/>
                <w:color w:val="auto"/>
              </w:rPr>
              <w:t>of Trustee or Security</w:t>
            </w:r>
          </w:p>
        </w:tc>
      </w:tr>
      <w:tr>
        <w:trPr>
          <w:trHeight w:val="173"/>
        </w:trPr>
        <w:tc>
          <w:tcPr>
            <w:tcW w:w="2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decrease or increase</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Registrar</w:t>
            </w:r>
          </w:p>
        </w:tc>
      </w:tr>
    </w:tbl>
    <w:p>
      <w:pPr>
        <w:sectPr>
          <w:pgSz w:w="11900" w:h="16838" w:orient="portrait"/>
          <w:cols w:equalWidth="0" w:num="2">
            <w:col w:w="7344" w:space="300"/>
            <w:col w:w="3160"/>
          </w:cols>
          <w:pgMar w:left="436" w:top="270" w:right="65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 FORM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assign this Note, fill in the form below: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102870</wp:posOffset>
            </wp:positionV>
            <wp:extent cx="699516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4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(Insert assignee’s soc. sec. or tax I.D. No.)</w:t>
            </w:r>
          </w:p>
        </w:tc>
      </w:tr>
      <w:tr>
        <w:trPr>
          <w:trHeight w:val="432"/>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5"/>
              </w:rPr>
              <w:t>and irrevocably appoint </w:t>
            </w: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8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agent to transfer this Note on the books of the Company. The agent may substitute another to act for him.</w:t>
            </w:r>
          </w:p>
        </w:tc>
      </w:tr>
      <w:tr>
        <w:trPr>
          <w:trHeight w:val="418"/>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Date:                       </w:t>
            </w: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640" w:type="dxa"/>
            <w:vAlign w:val="bottom"/>
            <w:gridSpan w:val="2"/>
          </w:tcPr>
          <w:p>
            <w:pPr>
              <w:ind w:left="2820"/>
              <w:spacing w:after="0"/>
              <w:rPr>
                <w:sz w:val="20"/>
                <w:szCs w:val="20"/>
                <w:color w:val="auto"/>
              </w:rPr>
            </w:pPr>
            <w:r>
              <w:rPr>
                <w:rFonts w:ascii="Times New Roman" w:cs="Times New Roman" w:eastAsia="Times New Roman" w:hAnsi="Times New Roman"/>
                <w:sz w:val="18"/>
                <w:szCs w:val="18"/>
                <w:color w:val="auto"/>
              </w:rPr>
              <w:t>Your Signature:</w:t>
            </w:r>
          </w:p>
        </w:tc>
      </w:tr>
      <w:tr>
        <w:trPr>
          <w:trHeight w:val="20"/>
        </w:trPr>
        <w:tc>
          <w:tcPr>
            <w:tcW w:w="440" w:type="dxa"/>
            <w:vAlign w:val="bottom"/>
          </w:tcPr>
          <w:p>
            <w:pPr>
              <w:spacing w:after="0" w:line="20" w:lineRule="exact"/>
              <w:rPr>
                <w:sz w:val="1"/>
                <w:szCs w:val="1"/>
                <w:color w:val="auto"/>
              </w:rPr>
            </w:pPr>
          </w:p>
        </w:tc>
        <w:tc>
          <w:tcPr>
            <w:tcW w:w="13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46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163195</wp:posOffset>
            </wp:positionV>
            <wp:extent cx="69951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 exactly as your name appears on the other side of this Note.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5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Date:</w:t>
        <w:tab/>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-7620</wp:posOffset>
            </wp:positionV>
            <wp:extent cx="102870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Signature must be guaranteed by a participant in a recognized signature guaranty medallion program or other signature guarantor program reasonably acceptable to the Trustee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ind w:right="2460"/>
        <w:spacing w:after="0"/>
        <w:rPr>
          <w:sz w:val="20"/>
          <w:szCs w:val="20"/>
          <w:color w:val="auto"/>
        </w:rPr>
      </w:pPr>
      <w:r>
        <w:rPr>
          <w:rFonts w:ascii="Times New Roman" w:cs="Times New Roman" w:eastAsia="Times New Roman" w:hAnsi="Times New Roman"/>
          <w:sz w:val="18"/>
          <w:szCs w:val="18"/>
          <w:color w:val="auto"/>
        </w:rPr>
        <w:t>Signature of 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-127635</wp:posOffset>
            </wp:positionV>
            <wp:extent cx="31457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A-3-10</w:t>
      </w:r>
    </w:p>
    <w:p>
      <w:pPr>
        <w:sectPr>
          <w:pgSz w:w="11900" w:h="16838" w:orient="portrait"/>
          <w:cols w:equalWidth="0" w:num="2">
            <w:col w:w="5140" w:space="100"/>
            <w:col w:w="5780"/>
          </w:cols>
          <w:pgMar w:left="440" w:top="270" w:right="439" w:bottom="1440" w:gutter="0" w:footer="0" w:header="0"/>
          <w:type w:val="continuous"/>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56"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King &amp; Spalding LLP</w:t>
      </w:r>
    </w:p>
    <w:p>
      <w:pPr>
        <w:spacing w:after="0" w:line="27"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1180 Peachtree Street N.E.</w:t>
      </w:r>
    </w:p>
    <w:p>
      <w:pPr>
        <w:spacing w:after="0" w:line="9"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Atlanta, Georgia 30309-3521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3145790" cy="2400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3145790" cy="240030"/>
                    </a:xfrm>
                    <a:prstGeom prst="rect">
                      <a:avLst/>
                    </a:prstGeom>
                    <a:noFill/>
                  </pic:spPr>
                </pic:pic>
              </a:graphicData>
            </a:graphic>
          </wp:anchor>
        </w:drawing>
      </w:r>
    </w:p>
    <w:p>
      <w:pPr>
        <w:ind w:left="7620"/>
        <w:spacing w:after="0"/>
        <w:rPr>
          <w:sz w:val="20"/>
          <w:szCs w:val="20"/>
          <w:color w:val="auto"/>
        </w:rPr>
      </w:pPr>
      <w:r>
        <w:rPr>
          <w:rFonts w:ascii="Times New Roman" w:cs="Times New Roman" w:eastAsia="Times New Roman" w:hAnsi="Times New Roman"/>
          <w:sz w:val="18"/>
          <w:szCs w:val="18"/>
          <w:color w:val="auto"/>
        </w:rPr>
        <w:t>Phone: 404/ 572-4600</w:t>
      </w:r>
    </w:p>
    <w:p>
      <w:pPr>
        <w:spacing w:after="0" w:line="9"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Fax: 404/ 572-5100</w:t>
      </w:r>
    </w:p>
    <w:p>
      <w:pPr>
        <w:spacing w:after="0" w:line="9"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www.kslaw.com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7,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 Renaissance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Michigan 48265-3000</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 General Motors Company 5.350% Senior Notes due 2028, 5.625% Senior Notes due 2030 and 6.250% Senior Notes due 2035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We have acted as counsel for General Motors Company, a Delaware corporation (the “Company”), in connection with the offering by the Company of $750,000,000 aggregate principal amount of 5.350% Senior Notes due 2028 (the “2028 Notes”), $750,000,000 aggregate principal amount of 5.625% Senior Notes due 2030 (the “2030 Notes”) and $500,000,000 aggregate principal amount of 6.250% Senior Notes due 2035 (the “2035 Notes” and, collectively with the 2028 and 2030 Notes, the “Notes”). The Notes will be issued pursuant to a Registration Statement on Form S-3 (Registration Statement No. 333-284557) (the “Registration Statement”), filed with the Securities and Exchange Commission (the “Commission”) under the Securities Act of 1933, as amended (the “Act”), the related prospectus dated January 28, 2025 (the “Base Prospectus”) and a Prospectus Supplement relating to the Notes, dated May 5, 2025 (the “Prospectus Supplement” and, collectively with the Base Prospectus, the “Prospectus”), filed with the Commission pursuant to Rule 424(b) of the rules and regulations promulgated under the Act. This opinion is being provided at your request, to be filed with the Commission and incorporated by reference as an exhibit to the Registration Statement.</w:t>
      </w:r>
    </w:p>
    <w:p>
      <w:pPr>
        <w:spacing w:after="0" w:line="188"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this opinion, we have reviewed such matters of law and examined original, certified, conformed or photographic copies of such other documents, records, agreements and certificates as we have deemed necessary as a basis for the opinions hereinafter expressed. In such review, we have assumed the genuineness of signatures on all documents submitted to us as originals and the conformity to original documents of all documents submitted to us as certified, conformed or photographic copies. We have relied, as to the matters set forth therein, on certificates of public officials. As to certain matters of fact material to this opinion, we have relied, without independent verification, upon certificates of certain officers of the Company.</w:t>
      </w:r>
    </w:p>
    <w:p>
      <w:pPr>
        <w:sectPr>
          <w:pgSz w:w="11900" w:h="16838" w:orient="portrait"/>
          <w:cols w:equalWidth="0" w:num="1">
            <w:col w:w="11020"/>
          </w:cols>
          <w:pgMar w:left="440" w:top="117" w:right="439" w:bottom="1440" w:gutter="0" w:footer="0" w:header="0"/>
        </w:sectPr>
      </w:pPr>
    </w:p>
    <w:bookmarkStart w:id="92" w:name="page93"/>
    <w:bookmarkEnd w:id="92"/>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have assumed that the indenture, dated as of September 27, 2013 (the “Original Indenture”), as amended and supplemented by the seventh supplemental indenture, dated as of August 2, 2022 (the “Seventh Supplemental Indenture” and, together with the Original Indenture, the “Base Indenture”) and supplemented by the eighth supplemental indenture, dated as of May 7, 2025 (the “Eighth Supplemental Indenture” and, together with the Base Indenture, the “Indenture”), between the Company and The Bank of New York Mellon, as trustee (the “Trustee”), is enforceable against the Trustee in accordance with its terms.</w:t>
      </w:r>
    </w:p>
    <w:p>
      <w:pPr>
        <w:spacing w:after="0" w:line="183"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The opinions expressed herein are limited in all respects to the federal laws of the United States of America and the corporate law of the State of Delaware (which includes the Delaware General Corporation Law, applicable provisions of the Delaware Constitution and reported judicial interpretations concerning those laws), and no opinion is expressed with respect to the laws of any other jurisdiction or any effect which such laws may have on the opinions expressed herein. This opinion is limited to the matters stated herein, and no opinion is implied or may be inferred beyond the matters expressly stated herein.</w:t>
      </w:r>
    </w:p>
    <w:p>
      <w:pPr>
        <w:spacing w:after="0" w:line="183"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Based upon the foregoing, and subject to the assumptions, qualifications and limitations set forth herein, we are of the opinion that the Notes, upon issuance and sale thereof as described in the Prospectus and, when executed and delivered by the Company and authenticated by the Trustee under the Indenture and delivered and paid for by the purchasers thereof, will be validly issued and will constitute valid and binding obligations of the Company enforceable against the Company in accordance with their terms, subject, as to the enforcement of remedies, to bankruptcy, insolvency, reorganization, moratorium and similar laws affecting the rights and remedies of creditors generally and to the effect of general principles of equity.</w:t>
      </w:r>
    </w:p>
    <w:p>
      <w:pPr>
        <w:spacing w:after="0" w:line="183"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This opinion is given as of the date hereof, and we assume no obligation to advise you after the date hereof of facts or circumstances that come to our attention or changes in law that occur which could affect the opinions contained herein. This opinion is being rendered solely for the benefit of the Company in connection with the matters addressed herein.</w:t>
      </w:r>
    </w:p>
    <w:p>
      <w:pPr>
        <w:spacing w:after="0" w:line="176" w:lineRule="exact"/>
        <w:rPr>
          <w:sz w:val="20"/>
          <w:szCs w:val="20"/>
          <w:color w:val="auto"/>
        </w:rPr>
      </w:pPr>
    </w:p>
    <w:p>
      <w:pPr>
        <w:ind w:firstLine="440"/>
        <w:spacing w:after="0" w:line="312" w:lineRule="auto"/>
        <w:rPr>
          <w:sz w:val="20"/>
          <w:szCs w:val="20"/>
          <w:color w:val="auto"/>
        </w:rPr>
      </w:pPr>
      <w:r>
        <w:rPr>
          <w:rFonts w:ascii="Times New Roman" w:cs="Times New Roman" w:eastAsia="Times New Roman" w:hAnsi="Times New Roman"/>
          <w:sz w:val="17"/>
          <w:szCs w:val="17"/>
          <w:color w:val="auto"/>
        </w:rPr>
        <w:t>We hereby consent to the filing of this opinion as an Exhibit to the Current Report on Form 8-K that you will file on May 7, 2025 and which will be incorporated by reference into the Registration Statement, and to the reference to us under the caption “Legal Matters” in the Prospectus Supplement.</w:t>
      </w:r>
    </w:p>
    <w:p>
      <w:pPr>
        <w:spacing w:after="0" w:line="16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King &amp; Spalding LLP</w:t>
      </w:r>
    </w:p>
    <w:sectPr>
      <w:pgSz w:w="11900" w:h="16838" w:orient="portrait"/>
      <w:cols w:equalWidth="0" w:num="1">
        <w:col w:w="10960"/>
      </w:cols>
      <w:pgMar w:left="440" w:top="27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1)"/>
      <w:numFmt w:val="lowerLetter"/>
      <w:start w:val="1"/>
    </w:lvl>
  </w:abstractNum>
  <w:abstractNum w:abstractNumId="2">
    <w:nsid w:val="4516DDE9"/>
    <w:multiLevelType w:val="hybridMultilevel"/>
    <w:lvl w:ilvl="0">
      <w:lvlJc w:val="left"/>
      <w:lvlText w:val="(%1)"/>
      <w:numFmt w:val="lowerLetter"/>
      <w:start w:val="2"/>
    </w:lvl>
  </w:abstractNum>
  <w:abstractNum w:abstractNumId="3">
    <w:nsid w:val="3006C83E"/>
    <w:multiLevelType w:val="hybridMultilevel"/>
    <w:lvl w:ilvl="0">
      <w:lvlJc w:val="left"/>
      <w:lvlText w:val="(%1)"/>
      <w:numFmt w:val="lowerLetter"/>
      <w:start w:val="5"/>
    </w:lvl>
  </w:abstractNum>
  <w:abstractNum w:abstractNumId="4">
    <w:nsid w:val="614FD4A1"/>
    <w:multiLevelType w:val="hybridMultilevel"/>
    <w:lvl w:ilvl="0">
      <w:lvlJc w:val="left"/>
      <w:lvlText w:val="(%1)"/>
      <w:numFmt w:val="lowerLetter"/>
      <w:start w:val="1"/>
    </w:lvl>
  </w:abstractNum>
  <w:abstractNum w:abstractNumId="5">
    <w:nsid w:val="419AC241"/>
    <w:multiLevelType w:val="hybridMultilevel"/>
    <w:lvl w:ilvl="0">
      <w:lvlJc w:val="left"/>
      <w:lvlText w:val="(%1)"/>
      <w:numFmt w:val="lowerLetter"/>
      <w:start w:val="3"/>
    </w:lvl>
  </w:abstractNum>
  <w:abstractNum w:abstractNumId="6">
    <w:nsid w:val="5577F8E1"/>
    <w:multiLevelType w:val="hybridMultilevel"/>
    <w:lvl w:ilvl="0">
      <w:lvlJc w:val="left"/>
      <w:lvlText w:val="(%1)"/>
      <w:numFmt w:val="lowerLetter"/>
      <w:start w:val="7"/>
    </w:lvl>
  </w:abstractNum>
  <w:abstractNum w:abstractNumId="7">
    <w:nsid w:val="440BADFC"/>
    <w:multiLevelType w:val="hybridMultilevel"/>
    <w:lvl w:ilvl="0">
      <w:lvlJc w:val="left"/>
      <w:lvlText w:val="(%1)"/>
      <w:numFmt w:val="lowerLetter"/>
      <w:start w:val="1"/>
    </w:lvl>
    <w:lvl w:ilvl="1">
      <w:lvlJc w:val="left"/>
      <w:lvlText w:val="(%2)"/>
      <w:numFmt w:val="lowerRoman"/>
      <w:start w:val="1"/>
    </w:lvl>
  </w:abstractNum>
  <w:abstractNum w:abstractNumId="8">
    <w:nsid w:val="5072367"/>
    <w:multiLevelType w:val="hybridMultilevel"/>
    <w:lvl w:ilvl="0">
      <w:lvlJc w:val="left"/>
      <w:lvlText w:val="(%1)"/>
      <w:numFmt w:val="lowerRoman"/>
      <w:start w:val="4"/>
    </w:lvl>
  </w:abstractNum>
  <w:abstractNum w:abstractNumId="9">
    <w:nsid w:val="3804823E"/>
    <w:multiLevelType w:val="hybridMultilevel"/>
    <w:lvl w:ilvl="0">
      <w:lvlJc w:val="left"/>
      <w:lvlText w:val="(%1)"/>
      <w:numFmt w:val="lowerLetter"/>
      <w:start w:val="2"/>
    </w:lvl>
    <w:lvl w:ilvl="1">
      <w:lvlJc w:val="left"/>
      <w:lvlText w:val="(%2)"/>
      <w:numFmt w:val="lowerRoman"/>
      <w:start w:val="1"/>
    </w:lvl>
  </w:abstractNum>
  <w:abstractNum w:abstractNumId="10">
    <w:nsid w:val="77465F01"/>
    <w:multiLevelType w:val="hybridMultilevel"/>
    <w:lvl w:ilvl="0">
      <w:lvlJc w:val="left"/>
      <w:lvlText w:val="(%1)"/>
      <w:numFmt w:val="lowerLetter"/>
      <w:start w:val="1"/>
    </w:lvl>
  </w:abstractNum>
  <w:abstractNum w:abstractNumId="11">
    <w:nsid w:val="7724C67E"/>
    <w:multiLevelType w:val="hybridMultilevel"/>
    <w:lvl w:ilvl="0">
      <w:lvlJc w:val="left"/>
      <w:lvlText w:val="(%1)"/>
      <w:numFmt w:val="lowerLetter"/>
      <w:start w:val="8"/>
    </w:lvl>
  </w:abstractNum>
  <w:abstractNum w:abstractNumId="12">
    <w:nsid w:val="5C482A97"/>
    <w:multiLevelType w:val="hybridMultilevel"/>
    <w:lvl w:ilvl="0">
      <w:lvlJc w:val="left"/>
      <w:lvlText w:val="(%1)"/>
      <w:numFmt w:val="lowerLetter"/>
      <w:start w:val="10"/>
    </w:lvl>
  </w:abstractNum>
  <w:abstractNum w:abstractNumId="13">
    <w:nsid w:val="2463B9EA"/>
    <w:multiLevelType w:val="hybridMultilevel"/>
    <w:lvl w:ilvl="0">
      <w:lvlJc w:val="left"/>
      <w:lvlText w:val="(%1)"/>
      <w:numFmt w:val="lowerLetter"/>
      <w:start w:val="12"/>
    </w:lvl>
  </w:abstractNum>
  <w:abstractNum w:abstractNumId="14">
    <w:nsid w:val="5E884ADC"/>
    <w:multiLevelType w:val="hybridMultilevel"/>
    <w:lvl w:ilvl="0">
      <w:lvlJc w:val="left"/>
      <w:lvlText w:val="%1"/>
      <w:numFmt w:val="lowerRoman"/>
      <w:start w:val="1"/>
    </w:lvl>
    <w:lvl w:ilvl="1">
      <w:lvlJc w:val="left"/>
      <w:lvlText w:val="(%2)"/>
      <w:numFmt w:val="lowerLetter"/>
      <w:start w:val="14"/>
    </w:lvl>
  </w:abstractNum>
  <w:abstractNum w:abstractNumId="15">
    <w:nsid w:val="51EAD36B"/>
    <w:multiLevelType w:val="hybridMultilevel"/>
    <w:lvl w:ilvl="0">
      <w:lvlJc w:val="left"/>
      <w:lvlText w:val="(%1)"/>
      <w:numFmt w:val="lowerRoman"/>
      <w:start w:val="4"/>
    </w:lvl>
    <w:lvl w:ilvl="1">
      <w:lvlJc w:val="left"/>
      <w:lvlText w:val="(%2)"/>
      <w:numFmt w:val="lowerLetter"/>
      <w:start w:val="17"/>
    </w:lvl>
  </w:abstractNum>
  <w:abstractNum w:abstractNumId="16">
    <w:nsid w:val="2D517796"/>
    <w:multiLevelType w:val="hybridMultilevel"/>
    <w:lvl w:ilvl="0">
      <w:lvlJc w:val="left"/>
      <w:lvlText w:val="(%1)"/>
      <w:numFmt w:val="lowerLetter"/>
      <w:start w:val="19"/>
    </w:lvl>
  </w:abstractNum>
  <w:abstractNum w:abstractNumId="17">
    <w:nsid w:val="580BD78F"/>
    <w:multiLevelType w:val="hybridMultilevel"/>
    <w:lvl w:ilvl="0">
      <w:lvlJc w:val="left"/>
      <w:lvlText w:val="(%1)"/>
      <w:numFmt w:val="lowerLetter"/>
      <w:start w:val="26"/>
    </w:lvl>
  </w:abstractNum>
  <w:abstractNum w:abstractNumId="18">
    <w:nsid w:val="153EA438"/>
    <w:multiLevelType w:val="hybridMultilevel"/>
    <w:lvl w:ilvl="0">
      <w:lvlJc w:val="left"/>
      <w:lvlText w:val="(%1)"/>
      <w:numFmt w:val="lowerLetter"/>
      <w:start w:val="27"/>
    </w:lvl>
  </w:abstractNum>
  <w:abstractNum w:abstractNumId="19">
    <w:nsid w:val="3855585C"/>
    <w:multiLevelType w:val="hybridMultilevel"/>
    <w:lvl w:ilvl="0">
      <w:lvlJc w:val="left"/>
      <w:lvlText w:val="(%1)"/>
      <w:numFmt w:val="lowerLetter"/>
      <w:start w:val="29"/>
    </w:lvl>
  </w:abstractNum>
  <w:abstractNum w:abstractNumId="20">
    <w:nsid w:val="70A64E2A"/>
    <w:multiLevelType w:val="hybridMultilevel"/>
    <w:lvl w:ilvl="0">
      <w:lvlJc w:val="left"/>
      <w:lvlText w:val="(%1)"/>
      <w:numFmt w:val="lowerLetter"/>
      <w:start w:val="31"/>
    </w:lvl>
  </w:abstractNum>
  <w:abstractNum w:abstractNumId="21">
    <w:nsid w:val="6A2342EC"/>
    <w:multiLevelType w:val="hybridMultilevel"/>
    <w:lvl w:ilvl="0">
      <w:lvlJc w:val="left"/>
      <w:lvlText w:val="(%1)"/>
      <w:numFmt w:val="lowerLetter"/>
      <w:start w:val="33"/>
    </w:lvl>
  </w:abstractNum>
  <w:abstractNum w:abstractNumId="22">
    <w:nsid w:val="2A487CB0"/>
    <w:multiLevelType w:val="hybridMultilevel"/>
    <w:lvl w:ilvl="0">
      <w:lvlJc w:val="left"/>
      <w:lvlText w:val="(%1)"/>
      <w:numFmt w:val="lowerLetter"/>
      <w:start w:val="37"/>
    </w:lvl>
  </w:abstractNum>
  <w:abstractNum w:abstractNumId="23">
    <w:nsid w:val="1D4ED43B"/>
    <w:multiLevelType w:val="hybridMultilevel"/>
    <w:lvl w:ilvl="0">
      <w:lvlJc w:val="left"/>
      <w:lvlText w:val="(%1)"/>
      <w:numFmt w:val="lowerRoman"/>
      <w:start w:val="2"/>
    </w:lvl>
  </w:abstractNum>
  <w:abstractNum w:abstractNumId="24">
    <w:nsid w:val="725A06FB"/>
    <w:multiLevelType w:val="hybridMultilevel"/>
    <w:lvl w:ilvl="0">
      <w:lvlJc w:val="left"/>
      <w:lvlText w:val="(%1)"/>
      <w:numFmt w:val="lowerRoman"/>
      <w:start w:val="9"/>
    </w:lvl>
  </w:abstractNum>
  <w:abstractNum w:abstractNumId="25">
    <w:nsid w:val="2CD89A32"/>
    <w:multiLevelType w:val="hybridMultilevel"/>
    <w:lvl w:ilvl="0">
      <w:lvlJc w:val="left"/>
      <w:lvlText w:val="(%1)"/>
      <w:numFmt w:val="lowerRoman"/>
      <w:start w:val="1"/>
    </w:lvl>
  </w:abstractNum>
  <w:abstractNum w:abstractNumId="26">
    <w:nsid w:val="57E4CCAF"/>
    <w:multiLevelType w:val="hybridMultilevel"/>
    <w:lvl w:ilvl="0">
      <w:lvlJc w:val="left"/>
      <w:lvlText w:val="(%1)"/>
      <w:numFmt w:val="lowerLetter"/>
      <w:start w:val="1"/>
    </w:lvl>
  </w:abstractNum>
  <w:abstractNum w:abstractNumId="27">
    <w:nsid w:val="7A6D8D3C"/>
    <w:multiLevelType w:val="hybridMultilevel"/>
    <w:lvl w:ilvl="0">
      <w:lvlJc w:val="left"/>
      <w:lvlText w:val="(%1)"/>
      <w:numFmt w:val="lowerRoman"/>
      <w:start w:val="1"/>
    </w:lvl>
  </w:abstractNum>
  <w:abstractNum w:abstractNumId="28">
    <w:nsid w:val="4B588F54"/>
    <w:multiLevelType w:val="hybridMultilevel"/>
    <w:lvl w:ilvl="0">
      <w:lvlJc w:val="left"/>
      <w:lvlText w:val="(%1)"/>
      <w:numFmt w:val="lowerLetter"/>
      <w:start w:val="1"/>
    </w:lvl>
    <w:lvl w:ilvl="1">
      <w:lvlJc w:val="left"/>
      <w:lvlText w:val="(%2)"/>
      <w:numFmt w:val="lowerRoman"/>
      <w:start w:val="1"/>
    </w:lvl>
  </w:abstractNum>
  <w:abstractNum w:abstractNumId="29">
    <w:nsid w:val="542289EC"/>
    <w:multiLevelType w:val="hybridMultilevel"/>
    <w:lvl w:ilvl="0">
      <w:lvlJc w:val="left"/>
      <w:lvlText w:val="%1."/>
      <w:numFmt w:val="decimal"/>
      <w:start w:val="1"/>
    </w:lvl>
  </w:abstractNum>
  <w:abstractNum w:abstractNumId="30">
    <w:nsid w:val="6DE91B18"/>
    <w:multiLevelType w:val="hybridMultilevel"/>
    <w:lvl w:ilvl="0">
      <w:lvlJc w:val="left"/>
      <w:lvlText w:val="*"/>
      <w:numFmt w:val="bullet"/>
      <w:start w:val="1"/>
    </w:lvl>
  </w:abstractNum>
  <w:abstractNum w:abstractNumId="31">
    <w:nsid w:val="38437FDB"/>
    <w:multiLevelType w:val="hybridMultilevel"/>
    <w:lvl w:ilvl="0">
      <w:lvlJc w:val="left"/>
      <w:lvlText w:val="**"/>
      <w:numFmt w:val="bullet"/>
      <w:start w:val="1"/>
    </w:lvl>
  </w:abstractNum>
  <w:abstractNum w:abstractNumId="32">
    <w:nsid w:val="7644A45C"/>
    <w:multiLevelType w:val="hybridMultilevel"/>
    <w:lvl w:ilvl="0">
      <w:lvlJc w:val="left"/>
      <w:lvlText w:val="(%1)"/>
      <w:numFmt w:val="lowerLetter"/>
      <w:start w:val="1"/>
    </w:lvl>
  </w:abstractNum>
  <w:abstractNum w:abstractNumId="33">
    <w:nsid w:val="32FFF902"/>
    <w:multiLevelType w:val="hybridMultilevel"/>
    <w:lvl w:ilvl="0">
      <w:lvlJc w:val="left"/>
      <w:lvlText w:val="(%1)"/>
      <w:numFmt w:val="lowerLetter"/>
      <w:start w:val="1"/>
    </w:lvl>
  </w:abstractNum>
  <w:abstractNum w:abstractNumId="34">
    <w:nsid w:val="684A481A"/>
    <w:multiLevelType w:val="hybridMultilevel"/>
    <w:lvl w:ilvl="0">
      <w:lvlJc w:val="left"/>
      <w:lvlText w:val="(%1)"/>
      <w:numFmt w:val="lowerLetter"/>
      <w:start w:val="2"/>
    </w:lvl>
  </w:abstractNum>
  <w:abstractNum w:abstractNumId="35">
    <w:nsid w:val="579478FE"/>
    <w:multiLevelType w:val="hybridMultilevel"/>
    <w:lvl w:ilvl="0">
      <w:lvlJc w:val="left"/>
      <w:lvlText w:val="(%1)"/>
      <w:numFmt w:val="lowerLetter"/>
      <w:start w:val="1"/>
    </w:lvl>
  </w:abstractNum>
  <w:abstractNum w:abstractNumId="36">
    <w:nsid w:val="749ABB43"/>
    <w:multiLevelType w:val="hybridMultilevel"/>
    <w:lvl w:ilvl="0">
      <w:lvlJc w:val="left"/>
      <w:lvlText w:val="(%1)"/>
      <w:numFmt w:val="lowerLetter"/>
      <w:start w:val="1"/>
    </w:lvl>
  </w:abstractNum>
  <w:abstractNum w:abstractNumId="37">
    <w:nsid w:val="3DC240FB"/>
    <w:multiLevelType w:val="hybridMultilevel"/>
    <w:lvl w:ilvl="0">
      <w:lvlJc w:val="left"/>
      <w:lvlText w:val="(%1)"/>
      <w:numFmt w:val="lowerLetter"/>
      <w:start w:val="1"/>
    </w:lvl>
  </w:abstractNum>
  <w:abstractNum w:abstractNumId="38">
    <w:nsid w:val="1BA026FA"/>
    <w:multiLevelType w:val="hybridMultilevel"/>
    <w:lvl w:ilvl="0">
      <w:lvlJc w:val="left"/>
      <w:lvlText w:val="(%1)"/>
      <w:numFmt w:val="lowerRoman"/>
      <w:start w:val="1"/>
    </w:lvl>
  </w:abstractNum>
  <w:abstractNum w:abstractNumId="39">
    <w:nsid w:val="79A1DEAA"/>
    <w:multiLevelType w:val="hybridMultilevel"/>
    <w:lvl w:ilvl="0">
      <w:lvlJc w:val="left"/>
      <w:lvlText w:val="(%1)"/>
      <w:numFmt w:val="lowerRoman"/>
      <w:start w:val="6"/>
    </w:lvl>
  </w:abstractNum>
  <w:abstractNum w:abstractNumId="40">
    <w:nsid w:val="75C6C33A"/>
    <w:multiLevelType w:val="hybridMultilevel"/>
    <w:lvl w:ilvl="0">
      <w:lvlJc w:val="left"/>
      <w:lvlText w:val="(%1)"/>
      <w:numFmt w:val="lowerRoman"/>
      <w:start w:val="1"/>
    </w:lvl>
  </w:abstractNum>
  <w:abstractNum w:abstractNumId="41">
    <w:nsid w:val="12E685FB"/>
    <w:multiLevelType w:val="hybridMultilevel"/>
    <w:lvl w:ilvl="0">
      <w:lvlJc w:val="left"/>
      <w:lvlText w:val="(%1)"/>
      <w:numFmt w:val="lowerLetter"/>
      <w:start w:val="1"/>
    </w:lvl>
  </w:abstractNum>
  <w:abstractNum w:abstractNumId="42">
    <w:nsid w:val="70C6A529"/>
    <w:multiLevelType w:val="hybridMultilevel"/>
    <w:lvl w:ilvl="0">
      <w:lvlJc w:val="left"/>
      <w:lvlText w:val="(%1)"/>
      <w:numFmt w:val="lowerLetter"/>
      <w:start w:val="1"/>
    </w:lvl>
    <w:lvl w:ilvl="1">
      <w:lvlJc w:val="left"/>
      <w:lvlText w:val="(%2)"/>
      <w:numFmt w:val="lowerLetter"/>
      <w:start w:val="35"/>
    </w:lvl>
  </w:abstractNum>
  <w:abstractNum w:abstractNumId="43">
    <w:nsid w:val="520EEDD1"/>
    <w:multiLevelType w:val="hybridMultilevel"/>
    <w:lvl w:ilvl="0">
      <w:lvlJc w:val="left"/>
      <w:lvlText w:val="(%1)"/>
      <w:numFmt w:val="lowerLetter"/>
      <w:start w:val="2"/>
    </w:lvl>
  </w:abstractNum>
  <w:abstractNum w:abstractNumId="44">
    <w:nsid w:val="374A3FE6"/>
    <w:multiLevelType w:val="hybridMultilevel"/>
    <w:lvl w:ilvl="0">
      <w:lvlJc w:val="left"/>
      <w:lvlText w:val="(%1)"/>
      <w:numFmt w:val="lowerLetter"/>
      <w:start w:val="1"/>
    </w:lvl>
  </w:abstractNum>
  <w:abstractNum w:abstractNumId="45">
    <w:nsid w:val="4F4EF005"/>
    <w:multiLevelType w:val="hybridMultilevel"/>
    <w:lvl w:ilvl="0">
      <w:lvlJc w:val="left"/>
      <w:lvlText w:val="1"/>
      <w:numFmt w:val="bullet"/>
      <w:start w:val="1"/>
    </w:lvl>
  </w:abstractNum>
  <w:abstractNum w:abstractNumId="46">
    <w:nsid w:val="23F9C13C"/>
    <w:multiLevelType w:val="hybridMultilevel"/>
    <w:lvl w:ilvl="0">
      <w:lvlJc w:val="left"/>
      <w:lvlText w:val="%1."/>
      <w:numFmt w:val="decimal"/>
      <w:start w:val="1"/>
    </w:lvl>
  </w:abstractNum>
  <w:abstractNum w:abstractNumId="47">
    <w:nsid w:val="649BB77C"/>
    <w:multiLevelType w:val="hybridMultilevel"/>
    <w:lvl w:ilvl="0">
      <w:lvlJc w:val="left"/>
      <w:lvlText w:val="%1."/>
      <w:numFmt w:val="decimal"/>
      <w:start w:val="2"/>
    </w:lvl>
  </w:abstractNum>
  <w:abstractNum w:abstractNumId="48">
    <w:nsid w:val="275AC794"/>
    <w:multiLevelType w:val="hybridMultilevel"/>
    <w:lvl w:ilvl="0">
      <w:lvlJc w:val="left"/>
      <w:lvlText w:val="%1."/>
      <w:numFmt w:val="decimal"/>
      <w:start w:val="3"/>
    </w:lvl>
  </w:abstractNum>
  <w:abstractNum w:abstractNumId="49">
    <w:nsid w:val="39386575"/>
    <w:multiLevelType w:val="hybridMultilevel"/>
    <w:lvl w:ilvl="0">
      <w:lvlJc w:val="left"/>
      <w:lvlText w:val="%1."/>
      <w:numFmt w:val="decimal"/>
      <w:start w:val="6"/>
    </w:lvl>
  </w:abstractNum>
  <w:abstractNum w:abstractNumId="50">
    <w:nsid w:val="1CF10FD8"/>
    <w:multiLevelType w:val="hybridMultilevel"/>
    <w:lvl w:ilvl="0">
      <w:lvlJc w:val="left"/>
      <w:lvlText w:val="1"/>
      <w:numFmt w:val="bullet"/>
      <w:start w:val="1"/>
    </w:lvl>
  </w:abstractNum>
  <w:abstractNum w:abstractNumId="51">
    <w:nsid w:val="180115BE"/>
    <w:multiLevelType w:val="hybridMultilevel"/>
    <w:lvl w:ilvl="0">
      <w:lvlJc w:val="left"/>
      <w:lvlText w:val="1"/>
      <w:numFmt w:val="bullet"/>
      <w:start w:val="1"/>
    </w:lvl>
  </w:abstractNum>
  <w:abstractNum w:abstractNumId="52">
    <w:nsid w:val="235BA861"/>
    <w:multiLevelType w:val="hybridMultilevel"/>
    <w:lvl w:ilvl="0">
      <w:lvlJc w:val="left"/>
      <w:lvlText w:val="%1."/>
      <w:numFmt w:val="decimal"/>
      <w:start w:val="1"/>
    </w:lvl>
  </w:abstractNum>
  <w:abstractNum w:abstractNumId="53">
    <w:nsid w:val="47398C89"/>
    <w:multiLevelType w:val="hybridMultilevel"/>
    <w:lvl w:ilvl="0">
      <w:lvlJc w:val="left"/>
      <w:lvlText w:val="%1."/>
      <w:numFmt w:val="decimal"/>
      <w:start w:val="2"/>
    </w:lvl>
  </w:abstractNum>
  <w:abstractNum w:abstractNumId="54">
    <w:nsid w:val="354FE9F9"/>
    <w:multiLevelType w:val="hybridMultilevel"/>
    <w:lvl w:ilvl="0">
      <w:lvlJc w:val="left"/>
      <w:lvlText w:val="%1."/>
      <w:numFmt w:val="decimal"/>
      <w:start w:val="3"/>
    </w:lvl>
  </w:abstractNum>
  <w:abstractNum w:abstractNumId="55">
    <w:nsid w:val="15B5AF5C"/>
    <w:multiLevelType w:val="hybridMultilevel"/>
    <w:lvl w:ilvl="0">
      <w:lvlJc w:val="left"/>
      <w:lvlText w:val="%1."/>
      <w:numFmt w:val="decimal"/>
      <w:start w:val="6"/>
    </w:lvl>
  </w:abstractNum>
  <w:abstractNum w:abstractNumId="56">
    <w:nsid w:val="741226BB"/>
    <w:multiLevelType w:val="hybridMultilevel"/>
    <w:lvl w:ilvl="0">
      <w:lvlJc w:val="left"/>
      <w:lvlText w:val="1"/>
      <w:numFmt w:val="bullet"/>
      <w:start w:val="1"/>
    </w:lvl>
  </w:abstractNum>
  <w:abstractNum w:abstractNumId="57">
    <w:nsid w:val="D34B6A8"/>
    <w:multiLevelType w:val="hybridMultilevel"/>
    <w:lvl w:ilvl="0">
      <w:lvlJc w:val="left"/>
      <w:lvlText w:val="1"/>
      <w:numFmt w:val="bullet"/>
      <w:start w:val="1"/>
    </w:lvl>
  </w:abstractNum>
  <w:abstractNum w:abstractNumId="58">
    <w:nsid w:val="10233C99"/>
    <w:multiLevelType w:val="hybridMultilevel"/>
    <w:lvl w:ilvl="0">
      <w:lvlJc w:val="left"/>
      <w:lvlText w:val="%1."/>
      <w:numFmt w:val="decimal"/>
      <w:start w:val="1"/>
    </w:lvl>
  </w:abstractNum>
  <w:abstractNum w:abstractNumId="59">
    <w:nsid w:val="3F6AB60F"/>
    <w:multiLevelType w:val="hybridMultilevel"/>
    <w:lvl w:ilvl="0">
      <w:lvlJc w:val="left"/>
      <w:lvlText w:val="%1."/>
      <w:numFmt w:val="decimal"/>
      <w:start w:val="2"/>
    </w:lvl>
  </w:abstractNum>
  <w:abstractNum w:abstractNumId="60">
    <w:nsid w:val="61574095"/>
    <w:multiLevelType w:val="hybridMultilevel"/>
    <w:lvl w:ilvl="0">
      <w:lvlJc w:val="left"/>
      <w:lvlText w:val="%1."/>
      <w:numFmt w:val="decimal"/>
      <w:start w:val="3"/>
    </w:lvl>
  </w:abstractNum>
  <w:abstractNum w:abstractNumId="61">
    <w:nsid w:val="7E0C57B1"/>
    <w:multiLevelType w:val="hybridMultilevel"/>
    <w:lvl w:ilvl="0">
      <w:lvlJc w:val="left"/>
      <w:lvlText w:val="%1."/>
      <w:numFmt w:val="decimal"/>
      <w:start w:val="6"/>
    </w:lvl>
  </w:abstractNum>
  <w:abstractNum w:abstractNumId="62">
    <w:nsid w:val="77AE35EB"/>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jpeg"/><Relationship Id="rId148" Type="http://schemas.openxmlformats.org/officeDocument/2006/relationships/image" Target="media/image139.png"/><Relationship Id="rId19" Type="http://schemas.openxmlformats.org/officeDocument/2006/relationships/hyperlink" Target="http://www.sec.gov/Archives/edgar/data/1467858/000146785814000133/ex42043014indenture.htm" TargetMode="External"/><Relationship Id="rId20" Type="http://schemas.openxmlformats.org/officeDocument/2006/relationships/hyperlink" Target="http://www.sec.gov/Archives/edgar/data/1467858/000119312522210038/d380927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2025-05-07T15:39:26Z</dcterms:created>
  <dcterms:modified xsi:type="dcterms:W3CDTF">2025-05-07T15:39:26Z</dcterms:modified>
</cp:coreProperties>
</file>