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jc w:val="center"/>
        <w:ind w:right="460"/>
        <w:spacing w:after="0"/>
        <w:rPr>
          <w:sz w:val="20"/>
          <w:szCs w:val="20"/>
          <w:color w:val="auto"/>
        </w:rPr>
      </w:pPr>
      <w:r>
        <w:rPr>
          <w:rFonts w:ascii="Arial" w:cs="Arial" w:eastAsia="Arial" w:hAnsi="Arial"/>
          <w:sz w:val="12"/>
          <w:szCs w:val="12"/>
          <w:b w:val="1"/>
          <w:bCs w:val="1"/>
          <w:color w:val="auto"/>
        </w:rPr>
        <w:t>(Commission File</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78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35"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2.02</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RESULTS OF OPERATIONS AND FINANCIAL CONDITIONS</w:t>
        </w:r>
      </w:hyperlink>
    </w:p>
    <w:p>
      <w:pPr>
        <w:spacing w:after="0" w:line="21"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9.01</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FINANCIAL STATEMENTS AND EXHIBITS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News Release Dated November 3,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3, 2010, a news release was issued on the subject of preliminary third quarter 2010 consolidated earnings for General Motors Company (GM). The news release is incorporated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w w:val="93"/>
              </w:rPr>
              <w:t>Exhibits</w:t>
            </w:r>
          </w:p>
        </w:tc>
        <w:tc>
          <w:tcPr>
            <w:tcW w:w="1960" w:type="dxa"/>
            <w:vAlign w:val="bottom"/>
          </w:tcPr>
          <w:p>
            <w:pPr>
              <w:spacing w:after="0"/>
              <w:rPr>
                <w:sz w:val="14"/>
                <w:szCs w:val="14"/>
                <w:color w:val="auto"/>
              </w:rPr>
            </w:pPr>
          </w:p>
        </w:tc>
        <w:tc>
          <w:tcPr>
            <w:tcW w:w="6740" w:type="dxa"/>
            <w:vAlign w:val="bottom"/>
            <w:gridSpan w:val="3"/>
          </w:tcPr>
          <w:p>
            <w:pPr>
              <w:ind w:left="1580"/>
              <w:spacing w:after="0"/>
              <w:rPr>
                <w:sz w:val="20"/>
                <w:szCs w:val="20"/>
                <w:color w:val="auto"/>
              </w:rPr>
            </w:pPr>
            <w:r>
              <w:rPr>
                <w:rFonts w:ascii="Arial" w:cs="Arial" w:eastAsia="Arial" w:hAnsi="Arial"/>
                <w:sz w:val="14"/>
                <w:szCs w:val="14"/>
                <w:color w:val="auto"/>
              </w:rPr>
              <w:t>Description</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6"/>
        </w:trPr>
        <w:tc>
          <w:tcPr>
            <w:tcW w:w="24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6740" w:type="dxa"/>
            <w:vAlign w:val="bottom"/>
            <w:gridSpan w:val="3"/>
          </w:tcPr>
          <w:p>
            <w:pPr>
              <w:ind w:left="1580"/>
              <w:spacing w:after="0"/>
              <w:rPr>
                <w:sz w:val="20"/>
                <w:szCs w:val="20"/>
                <w:color w:val="auto"/>
              </w:rPr>
            </w:pPr>
            <w:r>
              <w:rPr>
                <w:rFonts w:ascii="Arial" w:cs="Arial" w:eastAsia="Arial" w:hAnsi="Arial"/>
                <w:sz w:val="18"/>
                <w:szCs w:val="18"/>
                <w:color w:val="auto"/>
              </w:rPr>
              <w:t>News Release Dated November 3, 2010</w:t>
            </w: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5,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Release: November 3, 2010 3:00 p.m. 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Provides Preliminary Third Quarter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expects to post third quarter net income attributable to common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 $1.9-$2.1 billion and earnings before interest and tax (EBIT) of $2.2-$2.4 billion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DETROIT, Mich. – General Motors Company announced today that for the </w:t>
      </w:r>
      <w:r>
        <w:rPr>
          <w:rFonts w:ascii="Arial" w:cs="Arial" w:eastAsia="Arial" w:hAnsi="Arial"/>
          <w:sz w:val="16"/>
          <w:szCs w:val="16"/>
          <w:b w:val="1"/>
          <w:bCs w:val="1"/>
          <w:color w:val="auto"/>
        </w:rPr>
        <w:t>third quarter, ending September 30, 2010,</w:t>
      </w:r>
      <w:r>
        <w:rPr>
          <w:rFonts w:ascii="Arial" w:cs="Arial" w:eastAsia="Arial" w:hAnsi="Arial"/>
          <w:sz w:val="16"/>
          <w:szCs w:val="16"/>
          <w:color w:val="auto"/>
        </w:rPr>
        <w:t xml:space="preserve"> the company expects to generate:</w:t>
      </w:r>
    </w:p>
    <w:p>
      <w:pPr>
        <w:spacing w:after="0" w:line="11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approximately $34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attributable to common stockholders of $1.9-$2.1 billion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before interest and taxes (EBIT) of $2.2-$2.4 billion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first </w:t>
      </w:r>
      <w:r>
        <w:rPr>
          <w:rFonts w:ascii="Arial" w:cs="Arial" w:eastAsia="Arial" w:hAnsi="Arial"/>
          <w:sz w:val="18"/>
          <w:szCs w:val="18"/>
          <w:b w:val="1"/>
          <w:bCs w:val="1"/>
          <w:color w:val="auto"/>
        </w:rPr>
        <w:t>nine months of the year</w:t>
      </w:r>
      <w:r>
        <w:rPr>
          <w:rFonts w:ascii="Arial" w:cs="Arial" w:eastAsia="Arial" w:hAnsi="Arial"/>
          <w:sz w:val="18"/>
          <w:szCs w:val="18"/>
          <w:color w:val="auto"/>
        </w:rPr>
        <w:t>, GM estimates:</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$99 billion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attributable to common stockholders of $4.0-$4.2 billion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 of $6.0-$6.2 billion</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also announced it expects to generate positive EBIT in the fourth quarter, albeit at a significantly lower run rate than each of the first three quarters, due to the fourth quarter having a different production mix, new vehicle launch costs (in particular the Chevrolet Cruze and Volt) and higher engineering expenses for future products.</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are extremely pleased with the level of progress the company is making,” said Chris Liddell, GM vice chairman and chief financial officer. “We will deliver a solid and profitable first year post-bankruptcy, and we are continuing to improve our balance sheet and most importantly, the quality of our vehicles.”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GM will release details of its third quarter results on Wednesday, November 10, 2010 at 7:30 a.m. ET via GM Media Online (http://media.gm.com) and PR Newswire.</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conference call for financial analysts and media will also be held on Wednesday, November 10 at 8:00 a.m. ET. A dial-in line has been established for the call as follows:</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1-800-952-6697(U.S.)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+1-212-231-2901 (international/caller-paid)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access code is not required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Please call 15 minutes in advance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relative to the conference call can be found on the GM investor website at http://investor.gm.com in the </w:t>
      </w:r>
      <w:r>
        <w:rPr>
          <w:rFonts w:ascii="Arial" w:cs="Arial" w:eastAsia="Arial" w:hAnsi="Arial"/>
          <w:sz w:val="18"/>
          <w:szCs w:val="18"/>
          <w:i w:val="1"/>
          <w:iCs w:val="1"/>
          <w:color w:val="auto"/>
        </w:rPr>
        <w:t>Calendar Events</w:t>
      </w:r>
      <w:r>
        <w:rPr>
          <w:rFonts w:ascii="Arial" w:cs="Arial" w:eastAsia="Arial" w:hAnsi="Arial"/>
          <w:sz w:val="18"/>
          <w:szCs w:val="18"/>
          <w:color w:val="auto"/>
        </w:rPr>
        <w:t xml:space="preserve"> section.</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 # #</w:t>
      </w:r>
    </w:p>
    <w:p>
      <w:pPr>
        <w:sectPr>
          <w:pgSz w:w="11900" w:h="16838" w:orient="portrait"/>
          <w:cols w:equalWidth="0" w:num="1">
            <w:col w:w="11420"/>
          </w:cols>
          <w:pgMar w:left="240" w:top="13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Noreen Pratscher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313-665-3250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586-899-2760 (cell)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noreen.pratscher@gm.com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Randy Arickx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w:t>
      </w:r>
      <w:r>
        <w:rPr>
          <w:rFonts w:ascii="Arial" w:cs="Arial" w:eastAsia="Arial" w:hAnsi="Arial"/>
          <w:sz w:val="18"/>
          <w:szCs w:val="18"/>
          <w:i w:val="1"/>
          <w:iCs w:val="1"/>
          <w:color w:val="auto"/>
        </w:rPr>
        <w:t>-</w:t>
      </w:r>
      <w:r>
        <w:rPr>
          <w:rFonts w:ascii="Arial" w:cs="Arial" w:eastAsia="Arial" w:hAnsi="Arial"/>
          <w:sz w:val="18"/>
          <w:szCs w:val="18"/>
          <w:color w:val="auto"/>
        </w:rPr>
        <w:t>667</w:t>
      </w:r>
      <w:r>
        <w:rPr>
          <w:rFonts w:ascii="Arial" w:cs="Arial" w:eastAsia="Arial" w:hAnsi="Arial"/>
          <w:sz w:val="18"/>
          <w:szCs w:val="18"/>
          <w:i w:val="1"/>
          <w:iCs w:val="1"/>
          <w:color w:val="auto"/>
        </w:rPr>
        <w:t>-</w:t>
      </w:r>
      <w:r>
        <w:rPr>
          <w:rFonts w:ascii="Arial" w:cs="Arial" w:eastAsia="Arial" w:hAnsi="Arial"/>
          <w:sz w:val="18"/>
          <w:szCs w:val="18"/>
          <w:color w:val="auto"/>
        </w:rPr>
        <w:t>0006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w:t>
      </w:r>
      <w:r>
        <w:rPr>
          <w:rFonts w:ascii="Arial" w:cs="Arial" w:eastAsia="Arial" w:hAnsi="Arial"/>
          <w:sz w:val="18"/>
          <w:szCs w:val="18"/>
          <w:i w:val="1"/>
          <w:iCs w:val="1"/>
          <w:color w:val="auto"/>
        </w:rPr>
        <w:t>-</w:t>
      </w:r>
      <w:r>
        <w:rPr>
          <w:rFonts w:ascii="Arial" w:cs="Arial" w:eastAsia="Arial" w:hAnsi="Arial"/>
          <w:sz w:val="18"/>
          <w:szCs w:val="18"/>
          <w:color w:val="auto"/>
        </w:rPr>
        <w:t>268</w:t>
      </w:r>
      <w:r>
        <w:rPr>
          <w:rFonts w:ascii="Arial" w:cs="Arial" w:eastAsia="Arial" w:hAnsi="Arial"/>
          <w:sz w:val="18"/>
          <w:szCs w:val="18"/>
          <w:i w:val="1"/>
          <w:iCs w:val="1"/>
          <w:color w:val="auto"/>
        </w:rPr>
        <w:t>-</w:t>
      </w:r>
      <w:r>
        <w:rPr>
          <w:rFonts w:ascii="Arial" w:cs="Arial" w:eastAsia="Arial" w:hAnsi="Arial"/>
          <w:sz w:val="18"/>
          <w:szCs w:val="18"/>
          <w:color w:val="auto"/>
        </w:rPr>
        <w:t>7070 (cell)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randy.c.arickx@gm.com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General Motors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General Motors, one of the world’s largest automakers, traces its roots back to 1908. With its global headquarters in Detroit, GM employs 208,000 people in every major region of the world and does business in more than 120 countries. GM and its strategic partners produce cars and trucks in 31 countries, and sell and service these vehicles through the following brands: Buick, Cadillac, Chevrolet, FAW, GMC, Daewoo, Holden, Jiefang, Opel, Vauxhall and Wuling. GM’s largest national market is China, followed by the United States,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continue to attract new customers, particularly for our new products.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GM’s most recent annual report on Form 10-K and quarterly reports on Form 10-Q provide information about these and other factors, which we may revise or supplement in future reports to the SEC.</w:t>
      </w:r>
    </w:p>
    <w:p>
      <w:pPr>
        <w:sectPr>
          <w:pgSz w:w="11900" w:h="16838" w:orient="portrait"/>
          <w:cols w:equalWidth="0" w:num="1">
            <w:col w:w="11380"/>
          </w:cols>
          <w:pgMar w:left="240" w:top="428" w:right="27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is a reconciliation of the estimated EBIT (a non-GAAP measure) range to estimated Net Income attributable to common stockholders (dollars in millions):</w:t>
      </w:r>
    </w:p>
    <w:p>
      <w:pPr>
        <w:sectPr>
          <w:pgSz w:w="11900" w:h="16838" w:orient="portrait"/>
          <w:cols w:equalWidth="0" w:num="1">
            <w:col w:w="11420"/>
          </w:cols>
          <w:pgMar w:left="240" w:top="347" w:right="239" w:bottom="1440" w:gutter="0" w:footer="0" w:header="0"/>
        </w:sectPr>
      </w:pPr>
    </w:p>
    <w:p>
      <w:pPr>
        <w:spacing w:after="0" w:line="168" w:lineRule="exact"/>
        <w:rPr>
          <w:sz w:val="20"/>
          <w:szCs w:val="20"/>
          <w:color w:val="auto"/>
        </w:rPr>
      </w:pPr>
    </w:p>
    <w:p>
      <w:pPr>
        <w:jc w:val="center"/>
        <w:ind w:left="7740"/>
        <w:spacing w:after="0"/>
        <w:rPr>
          <w:sz w:val="20"/>
          <w:szCs w:val="20"/>
          <w:color w:val="auto"/>
        </w:rPr>
      </w:pPr>
      <w:r>
        <w:rPr>
          <w:rFonts w:ascii="Arial" w:cs="Arial" w:eastAsia="Arial" w:hAnsi="Arial"/>
          <w:sz w:val="12"/>
          <w:szCs w:val="12"/>
          <w:b w:val="1"/>
          <w:bCs w:val="1"/>
          <w:color w:val="auto"/>
        </w:rPr>
        <w:t>Three Months Ended</w:t>
      </w:r>
    </w:p>
    <w:p>
      <w:pPr>
        <w:spacing w:after="0" w:line="25" w:lineRule="exact"/>
        <w:rPr>
          <w:sz w:val="20"/>
          <w:szCs w:val="20"/>
          <w:color w:val="auto"/>
        </w:rPr>
      </w:pPr>
    </w:p>
    <w:p>
      <w:pPr>
        <w:jc w:val="center"/>
        <w:ind w:left="7740"/>
        <w:spacing w:after="0"/>
        <w:rPr>
          <w:sz w:val="20"/>
          <w:szCs w:val="20"/>
          <w:color w:val="auto"/>
        </w:rPr>
      </w:pPr>
      <w:r>
        <w:rPr>
          <w:rFonts w:ascii="Arial" w:cs="Arial" w:eastAsia="Arial" w:hAnsi="Arial"/>
          <w:sz w:val="12"/>
          <w:szCs w:val="12"/>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5715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-6985</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7740"/>
        <w:spacing w:after="0"/>
        <w:tabs>
          <w:tab w:leader="none" w:pos="8640" w:val="left"/>
        </w:tabs>
        <w:rPr>
          <w:sz w:val="20"/>
          <w:szCs w:val="20"/>
          <w:color w:val="auto"/>
        </w:rPr>
      </w:pPr>
      <w:r>
        <w:rPr>
          <w:rFonts w:ascii="Arial" w:cs="Arial" w:eastAsia="Arial" w:hAnsi="Arial"/>
          <w:sz w:val="12"/>
          <w:szCs w:val="12"/>
          <w:b w:val="1"/>
          <w:bCs w:val="1"/>
          <w:color w:val="auto"/>
        </w:rPr>
        <w:t>Low</w:t>
      </w:r>
      <w:r>
        <w:rPr>
          <w:sz w:val="20"/>
          <w:szCs w:val="20"/>
          <w:color w:val="auto"/>
        </w:rPr>
        <w:tab/>
      </w:r>
      <w:r>
        <w:rPr>
          <w:rFonts w:ascii="Arial" w:cs="Arial" w:eastAsia="Arial" w:hAnsi="Arial"/>
          <w:sz w:val="12"/>
          <w:szCs w:val="12"/>
          <w:b w:val="1"/>
          <w:bCs w:val="1"/>
          <w:color w:val="auto"/>
        </w:rPr>
        <w:t>High</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5715</wp:posOffset>
            </wp:positionV>
            <wp:extent cx="883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-6985</wp:posOffset>
            </wp:positionV>
            <wp:extent cx="883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tabs>
          <w:tab w:leader="none" w:pos="860" w:val="left"/>
        </w:tabs>
        <w:rPr>
          <w:sz w:val="20"/>
          <w:szCs w:val="20"/>
          <w:color w:val="auto"/>
        </w:rPr>
      </w:pPr>
      <w:r>
        <w:rPr>
          <w:rFonts w:ascii="Arial" w:cs="Arial" w:eastAsia="Arial" w:hAnsi="Arial"/>
          <w:sz w:val="12"/>
          <w:szCs w:val="12"/>
          <w:b w:val="1"/>
          <w:bCs w:val="1"/>
          <w:color w:val="auto"/>
        </w:rPr>
        <w:t>Low</w:t>
      </w:r>
      <w:r>
        <w:rPr>
          <w:sz w:val="20"/>
          <w:szCs w:val="20"/>
          <w:color w:val="auto"/>
        </w:rPr>
        <w:tab/>
      </w:r>
      <w:r>
        <w:rPr>
          <w:rFonts w:ascii="Arial" w:cs="Arial" w:eastAsia="Arial" w:hAnsi="Arial"/>
          <w:sz w:val="12"/>
          <w:szCs w:val="12"/>
          <w:b w:val="1"/>
          <w:bCs w:val="1"/>
          <w:color w:val="auto"/>
        </w:rPr>
        <w:t>High</w:t>
      </w:r>
    </w:p>
    <w:p>
      <w:pPr>
        <w:spacing w:after="0" w:line="31" w:lineRule="exact"/>
        <w:rPr>
          <w:sz w:val="20"/>
          <w:szCs w:val="20"/>
          <w:color w:val="auto"/>
        </w:rPr>
      </w:pPr>
    </w:p>
    <w:p>
      <w:pPr>
        <w:sectPr>
          <w:pgSz w:w="11900" w:h="16838" w:orient="portrait"/>
          <w:cols w:equalWidth="0" w:num="2">
            <w:col w:w="8960" w:space="640"/>
            <w:col w:w="1820"/>
          </w:cols>
          <w:pgMar w:left="240" w:top="347"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EBIT</w:t>
            </w:r>
          </w:p>
        </w:tc>
        <w:tc>
          <w:tcPr>
            <w:tcW w:w="250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$ 2,200</w:t>
            </w:r>
          </w:p>
        </w:tc>
        <w:tc>
          <w:tcPr>
            <w:tcW w:w="94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$ 2,400</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$6,000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500" w:type="dxa"/>
            <w:vAlign w:val="bottom"/>
            <w:gridSpan w:val="3"/>
          </w:tcPr>
          <w:p>
            <w:pPr>
              <w:jc w:val="right"/>
              <w:ind w:right="220"/>
              <w:spacing w:after="0"/>
              <w:rPr>
                <w:sz w:val="20"/>
                <w:szCs w:val="20"/>
                <w:color w:val="auto"/>
              </w:rPr>
            </w:pPr>
            <w:r>
              <w:rPr>
                <w:rFonts w:ascii="Arial" w:cs="Arial" w:eastAsia="Arial" w:hAnsi="Arial"/>
                <w:sz w:val="18"/>
                <w:szCs w:val="18"/>
                <w:color w:val="auto"/>
              </w:rPr>
              <w:t>125</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Income tax expense (benefit)</w:t>
            </w:r>
          </w:p>
        </w:tc>
        <w:tc>
          <w:tcPr>
            <w:tcW w:w="250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Cumulative dividends on preferred stock</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$ 1,897</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believes EBIT provides meaningful supplemental information regarding our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among geographic regions. Accordingly, we believe EBIT is useful in allowing for greater transparency of our core operations and it is therefore used by management in its financial and operational decision-making.</w:t>
      </w:r>
    </w:p>
    <w:p>
      <w:pPr>
        <w:spacing w:after="0" w:line="14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sectPr>
      <w:pgSz w:w="11900" w:h="16838" w:orient="portrait"/>
      <w:cols w:equalWidth="0" w:num="1">
        <w:col w:w="11420"/>
      </w:cols>
      <w:pgMar w:left="240" w:top="3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2019-12-11T07:33:55Z</dcterms:created>
  <dcterms:modified xsi:type="dcterms:W3CDTF">2019-12-11T07:33:55Z</dcterms:modified>
</cp:coreProperties>
</file>