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8140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814006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06/30/2012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4"/>
        <w:spacing w:after="0"/>
        <w:rPr>
          <w:sz w:val="20"/>
          <w:szCs w:val="20"/>
          <w:color w:val="auto"/>
        </w:rPr>
      </w:pPr>
      <w:r>
        <w:rPr>
          <w:rFonts w:ascii="Arial" w:cs="Arial" w:eastAsia="Arial" w:hAnsi="Arial"/>
          <w:sz w:val="17"/>
          <w:szCs w:val="17"/>
          <w:color w:val="0000FF"/>
        </w:rPr>
        <w:t>Vice President</w:t>
      </w:r>
    </w:p>
    <w:p>
      <w:pPr>
        <w:spacing w:after="0" w:line="439" w:lineRule="exact"/>
        <w:rPr>
          <w:sz w:val="24"/>
          <w:szCs w:val="24"/>
          <w:color w:val="auto"/>
        </w:rPr>
      </w:pPr>
    </w:p>
    <w:p>
      <w:pPr>
        <w:sectPr>
          <w:pgSz w:w="11900" w:h="16838"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0"/>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5"/>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2,194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28,526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1,557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26,969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1"/>
              </w:rPr>
              <w:t>637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26,332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2,799</w:t>
            </w:r>
            <w:r>
              <w:rPr>
                <w:rFonts w:ascii="Arial" w:cs="Arial" w:eastAsia="Arial" w:hAnsi="Arial"/>
                <w:sz w:val="21"/>
                <w:szCs w:val="21"/>
                <w:color w:val="008000"/>
                <w:w w:val="83"/>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29,131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1,987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27,144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1"/>
              </w:rPr>
              <w:t>812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26,332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1,548</w:t>
            </w:r>
            <w:r>
              <w:rPr>
                <w:rFonts w:ascii="Arial" w:cs="Arial" w:eastAsia="Arial" w:hAnsi="Arial"/>
                <w:sz w:val="21"/>
                <w:szCs w:val="21"/>
                <w:color w:val="008000"/>
                <w:w w:val="83"/>
                <w:vertAlign w:val="superscript"/>
              </w:rPr>
              <w:t>(6)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27,880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1,099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26,781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1"/>
              </w:rPr>
              <w:t>449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26,332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3,088</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80" w:type="dxa"/>
            <w:vAlign w:val="bottom"/>
            <w:tcBorders>
              <w:bottom w:val="single" w:sz="8" w:color="2C2C2C"/>
            </w:tcBorders>
            <w:gridSpan w:val="9"/>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63"/>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2,194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2,194</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9"/>
              <w:spacing w:after="0" w:line="140" w:lineRule="exact"/>
              <w:rPr>
                <w:sz w:val="20"/>
                <w:szCs w:val="20"/>
                <w:color w:val="auto"/>
              </w:rPr>
            </w:pPr>
            <w:r>
              <w:rPr>
                <w:rFonts w:ascii="Arial" w:cs="Arial" w:eastAsia="Arial" w:hAnsi="Arial"/>
                <w:sz w:val="13"/>
                <w:szCs w:val="13"/>
                <w:color w:val="0000FF"/>
                <w:w w:val="92"/>
              </w:rPr>
              <w:t>4,388</w:t>
            </w:r>
          </w:p>
        </w:tc>
        <w:tc>
          <w:tcPr>
            <w:tcW w:w="280" w:type="dxa"/>
            <w:vAlign w:val="bottom"/>
          </w:tcPr>
          <w:p>
            <w:pPr>
              <w:spacing w:after="0"/>
              <w:rPr>
                <w:sz w:val="6"/>
                <w:szCs w:val="6"/>
                <w:color w:val="auto"/>
              </w:rPr>
            </w:pP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63"/>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2,799</w:t>
            </w:r>
            <w:r>
              <w:rPr>
                <w:rFonts w:ascii="Arial" w:cs="Arial" w:eastAsia="Arial" w:hAnsi="Arial"/>
                <w:sz w:val="21"/>
                <w:szCs w:val="21"/>
                <w:color w:val="008000"/>
                <w:w w:val="84"/>
                <w:vertAlign w:val="superscript"/>
              </w:rPr>
              <w:t>(4)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2,799</w:t>
            </w:r>
            <w:r>
              <w:rPr>
                <w:rFonts w:ascii="Arial" w:cs="Arial" w:eastAsia="Arial" w:hAnsi="Arial"/>
                <w:sz w:val="21"/>
                <w:szCs w:val="21"/>
                <w:color w:val="008000"/>
                <w:w w:val="87"/>
                <w:vertAlign w:val="superscript"/>
              </w:rPr>
              <w:t>(4)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92"/>
              </w:rPr>
              <w:t>2,799</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1,548</w:t>
            </w:r>
            <w:r>
              <w:rPr>
                <w:rFonts w:ascii="Arial" w:cs="Arial" w:eastAsia="Arial" w:hAnsi="Arial"/>
                <w:sz w:val="21"/>
                <w:szCs w:val="21"/>
                <w:color w:val="008000"/>
                <w:w w:val="84"/>
                <w:vertAlign w:val="superscript"/>
              </w:rPr>
              <w:t>(6)</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1,548</w:t>
            </w:r>
            <w:r>
              <w:rPr>
                <w:rFonts w:ascii="Arial" w:cs="Arial" w:eastAsia="Arial" w:hAnsi="Arial"/>
                <w:sz w:val="21"/>
                <w:szCs w:val="21"/>
                <w:color w:val="008000"/>
                <w:w w:val="87"/>
                <w:vertAlign w:val="superscript"/>
              </w:rPr>
              <w:t>(6)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jc w:val="center"/>
              <w:ind w:left="83"/>
              <w:spacing w:after="0"/>
              <w:rPr>
                <w:sz w:val="20"/>
                <w:szCs w:val="20"/>
                <w:color w:val="auto"/>
              </w:rPr>
            </w:pPr>
            <w:r>
              <w:rPr>
                <w:rFonts w:ascii="Arial" w:cs="Arial" w:eastAsia="Arial" w:hAnsi="Arial"/>
                <w:sz w:val="11"/>
                <w:szCs w:val="11"/>
                <w:color w:val="008000"/>
                <w:w w:val="88"/>
              </w:rPr>
              <w:t>(2)</w:t>
            </w: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63"/>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12,105</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jc w:val="right"/>
              <w:spacing w:after="0" w:line="140" w:lineRule="exact"/>
              <w:rPr>
                <w:sz w:val="20"/>
                <w:szCs w:val="20"/>
                <w:color w:val="auto"/>
              </w:rPr>
            </w:pPr>
            <w:r>
              <w:rPr>
                <w:rFonts w:ascii="Arial" w:cs="Arial" w:eastAsia="Arial" w:hAnsi="Arial"/>
                <w:sz w:val="13"/>
                <w:szCs w:val="13"/>
                <w:color w:val="0000FF"/>
              </w:rPr>
              <w:t>12,105</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12,105</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63"/>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1,912</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vMerge w:val="restart"/>
          </w:tcPr>
          <w:p>
            <w:pPr>
              <w:jc w:val="right"/>
              <w:ind w:right="40"/>
              <w:spacing w:after="0" w:line="140" w:lineRule="exact"/>
              <w:rPr>
                <w:sz w:val="20"/>
                <w:szCs w:val="20"/>
                <w:color w:val="auto"/>
              </w:rPr>
            </w:pPr>
            <w:r>
              <w:rPr>
                <w:rFonts w:ascii="Arial" w:cs="Arial" w:eastAsia="Arial" w:hAnsi="Arial"/>
                <w:sz w:val="13"/>
                <w:szCs w:val="13"/>
                <w:color w:val="0000FF"/>
              </w:rPr>
              <w:t>1,912</w:t>
            </w:r>
          </w:p>
        </w:tc>
        <w:tc>
          <w:tcPr>
            <w:tcW w:w="56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9"/>
              <w:spacing w:after="0" w:line="140" w:lineRule="exact"/>
              <w:rPr>
                <w:sz w:val="20"/>
                <w:szCs w:val="20"/>
                <w:color w:val="auto"/>
              </w:rPr>
            </w:pPr>
            <w:r>
              <w:rPr>
                <w:rFonts w:ascii="Arial" w:cs="Arial" w:eastAsia="Arial" w:hAnsi="Arial"/>
                <w:sz w:val="13"/>
                <w:szCs w:val="13"/>
                <w:color w:val="0000FF"/>
                <w:w w:val="92"/>
              </w:rPr>
              <w:t>1,912</w:t>
            </w:r>
          </w:p>
        </w:tc>
        <w:tc>
          <w:tcPr>
            <w:tcW w:w="280" w:type="dxa"/>
            <w:vAlign w:val="bottom"/>
          </w:tcPr>
          <w:p>
            <w:pPr>
              <w:spacing w:after="0"/>
              <w:rPr>
                <w:sz w:val="6"/>
                <w:szCs w:val="6"/>
                <w:color w:val="auto"/>
              </w:rPr>
            </w:pP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(9)</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74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2011 pursuant to the Company's Salary Stock Plan (the "GMSSP") and vested upon grant. The portion of this award currently payable was settled on June 30, 2012 in cash, less a portion withheld for taxes.</w:t>
      </w:r>
    </w:p>
    <w:p>
      <w:pPr>
        <w:spacing w:after="0" w:line="22" w:lineRule="exact"/>
        <w:rPr>
          <w:rFonts w:ascii="Arial" w:cs="Arial" w:eastAsia="Arial" w:hAnsi="Arial"/>
          <w:sz w:val="13"/>
          <w:szCs w:val="13"/>
          <w:color w:val="008000"/>
        </w:rPr>
      </w:pPr>
    </w:p>
    <w:p>
      <w:pPr>
        <w:ind w:left="40" w:right="28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spacing w:after="0" w:line="3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6" w:lineRule="exact"/>
        <w:rPr>
          <w:rFonts w:ascii="Arial" w:cs="Arial" w:eastAsia="Arial" w:hAnsi="Arial"/>
          <w:sz w:val="13"/>
          <w:szCs w:val="13"/>
          <w:color w:val="008000"/>
        </w:rPr>
      </w:pPr>
    </w:p>
    <w:p>
      <w:pPr>
        <w:ind w:left="40" w:right="260" w:firstLine="4"/>
        <w:spacing w:after="0" w:line="273"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2010 the employee received a grant of 2,800 SSUs, of which 933 SSUs were scheduled to be payable on June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8,400 SSUs granted on June 30, 2010 of which 2,799 SSUs became payable on June 30, 2012.</w:t>
      </w:r>
    </w:p>
    <w:p>
      <w:pPr>
        <w:sectPr>
          <w:pgSz w:w="11900" w:h="16838" w:orient="portrait"/>
          <w:cols w:equalWidth="0" w:num="1">
            <w:col w:w="11520"/>
          </w:cols>
          <w:pgMar w:left="240" w:top="223" w:right="139" w:bottom="0" w:gutter="0" w:footer="0" w:header="0"/>
          <w:type w:val="continuous"/>
        </w:sectPr>
      </w:pPr>
    </w:p>
    <w:bookmarkStart w:id="1" w:name="page2"/>
    <w:bookmarkEnd w:id="1"/>
    <w:p>
      <w:pPr>
        <w:ind w:left="140" w:hanging="136"/>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2009.</w:t>
      </w:r>
    </w:p>
    <w:p>
      <w:pPr>
        <w:spacing w:after="0" w:line="46" w:lineRule="exact"/>
        <w:rPr>
          <w:rFonts w:ascii="Arial" w:cs="Arial" w:eastAsia="Arial" w:hAnsi="Arial"/>
          <w:sz w:val="13"/>
          <w:szCs w:val="13"/>
          <w:color w:val="008000"/>
        </w:rPr>
      </w:pPr>
    </w:p>
    <w:p>
      <w:pPr>
        <w:ind w:firstLine="4"/>
        <w:spacing w:after="0" w:line="273" w:lineRule="auto"/>
        <w:tabs>
          <w:tab w:leader="none" w:pos="131"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June 30, 2009 the employee received a grant of 1,548 SSUs, of which 516 SSUs were scheduled to be payable on June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4,644 SSUs granted on June 30, 2009 of which 1,548 SSUs became payable on June 30, 2012.</w:t>
      </w:r>
    </w:p>
    <w:p>
      <w:pPr>
        <w:spacing w:after="0" w:line="13" w:lineRule="exact"/>
        <w:rPr>
          <w:rFonts w:ascii="Arial" w:cs="Arial" w:eastAsia="Arial" w:hAnsi="Arial"/>
          <w:sz w:val="12"/>
          <w:szCs w:val="12"/>
          <w:color w:val="008000"/>
        </w:rPr>
      </w:pPr>
    </w:p>
    <w:p>
      <w:pPr>
        <w:ind w:left="140" w:hanging="136"/>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40" w:hanging="136"/>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2012.</w:t>
      </w:r>
    </w:p>
    <w:p>
      <w:pPr>
        <w:spacing w:after="0" w:line="46" w:lineRule="exact"/>
        <w:rPr>
          <w:rFonts w:ascii="Arial" w:cs="Arial" w:eastAsia="Arial" w:hAnsi="Arial"/>
          <w:sz w:val="13"/>
          <w:szCs w:val="13"/>
          <w:color w:val="008000"/>
        </w:rPr>
      </w:pPr>
    </w:p>
    <w:p>
      <w:pPr>
        <w:ind w:left="140" w:hanging="136"/>
        <w:spacing w:after="0"/>
        <w:tabs>
          <w:tab w:leader="none" w:pos="14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SSUs reported in this item are attributable nunc pro tunc to the first quarter 2012 and were granted on June 30, 2012. They will be settled in three equal, annual installments beginning March 31, 2013.</w:t>
      </w:r>
    </w:p>
    <w:p>
      <w:pPr>
        <w:spacing w:after="0" w:line="6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07/03/2012</w:t>
            </w:r>
          </w:p>
        </w:tc>
        <w:tc>
          <w:tcPr>
            <w:tcW w:w="0" w:type="dxa"/>
            <w:vAlign w:val="bottom"/>
          </w:tcPr>
          <w:p>
            <w:pPr>
              <w:spacing w:after="0"/>
              <w:rPr>
                <w:sz w:val="1"/>
                <w:szCs w:val="1"/>
                <w:color w:val="auto"/>
              </w:rPr>
            </w:pPr>
          </w:p>
        </w:tc>
      </w:tr>
      <w:tr>
        <w:trPr>
          <w:trHeight w:val="85"/>
        </w:trPr>
        <w:tc>
          <w:tcPr>
            <w:tcW w:w="126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5"/>
              </w:rPr>
              <w:t>fact for Mr. Ardila</w:t>
            </w:r>
          </w:p>
        </w:tc>
        <w:tc>
          <w:tcPr>
            <w:tcW w:w="7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60" w:type="dxa"/>
            <w:vAlign w:val="bottom"/>
            <w:tcBorders>
              <w:top w:val="single" w:sz="8" w:color="auto"/>
              <w:bottom w:val="single" w:sz="8" w:color="auto"/>
            </w:tcBorders>
            <w:vMerge w:val="continue"/>
          </w:tcPr>
          <w:p>
            <w:pPr>
              <w:spacing w:after="0"/>
              <w:rPr>
                <w:sz w:val="7"/>
                <w:szCs w:val="7"/>
                <w:color w:val="auto"/>
              </w:rPr>
            </w:pPr>
          </w:p>
        </w:tc>
        <w:tc>
          <w:tcPr>
            <w:tcW w:w="7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3660" w:firstLine="4"/>
        <w:spacing w:after="0" w:line="313" w:lineRule="auto"/>
        <w:tabs>
          <w:tab w:leader="none" w:pos="138"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3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2019-12-17T01:37:33Z</dcterms:created>
  <dcterms:modified xsi:type="dcterms:W3CDTF">2019-12-17T01:37:33Z</dcterms:modified>
</cp:coreProperties>
</file>