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581025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62"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8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28"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Pursuant to Section 13 or 15(d) of</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7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January 31, 2023</w:t>
      </w:r>
    </w:p>
    <w:p>
      <w:pPr>
        <w:spacing w:after="0" w:line="25"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34"/>
          <w:szCs w:val="34"/>
          <w:b w:val="1"/>
          <w:bCs w:val="1"/>
          <w:color w:val="auto"/>
        </w:rPr>
        <w:t>GENERAL MOTORS COMPANY</w:t>
      </w:r>
    </w:p>
    <w:p>
      <w:pPr>
        <w:spacing w:after="0" w:line="1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ectPr>
          <w:pgSz w:w="11900" w:h="16838" w:orient="portrait"/>
          <w:cols w:equalWidth="0" w:num="1">
            <w:col w:w="11040"/>
          </w:cols>
          <w:pgMar w:left="300" w:top="1178" w:right="559" w:bottom="1440" w:gutter="0" w:footer="0" w:header="0"/>
        </w:sectPr>
      </w:pPr>
    </w:p>
    <w:p>
      <w:pPr>
        <w:spacing w:after="0" w:line="96"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3"/>
          <w:szCs w:val="13"/>
          <w:b w:val="1"/>
          <w:bCs w:val="1"/>
          <w:color w:val="auto"/>
        </w:rPr>
        <w:t>001-34960</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27-0756180</w:t>
      </w:r>
    </w:p>
    <w:p>
      <w:pPr>
        <w:spacing w:after="0" w:line="53" w:lineRule="exact"/>
        <w:rPr>
          <w:sz w:val="24"/>
          <w:szCs w:val="24"/>
          <w:color w:val="auto"/>
        </w:rPr>
      </w:pPr>
    </w:p>
    <w:p>
      <w:pPr>
        <w:sectPr>
          <w:pgSz w:w="11900" w:h="16838" w:orient="portrait"/>
          <w:cols w:equalWidth="0" w:num="3">
            <w:col w:w="4780" w:space="720"/>
            <w:col w:w="2820" w:space="720"/>
            <w:col w:w="2000"/>
          </w:cols>
          <w:pgMar w:left="300" w:top="1178" w:right="5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34" w:lineRule="exact"/>
        <w:rPr>
          <w:sz w:val="24"/>
          <w:szCs w:val="24"/>
          <w:color w:val="auto"/>
        </w:rPr>
      </w:pPr>
    </w:p>
    <w:p>
      <w:pPr>
        <w:sectPr>
          <w:pgSz w:w="11900" w:h="16838" w:orient="portrait"/>
          <w:cols w:equalWidth="0" w:num="3">
            <w:col w:w="4300" w:space="720"/>
            <w:col w:w="2620" w:space="720"/>
            <w:col w:w="2680"/>
          </w:cols>
          <w:pgMar w:left="300" w:top="1178"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Times New Roman" w:cs="Times New Roman" w:eastAsia="Times New Roman" w:hAnsi="Times New Roman"/>
          <w:sz w:val="14"/>
          <w:szCs w:val="14"/>
          <w:b w:val="1"/>
          <w:bCs w:val="1"/>
          <w:color w:val="auto"/>
        </w:rPr>
        <w:t>300 Renaissance Center,</w:t>
      </w:r>
      <w:r>
        <w:rPr>
          <w:sz w:val="20"/>
          <w:szCs w:val="20"/>
          <w:color w:val="auto"/>
        </w:rPr>
        <w:tab/>
      </w:r>
      <w:r>
        <w:rPr>
          <w:rFonts w:ascii="Times New Roman" w:cs="Times New Roman" w:eastAsia="Times New Roman" w:hAnsi="Times New Roman"/>
          <w:sz w:val="14"/>
          <w:szCs w:val="14"/>
          <w:b w:val="1"/>
          <w:bCs w:val="1"/>
          <w:color w:val="auto"/>
        </w:rPr>
        <w:t>Detroit,</w:t>
      </w:r>
      <w:r>
        <w:rPr>
          <w:sz w:val="20"/>
          <w:szCs w:val="20"/>
          <w:color w:val="auto"/>
        </w:rPr>
        <w:tab/>
      </w:r>
      <w:r>
        <w:rPr>
          <w:rFonts w:ascii="Times New Roman" w:cs="Times New Roman" w:eastAsia="Times New Roman" w:hAnsi="Times New Roman"/>
          <w:sz w:val="14"/>
          <w:szCs w:val="14"/>
          <w:b w:val="1"/>
          <w:bCs w:val="1"/>
          <w:color w:val="auto"/>
        </w:rPr>
        <w:t>Michigan</w:t>
      </w:r>
    </w:p>
    <w:p>
      <w:pPr>
        <w:spacing w:after="0" w:line="25" w:lineRule="exact"/>
        <w:rPr>
          <w:sz w:val="24"/>
          <w:szCs w:val="24"/>
          <w:color w:val="auto"/>
        </w:rPr>
      </w:pPr>
    </w:p>
    <w:p>
      <w:pPr>
        <w:jc w:val="right"/>
        <w:ind w:right="340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Times New Roman" w:cs="Times New Roman" w:eastAsia="Times New Roman" w:hAnsi="Times New Roman"/>
          <w:sz w:val="13"/>
          <w:szCs w:val="13"/>
          <w:b w:val="1"/>
          <w:bCs w:val="1"/>
          <w:color w:val="auto"/>
        </w:rPr>
        <w:t>48265 -3000</w:t>
      </w:r>
    </w:p>
    <w:p>
      <w:pPr>
        <w:spacing w:after="0" w:line="37" w:lineRule="exact"/>
        <w:rPr>
          <w:sz w:val="24"/>
          <w:szCs w:val="24"/>
          <w:color w:val="auto"/>
        </w:rPr>
      </w:pPr>
    </w:p>
    <w:p>
      <w:pPr>
        <w:jc w:val="right"/>
        <w:ind w:right="2000"/>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178" w:right="559" w:bottom="1440" w:gutter="0" w:footer="0" w:header="0"/>
          <w:type w:val="continuous"/>
        </w:sectPr>
      </w:pPr>
    </w:p>
    <w:p>
      <w:pPr>
        <w:spacing w:after="0" w:line="6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(313) 667-1500</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8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7"/>
          <w:szCs w:val="17"/>
          <w:color w:val="auto"/>
        </w:rPr>
        <w:t>__________________</w:t>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5"/>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Times New Roman" w:cs="Times New Roman" w:eastAsia="Times New Roman" w:hAnsi="Times New Roman"/>
                <w:sz w:val="13"/>
                <w:szCs w:val="13"/>
                <w:color w:val="auto"/>
                <w:w w:val="98"/>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70"/>
        </w:trPr>
        <w:tc>
          <w:tcPr>
            <w:tcW w:w="360" w:type="dxa"/>
            <w:vAlign w:val="bottom"/>
          </w:tcPr>
          <w:p>
            <w:pPr>
              <w:spacing w:after="0"/>
              <w:rPr>
                <w:sz w:val="23"/>
                <w:szCs w:val="23"/>
                <w:color w:val="auto"/>
              </w:rPr>
            </w:pPr>
          </w:p>
        </w:tc>
        <w:tc>
          <w:tcPr>
            <w:tcW w:w="178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1460" w:type="dxa"/>
            <w:vAlign w:val="bottom"/>
          </w:tcPr>
          <w:p>
            <w:pPr>
              <w:spacing w:after="0"/>
              <w:rPr>
                <w:sz w:val="23"/>
                <w:szCs w:val="23"/>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600" w:type="dxa"/>
            <w:vAlign w:val="bottom"/>
            <w:gridSpan w:val="2"/>
          </w:tcPr>
          <w:p>
            <w:pPr>
              <w:jc w:val="center"/>
              <w:ind w:left="276"/>
              <w:spacing w:after="0"/>
              <w:rPr>
                <w:sz w:val="20"/>
                <w:szCs w:val="20"/>
                <w:color w:val="auto"/>
              </w:rPr>
            </w:pPr>
            <w:r>
              <w:rPr>
                <w:rFonts w:ascii="Times New Roman" w:cs="Times New Roman" w:eastAsia="Times New Roman" w:hAnsi="Times New Roman"/>
                <w:sz w:val="13"/>
                <w:szCs w:val="13"/>
                <w:color w:val="auto"/>
                <w:w w:val="98"/>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color w:val="auto"/>
                <w:w w:val="97"/>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Times New Roman" w:cs="Times New Roman" w:eastAsia="Times New Roman" w:hAnsi="Times New Roman"/>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New York Stock Exchange</w:t>
            </w:r>
          </w:p>
        </w:tc>
      </w:tr>
    </w:tbl>
    <w:p>
      <w:pPr>
        <w:spacing w:after="0" w:line="163" w:lineRule="exact"/>
        <w:rPr>
          <w:sz w:val="24"/>
          <w:szCs w:val="24"/>
          <w:color w:val="auto"/>
        </w:rPr>
      </w:pPr>
    </w:p>
    <w:p>
      <w:pPr>
        <w:ind w:right="52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39" w:lineRule="exact"/>
        <w:rPr>
          <w:sz w:val="24"/>
          <w:szCs w:val="24"/>
          <w:color w:val="auto"/>
        </w:rPr>
      </w:pPr>
    </w:p>
    <w:p>
      <w:pPr>
        <w:spacing w:after="0" w:line="169"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574675</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88900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178" w:right="5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On January 31, 2023, General Motors Company (GM) issued a news release and supplemental materials on the subject of its 2022 fourth quarter and full year consolidated earnings. The news release and supplemental materials are attached as Exhibit 99.1 and Exhibit 99.2.</w:t>
      </w:r>
    </w:p>
    <w:p>
      <w:pPr>
        <w:spacing w:after="0" w:line="145" w:lineRule="exact"/>
        <w:rPr>
          <w:sz w:val="20"/>
          <w:szCs w:val="20"/>
          <w:color w:val="auto"/>
        </w:rPr>
      </w:pPr>
    </w:p>
    <w:p>
      <w:pPr>
        <w:ind w:firstLine="127"/>
        <w:spacing w:after="0" w:line="287" w:lineRule="auto"/>
        <w:rPr>
          <w:sz w:val="20"/>
          <w:szCs w:val="20"/>
          <w:color w:val="auto"/>
        </w:rPr>
      </w:pPr>
      <w:r>
        <w:rPr>
          <w:rFonts w:ascii="Times New Roman" w:cs="Times New Roman" w:eastAsia="Times New Roman" w:hAnsi="Times New Roman"/>
          <w:sz w:val="14"/>
          <w:szCs w:val="14"/>
          <w:color w:val="auto"/>
        </w:rPr>
        <w:t>Charts furnished to securities analysts in connection with GM's 2022 fourth quarter and full year consolidated earnings release are available on GM's website at www.gm.com/investors/earnings-releases.html.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r>
      <w:tr>
        <w:trPr>
          <w:trHeight w:val="182"/>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4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c>
          <w:tcPr>
            <w:tcW w:w="600" w:type="dxa"/>
            <w:vAlign w:val="bottom"/>
            <w:tcBorders>
              <w:top w:val="single" w:sz="8" w:color="auto"/>
            </w:tcBorders>
            <w:gridSpan w:val="2"/>
          </w:tcPr>
          <w:p>
            <w:pPr>
              <w:spacing w:after="0"/>
              <w:rPr>
                <w:sz w:val="15"/>
                <w:szCs w:val="15"/>
                <w:color w:val="auto"/>
              </w:rPr>
            </w:pPr>
          </w:p>
        </w:tc>
        <w:tc>
          <w:tcPr>
            <w:tcW w:w="53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373"/>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99.1</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News Release Dated January 31, 2023</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99.2</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0000FF"/>
              </w:rPr>
              <w:t>Financial Highlights Dated January 31, 2023</w:t>
            </w:r>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104</w:t>
            </w:r>
          </w:p>
        </w:tc>
        <w:tc>
          <w:tcPr>
            <w:tcW w:w="84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957"/>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0" w:lineRule="exact"/>
        <w:rPr>
          <w:sz w:val="20"/>
          <w:szCs w:val="20"/>
          <w:color w:val="auto"/>
        </w:rPr>
      </w:pPr>
    </w:p>
    <w:p>
      <w:pPr>
        <w:spacing w:after="0" w:line="38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Times New Roman" w:cs="Times New Roman" w:eastAsia="Times New Roman" w:hAnsi="Times New Roman"/>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Date: January 31, 2023</w:t>
            </w:r>
          </w:p>
        </w:tc>
        <w:tc>
          <w:tcPr>
            <w:tcW w:w="5140" w:type="dxa"/>
            <w:vAlign w:val="bottom"/>
          </w:tcPr>
          <w:p>
            <w:pPr>
              <w:ind w:left="20"/>
              <w:spacing w:after="0" w:line="129" w:lineRule="exact"/>
              <w:rPr>
                <w:sz w:val="20"/>
                <w:szCs w:val="20"/>
                <w:color w:val="auto"/>
              </w:rPr>
            </w:pPr>
            <w:r>
              <w:rPr>
                <w:rFonts w:ascii="Times New Roman" w:cs="Times New Roman" w:eastAsia="Times New Roman" w:hAnsi="Times New Roman"/>
                <w:sz w:val="14"/>
                <w:szCs w:val="14"/>
                <w:color w:val="auto"/>
              </w:rPr>
              <w:t>Christopher T. Hatto, Vice President, Global Business Solutions and Chief Accounting</w:t>
            </w:r>
          </w:p>
        </w:tc>
      </w:tr>
      <w:tr>
        <w:trPr>
          <w:trHeight w:val="184"/>
        </w:trPr>
        <w:tc>
          <w:tcPr>
            <w:tcW w:w="60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Officer</w:t>
            </w:r>
          </w:p>
        </w:tc>
      </w:tr>
    </w:tbl>
    <w:p>
      <w:pPr>
        <w:sectPr>
          <w:pgSz w:w="11900" w:h="16838" w:orient="portrait"/>
          <w:cols w:equalWidth="0" w:num="1">
            <w:col w:w="11220"/>
          </w:cols>
          <w:pgMar w:left="340" w:top="91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color w:val="auto"/>
        </w:rPr>
        <w:t>Exhibit 99.2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jc w:val="center"/>
        <w:spacing w:after="0" w:line="208" w:lineRule="auto"/>
        <w:rPr>
          <w:sz w:val="20"/>
          <w:szCs w:val="20"/>
          <w:color w:val="auto"/>
        </w:rPr>
      </w:pPr>
      <w:r>
        <w:rPr>
          <w:rFonts w:ascii="Arial" w:cs="Arial" w:eastAsia="Arial" w:hAnsi="Arial"/>
          <w:sz w:val="13"/>
          <w:szCs w:val="13"/>
          <w:b w:val="1"/>
          <w:bCs w:val="1"/>
          <w:color w:val="auto"/>
        </w:rPr>
        <w:t>Supplemental Material</w:t>
      </w:r>
      <w:r>
        <w:rPr>
          <w:rFonts w:ascii="Arial" w:cs="Arial" w:eastAsia="Arial" w:hAnsi="Arial"/>
          <w:sz w:val="16"/>
          <w:szCs w:val="16"/>
          <w:b w:val="1"/>
          <w:bCs w:val="1"/>
          <w:color w:val="auto"/>
          <w:vertAlign w:val="superscript"/>
        </w:rPr>
        <w:t>1</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05" w:lineRule="exact"/>
        <w:rPr>
          <w:sz w:val="20"/>
          <w:szCs w:val="20"/>
          <w:color w:val="auto"/>
        </w:rPr>
      </w:pPr>
    </w:p>
    <w:p>
      <w:pPr>
        <w:jc w:val="both"/>
        <w:ind w:firstLine="127"/>
        <w:spacing w:after="0" w:line="254"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64"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9" w:lineRule="exact"/>
        <w:rPr>
          <w:sz w:val="20"/>
          <w:szCs w:val="20"/>
          <w:color w:val="auto"/>
        </w:rPr>
      </w:pPr>
    </w:p>
    <w:p>
      <w:pPr>
        <w:jc w:val="both"/>
        <w:ind w:firstLine="127"/>
        <w:spacing w:after="0" w:line="250"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certain costs arising from legal matters.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8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76"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65"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70" w:lineRule="exact"/>
        <w:rPr>
          <w:sz w:val="20"/>
          <w:szCs w:val="20"/>
          <w:color w:val="auto"/>
        </w:rPr>
      </w:pPr>
    </w:p>
    <w:p>
      <w:pPr>
        <w:jc w:val="both"/>
        <w:ind w:firstLine="127"/>
        <w:spacing w:after="0" w:line="253"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________</w:t>
      </w:r>
    </w:p>
    <w:p>
      <w:pPr>
        <w:spacing w:after="0" w:line="172" w:lineRule="exact"/>
        <w:rPr>
          <w:sz w:val="20"/>
          <w:szCs w:val="20"/>
          <w:color w:val="auto"/>
        </w:rPr>
      </w:pPr>
    </w:p>
    <w:p>
      <w:pPr>
        <w:ind w:left="80" w:hanging="75"/>
        <w:spacing w:after="0"/>
        <w:tabs>
          <w:tab w:leader="none" w:pos="80" w:val="left"/>
        </w:tabs>
        <w:numPr>
          <w:ilvl w:val="0"/>
          <w:numId w:val="2"/>
        </w:numPr>
        <w:rPr>
          <w:rFonts w:ascii="Arial" w:cs="Arial" w:eastAsia="Arial" w:hAnsi="Arial"/>
          <w:sz w:val="17"/>
          <w:szCs w:val="17"/>
          <w:color w:val="auto"/>
          <w:vertAlign w:val="superscript"/>
        </w:rPr>
      </w:pPr>
      <w:r>
        <w:rPr>
          <w:rFonts w:ascii="Arial" w:cs="Arial" w:eastAsia="Arial" w:hAnsi="Arial"/>
          <w:sz w:val="13"/>
          <w:szCs w:val="13"/>
          <w:color w:val="auto"/>
        </w:rPr>
        <w:t>Certain columns and rows may not add due to rounding.</w:t>
      </w:r>
    </w:p>
    <w:p>
      <w:pPr>
        <w:spacing w:after="0" w:line="200" w:lineRule="exact"/>
        <w:rPr>
          <w:sz w:val="20"/>
          <w:szCs w:val="20"/>
          <w:color w:val="auto"/>
        </w:rPr>
      </w:pPr>
    </w:p>
    <w:p>
      <w:pPr>
        <w:spacing w:after="0" w:line="269"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22"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segment profit (loss)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5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80" w:type="dxa"/>
            <w:vAlign w:val="bottom"/>
            <w:gridSpan w:val="5"/>
          </w:tcPr>
          <w:p>
            <w:pPr>
              <w:ind w:left="78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2"/>
                <w:szCs w:val="12"/>
                <w:color w:val="auto"/>
              </w:rPr>
            </w:pPr>
          </w:p>
        </w:tc>
        <w:tc>
          <w:tcPr>
            <w:tcW w:w="2680" w:type="dxa"/>
            <w:vAlign w:val="bottom"/>
            <w:gridSpan w:val="4"/>
          </w:tcPr>
          <w:p>
            <w:pPr>
              <w:jc w:val="right"/>
              <w:ind w:right="1057"/>
              <w:spacing w:after="0"/>
              <w:rPr>
                <w:sz w:val="20"/>
                <w:szCs w:val="20"/>
                <w:color w:val="auto"/>
              </w:rPr>
            </w:pPr>
            <w:r>
              <w:rPr>
                <w:rFonts w:ascii="Arial" w:cs="Arial" w:eastAsia="Arial" w:hAnsi="Arial"/>
                <w:sz w:val="10"/>
                <w:szCs w:val="10"/>
                <w:b w:val="1"/>
                <w:bCs w:val="1"/>
                <w:color w:val="auto"/>
              </w:rPr>
              <w:t>Years Ended</w:t>
            </w:r>
          </w:p>
        </w:tc>
      </w:tr>
      <w:tr>
        <w:trPr>
          <w:trHeight w:val="131"/>
        </w:trPr>
        <w:tc>
          <w:tcPr>
            <w:tcW w:w="5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2022</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2022</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December 31, 2021</w:t>
            </w:r>
          </w:p>
        </w:tc>
      </w:tr>
      <w:tr>
        <w:trPr>
          <w:trHeight w:val="16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stockholders(a)</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9,934</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10,019</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2,771</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r>
      <w:tr>
        <w:trPr>
          <w:trHeight w:val="169"/>
        </w:trPr>
        <w:tc>
          <w:tcPr>
            <w:tcW w:w="54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7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69"/>
        </w:trPr>
        <w:tc>
          <w:tcPr>
            <w:tcW w:w="5440" w:type="dxa"/>
            <w:vAlign w:val="bottom"/>
          </w:tcPr>
          <w:p>
            <w:pPr>
              <w:ind w:left="100"/>
              <w:spacing w:after="0"/>
              <w:rPr>
                <w:sz w:val="20"/>
                <w:szCs w:val="20"/>
                <w:color w:val="auto"/>
              </w:rPr>
            </w:pPr>
            <w:r>
              <w:rPr>
                <w:rFonts w:ascii="Arial" w:cs="Arial" w:eastAsia="Arial" w:hAnsi="Arial"/>
                <w:sz w:val="13"/>
                <w:szCs w:val="13"/>
                <w:color w:val="auto"/>
              </w:rPr>
              <w:t>Cruise compensation modifications(b)</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Russia exit(c)</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5440" w:type="dxa"/>
            <w:vAlign w:val="bottom"/>
          </w:tcPr>
          <w:p>
            <w:pPr>
              <w:ind w:left="100"/>
              <w:spacing w:after="0"/>
              <w:rPr>
                <w:sz w:val="20"/>
                <w:szCs w:val="20"/>
                <w:color w:val="auto"/>
              </w:rPr>
            </w:pPr>
            <w:r>
              <w:rPr>
                <w:rFonts w:ascii="Arial" w:cs="Arial" w:eastAsia="Arial" w:hAnsi="Arial"/>
                <w:sz w:val="13"/>
                <w:szCs w:val="13"/>
                <w:color w:val="auto"/>
              </w:rPr>
              <w:t>Buick dealer strategy(d)</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Patent royalty matters(e)</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r>
      <w:tr>
        <w:trPr>
          <w:trHeight w:val="169"/>
        </w:trPr>
        <w:tc>
          <w:tcPr>
            <w:tcW w:w="5440" w:type="dxa"/>
            <w:vAlign w:val="bottom"/>
          </w:tcPr>
          <w:p>
            <w:pPr>
              <w:ind w:left="100"/>
              <w:spacing w:after="0"/>
              <w:rPr>
                <w:sz w:val="20"/>
                <w:szCs w:val="20"/>
                <w:color w:val="auto"/>
              </w:rPr>
            </w:pPr>
            <w:r>
              <w:rPr>
                <w:rFonts w:ascii="Arial" w:cs="Arial" w:eastAsia="Arial" w:hAnsi="Arial"/>
                <w:sz w:val="13"/>
                <w:szCs w:val="13"/>
                <w:color w:val="auto"/>
              </w:rPr>
              <w:t>GM Brazil indirect tax matters(f)</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194</w:t>
            </w:r>
          </w:p>
        </w:tc>
      </w:tr>
      <w:tr>
        <w:trPr>
          <w:trHeight w:val="171"/>
        </w:trPr>
        <w:tc>
          <w:tcPr>
            <w:tcW w:w="54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Cadillac dealer strategy(g)</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r>
      <w:tr>
        <w:trPr>
          <w:trHeight w:val="169"/>
        </w:trPr>
        <w:tc>
          <w:tcPr>
            <w:tcW w:w="5440" w:type="dxa"/>
            <w:vAlign w:val="bottom"/>
          </w:tcPr>
          <w:p>
            <w:pPr>
              <w:ind w:left="100"/>
              <w:spacing w:after="0"/>
              <w:rPr>
                <w:sz w:val="20"/>
                <w:szCs w:val="20"/>
                <w:color w:val="auto"/>
              </w:rPr>
            </w:pPr>
            <w:r>
              <w:rPr>
                <w:rFonts w:ascii="Arial" w:cs="Arial" w:eastAsia="Arial" w:hAnsi="Arial"/>
                <w:sz w:val="13"/>
                <w:szCs w:val="13"/>
                <w:color w:val="auto"/>
              </w:rPr>
              <w:t>GM Korea wage litigation(h)</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82</w:t>
            </w:r>
          </w:p>
        </w:tc>
      </w:tr>
      <w:tr>
        <w:trPr>
          <w:trHeight w:val="162"/>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w:t>
            </w:r>
          </w:p>
        </w:tc>
      </w:tr>
      <w:tr>
        <w:trPr>
          <w:trHeight w:val="15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3,799</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14,295</w:t>
            </w:r>
          </w:p>
        </w:tc>
      </w:tr>
      <w:tr>
        <w:trPr>
          <w:trHeight w:val="151"/>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segments</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9"/>
        </w:trPr>
        <w:tc>
          <w:tcPr>
            <w:tcW w:w="5440" w:type="dxa"/>
            <w:vAlign w:val="bottom"/>
          </w:tcPr>
          <w:p>
            <w:pPr>
              <w:ind w:left="120"/>
              <w:spacing w:after="0"/>
              <w:rPr>
                <w:sz w:val="20"/>
                <w:szCs w:val="20"/>
                <w:color w:val="auto"/>
              </w:rPr>
            </w:pPr>
            <w:r>
              <w:rPr>
                <w:rFonts w:ascii="Arial" w:cs="Arial" w:eastAsia="Arial" w:hAnsi="Arial"/>
                <w:sz w:val="13"/>
                <w:szCs w:val="13"/>
                <w:color w:val="auto"/>
              </w:rPr>
              <w:t>GM North America (GMNA)</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3,654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2,165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12,988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10,318</w:t>
            </w:r>
          </w:p>
        </w:tc>
      </w:tr>
      <w:tr>
        <w:trPr>
          <w:trHeight w:val="171"/>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International (GMI)</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827</w:t>
            </w:r>
          </w:p>
        </w:tc>
      </w:tr>
      <w:tr>
        <w:trPr>
          <w:trHeight w:val="169"/>
        </w:trPr>
        <w:tc>
          <w:tcPr>
            <w:tcW w:w="5440" w:type="dxa"/>
            <w:vAlign w:val="bottom"/>
          </w:tcPr>
          <w:p>
            <w:pPr>
              <w:ind w:left="120"/>
              <w:spacing w:after="0"/>
              <w:rPr>
                <w:sz w:val="20"/>
                <w:szCs w:val="20"/>
                <w:color w:val="auto"/>
              </w:rPr>
            </w:pPr>
            <w:r>
              <w:rPr>
                <w:rFonts w:ascii="Arial" w:cs="Arial" w:eastAsia="Arial" w:hAnsi="Arial"/>
                <w:sz w:val="13"/>
                <w:szCs w:val="13"/>
                <w:color w:val="auto"/>
              </w:rPr>
              <w:t>Cruise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(349)</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(1,890)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(1,196)</w:t>
            </w:r>
          </w:p>
        </w:tc>
      </w:tr>
      <w:tr>
        <w:trPr>
          <w:trHeight w:val="171"/>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Financial(i)</w:t>
            </w: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4,076</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5,036</w:t>
            </w:r>
          </w:p>
        </w:tc>
      </w:tr>
      <w:tr>
        <w:trPr>
          <w:trHeight w:val="159"/>
        </w:trPr>
        <w:tc>
          <w:tcPr>
            <w:tcW w:w="5440" w:type="dxa"/>
            <w:vAlign w:val="bottom"/>
          </w:tcPr>
          <w:p>
            <w:pPr>
              <w:ind w:left="20"/>
              <w:spacing w:after="0"/>
              <w:rPr>
                <w:sz w:val="20"/>
                <w:szCs w:val="20"/>
                <w:color w:val="auto"/>
              </w:rPr>
            </w:pPr>
            <w:r>
              <w:rPr>
                <w:rFonts w:ascii="Arial" w:cs="Arial" w:eastAsia="Arial" w:hAnsi="Arial"/>
                <w:sz w:val="13"/>
                <w:szCs w:val="13"/>
                <w:color w:val="auto"/>
              </w:rPr>
              <w:t>Total operating segments</w:t>
            </w: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3,271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16,317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14,985</w:t>
            </w:r>
          </w:p>
        </w:tc>
      </w:tr>
      <w:tr>
        <w:trPr>
          <w:trHeight w:val="170"/>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Corporate and eliminations(j)</w:t>
            </w: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(432)</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(690)</w:t>
            </w:r>
          </w:p>
        </w:tc>
      </w:tr>
      <w:tr>
        <w:trPr>
          <w:trHeight w:val="162"/>
        </w:trPr>
        <w:tc>
          <w:tcPr>
            <w:tcW w:w="5440" w:type="dxa"/>
            <w:vAlign w:val="bottom"/>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3,799</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2,839</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14,474</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14,295</w:t>
            </w:r>
          </w:p>
        </w:tc>
      </w:tr>
      <w:tr>
        <w:trPr>
          <w:trHeight w:val="20"/>
        </w:trPr>
        <w:tc>
          <w:tcPr>
            <w:tcW w:w="5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shutdown of our Russia business including the write off of our net investment and release of accumulated translation losses into earnings.</w:t>
      </w:r>
    </w:p>
    <w:p>
      <w:pPr>
        <w:spacing w:after="0" w:line="11" w:lineRule="exact"/>
        <w:rPr>
          <w:rFonts w:ascii="Arial" w:cs="Arial" w:eastAsia="Arial" w:hAnsi="Arial"/>
          <w:sz w:val="11"/>
          <w:szCs w:val="11"/>
          <w:color w:val="auto"/>
        </w:rPr>
      </w:pPr>
    </w:p>
    <w:p>
      <w:pPr>
        <w:ind w:left="320" w:hanging="251"/>
        <w:spacing w:after="0" w:line="251" w:lineRule="auto"/>
        <w:tabs>
          <w:tab w:leader="none" w:pos="31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Buick dealers out of our dealer network as part of Buick’s electric vehicle (EV) strategy. In 2023, we expect to incur additional charges as we continue to optimize our Buick dealer network. The ultimate amount of any future charges will depend on negotiations with our dealers.</w:t>
      </w: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certain royalties accrued with respect to past-year vehicle sales in 2021 and the resolution of substantially all of these matters in 2022.</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settlement with third parties relating to retrospective recoveries of indirect taxes in Brazil realized in prior periods.</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Cadillac dealers out of our dealer network as part of Cadillac's EV strategy.</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Supreme Court of the Republic of Korea (Korea Supreme Court) decisions related to our salaried workers.</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3"/>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320" w:hanging="251"/>
        <w:spacing w:after="0" w:line="284" w:lineRule="auto"/>
        <w:tabs>
          <w:tab w:leader="none" w:pos="314" w:val="left"/>
        </w:tabs>
        <w:numPr>
          <w:ilvl w:val="0"/>
          <w:numId w:val="3"/>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nonsegment-specific revenues and expenses are recorded centrally in Corporate.</w:t>
      </w:r>
    </w:p>
    <w:p>
      <w:pPr>
        <w:spacing w:after="0" w:line="200" w:lineRule="exact"/>
        <w:rPr>
          <w:sz w:val="20"/>
          <w:szCs w:val="20"/>
          <w:color w:val="auto"/>
        </w:rPr>
      </w:pPr>
    </w:p>
    <w:p>
      <w:pPr>
        <w:spacing w:after="0" w:line="25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702"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Net income attributable to stockholders under U.S. GAAP to EBIT-adjusted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8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Years Ended December 31,</w:t>
            </w: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r>
      <w:tr>
        <w:trPr>
          <w:trHeight w:val="131"/>
        </w:trPr>
        <w:tc>
          <w:tcPr>
            <w:tcW w:w="68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0"/>
                <w:szCs w:val="10"/>
                <w:b w:val="1"/>
                <w:bCs w:val="1"/>
                <w:color w:val="auto"/>
              </w:rPr>
              <w:t>2022</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558"/>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537"/>
              <w:spacing w:after="0"/>
              <w:rPr>
                <w:sz w:val="20"/>
                <w:szCs w:val="20"/>
                <w:color w:val="auto"/>
              </w:rPr>
            </w:pPr>
            <w:r>
              <w:rPr>
                <w:rFonts w:ascii="Arial" w:cs="Arial" w:eastAsia="Arial" w:hAnsi="Arial"/>
                <w:sz w:val="10"/>
                <w:szCs w:val="10"/>
                <w:b w:val="1"/>
                <w:bCs w:val="1"/>
                <w:color w:val="auto"/>
              </w:rPr>
              <w:t>2020</w:t>
            </w:r>
          </w:p>
        </w:tc>
      </w:tr>
      <w:tr>
        <w:trPr>
          <w:trHeight w:val="162"/>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attributable to stockholders</w:t>
            </w:r>
          </w:p>
        </w:tc>
        <w:tc>
          <w:tcPr>
            <w:tcW w:w="900" w:type="dxa"/>
            <w:vAlign w:val="bottom"/>
            <w:shd w:val="clear" w:color="auto" w:fill="CCEEFF"/>
          </w:tcPr>
          <w:p>
            <w:pPr>
              <w:jc w:val="right"/>
              <w:ind w:right="761"/>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Income tax expense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1,888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2,771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1,774</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r>
      <w:tr>
        <w:trPr>
          <w:trHeight w:val="169"/>
        </w:trPr>
        <w:tc>
          <w:tcPr>
            <w:tcW w:w="68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(241)</w:t>
            </w:r>
          </w:p>
        </w:tc>
      </w:tr>
      <w:tr>
        <w:trPr>
          <w:trHeight w:val="171"/>
        </w:trPr>
        <w:tc>
          <w:tcPr>
            <w:tcW w:w="68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69"/>
        </w:trPr>
        <w:tc>
          <w:tcPr>
            <w:tcW w:w="6800" w:type="dxa"/>
            <w:vAlign w:val="bottom"/>
          </w:tcPr>
          <w:p>
            <w:pPr>
              <w:ind w:left="100"/>
              <w:spacing w:after="0"/>
              <w:rPr>
                <w:sz w:val="20"/>
                <w:szCs w:val="20"/>
                <w:color w:val="auto"/>
              </w:rPr>
            </w:pPr>
            <w:r>
              <w:rPr>
                <w:rFonts w:ascii="Arial" w:cs="Arial" w:eastAsia="Arial" w:hAnsi="Arial"/>
                <w:sz w:val="13"/>
                <w:szCs w:val="13"/>
                <w:color w:val="auto"/>
              </w:rPr>
              <w:t>Cruise compensation modifications(a)</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Russia exit(b)</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00" w:type="dxa"/>
            <w:vAlign w:val="bottom"/>
          </w:tcPr>
          <w:p>
            <w:pPr>
              <w:ind w:left="100"/>
              <w:spacing w:after="0"/>
              <w:rPr>
                <w:sz w:val="20"/>
                <w:szCs w:val="20"/>
                <w:color w:val="auto"/>
              </w:rPr>
            </w:pPr>
            <w:r>
              <w:rPr>
                <w:rFonts w:ascii="Arial" w:cs="Arial" w:eastAsia="Arial" w:hAnsi="Arial"/>
                <w:sz w:val="13"/>
                <w:szCs w:val="13"/>
                <w:color w:val="auto"/>
              </w:rPr>
              <w:t>Buick dealer strategy(c)</w:t>
            </w:r>
          </w:p>
        </w:tc>
        <w:tc>
          <w:tcPr>
            <w:tcW w:w="9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Patent royalty matters(d)</w:t>
            </w:r>
          </w:p>
        </w:tc>
        <w:tc>
          <w:tcPr>
            <w:tcW w:w="9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800" w:type="dxa"/>
            <w:vAlign w:val="bottom"/>
          </w:tcPr>
          <w:p>
            <w:pPr>
              <w:ind w:left="100"/>
              <w:spacing w:after="0"/>
              <w:rPr>
                <w:sz w:val="20"/>
                <w:szCs w:val="20"/>
                <w:color w:val="auto"/>
              </w:rPr>
            </w:pPr>
            <w:r>
              <w:rPr>
                <w:rFonts w:ascii="Arial" w:cs="Arial" w:eastAsia="Arial" w:hAnsi="Arial"/>
                <w:sz w:val="13"/>
                <w:szCs w:val="13"/>
                <w:color w:val="auto"/>
              </w:rPr>
              <w:t>GM Brazil indirect tax matters(e)</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Cadillac dealer strategy(f)</w:t>
            </w:r>
          </w:p>
        </w:tc>
        <w:tc>
          <w:tcPr>
            <w:tcW w:w="9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r>
      <w:tr>
        <w:trPr>
          <w:trHeight w:val="169"/>
        </w:trPr>
        <w:tc>
          <w:tcPr>
            <w:tcW w:w="6800" w:type="dxa"/>
            <w:vAlign w:val="bottom"/>
          </w:tcPr>
          <w:p>
            <w:pPr>
              <w:ind w:left="100"/>
              <w:spacing w:after="0"/>
              <w:rPr>
                <w:sz w:val="20"/>
                <w:szCs w:val="20"/>
                <w:color w:val="auto"/>
              </w:rPr>
            </w:pPr>
            <w:r>
              <w:rPr>
                <w:rFonts w:ascii="Arial" w:cs="Arial" w:eastAsia="Arial" w:hAnsi="Arial"/>
                <w:sz w:val="13"/>
                <w:szCs w:val="13"/>
                <w:color w:val="auto"/>
              </w:rPr>
              <w:t>GM Korea wage litigation(g)</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8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GMI restructuring(h)</w:t>
            </w:r>
          </w:p>
        </w:tc>
        <w:tc>
          <w:tcPr>
            <w:tcW w:w="9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r>
      <w:tr>
        <w:trPr>
          <w:trHeight w:val="169"/>
        </w:trPr>
        <w:tc>
          <w:tcPr>
            <w:tcW w:w="6800" w:type="dxa"/>
            <w:vAlign w:val="bottom"/>
          </w:tcPr>
          <w:p>
            <w:pPr>
              <w:ind w:left="100"/>
              <w:spacing w:after="0"/>
              <w:rPr>
                <w:sz w:val="20"/>
                <w:szCs w:val="20"/>
                <w:color w:val="auto"/>
              </w:rPr>
            </w:pPr>
            <w:r>
              <w:rPr>
                <w:rFonts w:ascii="Arial" w:cs="Arial" w:eastAsia="Arial" w:hAnsi="Arial"/>
                <w:sz w:val="13"/>
                <w:szCs w:val="13"/>
                <w:color w:val="auto"/>
              </w:rPr>
              <w:t>Ignition switch recall and related legal matters(i)</w:t>
            </w:r>
          </w:p>
        </w:tc>
        <w:tc>
          <w:tcPr>
            <w:tcW w:w="9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(130)</w:t>
            </w:r>
          </w:p>
        </w:tc>
      </w:tr>
      <w:tr>
        <w:trPr>
          <w:trHeight w:val="160"/>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90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r>
      <w:tr>
        <w:trPr>
          <w:trHeight w:val="162"/>
        </w:trPr>
        <w:tc>
          <w:tcPr>
            <w:tcW w:w="6800" w:type="dxa"/>
            <w:vAlign w:val="bottom"/>
          </w:tcPr>
          <w:p>
            <w:pPr>
              <w:ind w:left="20"/>
              <w:spacing w:after="0"/>
              <w:rPr>
                <w:sz w:val="20"/>
                <w:szCs w:val="20"/>
                <w:color w:val="auto"/>
              </w:rPr>
            </w:pPr>
            <w:r>
              <w:rPr>
                <w:rFonts w:ascii="Arial" w:cs="Arial" w:eastAsia="Arial" w:hAnsi="Arial"/>
                <w:sz w:val="13"/>
                <w:szCs w:val="13"/>
                <w:color w:val="auto"/>
              </w:rPr>
              <w:t>EBIT-adjusted</w:t>
            </w:r>
          </w:p>
        </w:tc>
        <w:tc>
          <w:tcPr>
            <w:tcW w:w="900" w:type="dxa"/>
            <w:vAlign w:val="bottom"/>
            <w:tcBorders>
              <w:bottom w:val="single" w:sz="8" w:color="auto"/>
            </w:tcBorders>
          </w:tcPr>
          <w:p>
            <w:pPr>
              <w:jc w:val="right"/>
              <w:ind w:right="761"/>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14,474</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14,295</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9,710</w:t>
            </w:r>
          </w:p>
        </w:tc>
      </w:tr>
      <w:tr>
        <w:trPr>
          <w:trHeight w:val="20"/>
        </w:trPr>
        <w:tc>
          <w:tcPr>
            <w:tcW w:w="68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one-time modification of Cruise stock incentive awards.</w:t>
      </w: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the shutdown of our Russia business including the write off of our net investment and release of accumulated translation losses into earnings.</w:t>
      </w:r>
    </w:p>
    <w:p>
      <w:pPr>
        <w:spacing w:after="0" w:line="11" w:lineRule="exact"/>
        <w:rPr>
          <w:rFonts w:ascii="Arial" w:cs="Arial" w:eastAsia="Arial" w:hAnsi="Arial"/>
          <w:sz w:val="11"/>
          <w:szCs w:val="11"/>
          <w:color w:val="auto"/>
        </w:rPr>
      </w:pPr>
    </w:p>
    <w:p>
      <w:pPr>
        <w:ind w:left="320" w:hanging="251"/>
        <w:spacing w:after="0" w:line="261" w:lineRule="auto"/>
        <w:tabs>
          <w:tab w:leader="none" w:pos="314"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Buick dealers out of our dealer network as part of Buick’s EV strategy. In 2023, we expect to incur additional charges as we continue to optimize our Buick dealer network. The ultimate amount of any future charges will depend on negotiations with our dealers.</w:t>
      </w: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certain royalties accrued with respect to past-year vehicle sales in 2021 and the resolution of substantially all of these matters in 2022.</w:t>
      </w: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a settlement with third parties relating to retrospective recoveries of indirect taxes in Brazil realized in prior periods.</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These adjustments were excluded because they relate to strategic activities to transition certain Cadillac dealers out of our dealer network as part of Cadillac's EV strategy.</w:t>
      </w:r>
    </w:p>
    <w:p>
      <w:pPr>
        <w:spacing w:after="0" w:line="11" w:lineRule="exact"/>
        <w:rPr>
          <w:rFonts w:ascii="Arial" w:cs="Arial" w:eastAsia="Arial" w:hAnsi="Arial"/>
          <w:sz w:val="11"/>
          <w:szCs w:val="11"/>
          <w:color w:val="auto"/>
        </w:rPr>
      </w:pP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Supreme Court of the Republic of Korea (Korea Supreme Court) decisions related to our salaried workers.</w:t>
      </w:r>
    </w:p>
    <w:p>
      <w:pPr>
        <w:spacing w:after="0" w:line="11" w:lineRule="exact"/>
        <w:rPr>
          <w:rFonts w:ascii="Arial" w:cs="Arial" w:eastAsia="Arial" w:hAnsi="Arial"/>
          <w:sz w:val="11"/>
          <w:szCs w:val="11"/>
          <w:color w:val="auto"/>
        </w:rPr>
      </w:pPr>
    </w:p>
    <w:p>
      <w:pPr>
        <w:ind w:left="320" w:hanging="251"/>
        <w:spacing w:after="0" w:line="251" w:lineRule="auto"/>
        <w:tabs>
          <w:tab w:leader="none" w:pos="31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a strategic decision to rationalize our core operations by exiting or significantly reducing our presence in various international markets to focus resources on opportunities expected to deliver higher returns. The adjustments primarily consist of dealer restructurings, asset impairments, inventory provisions and employee separation charges in Australia, New Zealand, Thailand and India.</w:t>
      </w:r>
    </w:p>
    <w:p>
      <w:pPr>
        <w:ind w:left="320" w:hanging="251"/>
        <w:spacing w:after="0"/>
        <w:tabs>
          <w:tab w:leader="none" w:pos="32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80"/>
          </w:cols>
          <w:pgMar w:left="300" w:top="702"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2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per common share under U.S. GAAP to EPS-diluted-adjusted (dollars in millions, except per share amounts):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39"/>
        </w:trPr>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5"/>
          </w:tcPr>
          <w:p>
            <w:pPr>
              <w:ind w:left="460"/>
              <w:spacing w:after="0"/>
              <w:rPr>
                <w:sz w:val="20"/>
                <w:szCs w:val="20"/>
                <w:color w:val="auto"/>
              </w:rPr>
            </w:pPr>
            <w:r>
              <w:rPr>
                <w:rFonts w:ascii="Arial" w:cs="Arial" w:eastAsia="Arial" w:hAnsi="Arial"/>
                <w:sz w:val="10"/>
                <w:szCs w:val="10"/>
                <w:b w:val="1"/>
                <w:bCs w:val="1"/>
                <w:color w:val="auto"/>
              </w:rPr>
              <w:t>Years Ended</w:t>
            </w: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31"/>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2022</w:t>
            </w:r>
          </w:p>
        </w:tc>
        <w:tc>
          <w:tcPr>
            <w:tcW w:w="140" w:type="dxa"/>
            <w:vAlign w:val="bottom"/>
          </w:tcPr>
          <w:p>
            <w:pPr>
              <w:spacing w:after="0"/>
              <w:rPr>
                <w:sz w:val="11"/>
                <w:szCs w:val="11"/>
                <w:color w:val="auto"/>
              </w:rPr>
            </w:pPr>
          </w:p>
        </w:tc>
        <w:tc>
          <w:tcPr>
            <w:tcW w:w="1620" w:type="dxa"/>
            <w:vAlign w:val="bottom"/>
            <w:gridSpan w:val="4"/>
          </w:tcPr>
          <w:p>
            <w:pPr>
              <w:jc w:val="right"/>
              <w:ind w:right="378"/>
              <w:spacing w:after="0"/>
              <w:rPr>
                <w:sz w:val="20"/>
                <w:szCs w:val="20"/>
                <w:color w:val="auto"/>
              </w:rPr>
            </w:pPr>
            <w:r>
              <w:rPr>
                <w:rFonts w:ascii="Arial" w:cs="Arial" w:eastAsia="Arial" w:hAnsi="Arial"/>
                <w:sz w:val="10"/>
                <w:szCs w:val="10"/>
                <w:b w:val="1"/>
                <w:bCs w:val="1"/>
                <w:color w:val="auto"/>
              </w:rPr>
              <w:t>December 31, 2021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2022</w:t>
            </w:r>
          </w:p>
        </w:tc>
        <w:tc>
          <w:tcPr>
            <w:tcW w:w="140" w:type="dxa"/>
            <w:vAlign w:val="bottom"/>
          </w:tcPr>
          <w:p>
            <w:pPr>
              <w:spacing w:after="0"/>
              <w:rPr>
                <w:sz w:val="11"/>
                <w:szCs w:val="11"/>
                <w:color w:val="auto"/>
              </w:rPr>
            </w:pPr>
          </w:p>
        </w:tc>
        <w:tc>
          <w:tcPr>
            <w:tcW w:w="1620" w:type="dxa"/>
            <w:vAlign w:val="bottom"/>
            <w:gridSpan w:val="4"/>
          </w:tcPr>
          <w:p>
            <w:pPr>
              <w:jc w:val="right"/>
              <w:ind w:right="378"/>
              <w:spacing w:after="0"/>
              <w:rPr>
                <w:sz w:val="20"/>
                <w:szCs w:val="20"/>
                <w:color w:val="auto"/>
              </w:rPr>
            </w:pPr>
            <w:r>
              <w:rPr>
                <w:rFonts w:ascii="Arial" w:cs="Arial" w:eastAsia="Arial" w:hAnsi="Arial"/>
                <w:sz w:val="10"/>
                <w:szCs w:val="10"/>
                <w:b w:val="1"/>
                <w:bCs w:val="1"/>
                <w:color w:val="auto"/>
              </w:rPr>
              <w:t>December 31, 2021</w:t>
            </w:r>
          </w:p>
        </w:tc>
      </w:tr>
      <w:tr>
        <w:trPr>
          <w:trHeight w:val="129"/>
        </w:trPr>
        <w:tc>
          <w:tcPr>
            <w:tcW w:w="3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Per Share</w:t>
            </w:r>
          </w:p>
        </w:tc>
      </w:tr>
      <w:tr>
        <w:trPr>
          <w:trHeight w:val="162"/>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6.70</w:t>
            </w: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0.47</w:t>
            </w:r>
          </w:p>
        </w:tc>
      </w:tr>
      <w:tr>
        <w:trPr>
          <w:trHeight w:val="171"/>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effect on adjustments(b)</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(0.07)</w:t>
            </w:r>
          </w:p>
        </w:tc>
      </w:tr>
      <w:tr>
        <w:trPr>
          <w:trHeight w:val="169"/>
        </w:trPr>
        <w:tc>
          <w:tcPr>
            <w:tcW w:w="3900" w:type="dxa"/>
            <w:vAlign w:val="bottom"/>
          </w:tcPr>
          <w:p>
            <w:pPr>
              <w:ind w:left="20"/>
              <w:spacing w:after="0"/>
              <w:rPr>
                <w:sz w:val="20"/>
                <w:szCs w:val="20"/>
                <w:color w:val="auto"/>
              </w:rPr>
            </w:pPr>
            <w:r>
              <w:rPr>
                <w:rFonts w:ascii="Arial" w:cs="Arial" w:eastAsia="Arial" w:hAnsi="Arial"/>
                <w:sz w:val="13"/>
                <w:szCs w:val="13"/>
                <w:color w:val="auto"/>
              </w:rPr>
              <w:t>Tax adjustments(c)</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(0.03)</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Deemed dividend adjustment(d)</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3900" w:type="dxa"/>
            <w:vAlign w:val="bottom"/>
          </w:tcPr>
          <w:p>
            <w:pPr>
              <w:ind w:left="20"/>
              <w:spacing w:after="0"/>
              <w:rPr>
                <w:sz w:val="20"/>
                <w:szCs w:val="20"/>
                <w:color w:val="auto"/>
              </w:rPr>
            </w:pPr>
            <w:r>
              <w:rPr>
                <w:rFonts w:ascii="Arial" w:cs="Arial" w:eastAsia="Arial" w:hAnsi="Arial"/>
                <w:sz w:val="13"/>
                <w:szCs w:val="13"/>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3,028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1,989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11,044</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10,382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7.07</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2" w:lineRule="exact"/>
        <w:rPr>
          <w:rFonts w:ascii="Arial" w:cs="Arial" w:eastAsia="Arial" w:hAnsi="Arial"/>
          <w:sz w:val="11"/>
          <w:szCs w:val="11"/>
          <w:color w:val="auto"/>
        </w:rPr>
      </w:pPr>
    </w:p>
    <w:p>
      <w:pPr>
        <w:jc w:val="both"/>
        <w:ind w:left="260" w:hanging="255"/>
        <w:spacing w:after="0" w:line="268" w:lineRule="auto"/>
        <w:tabs>
          <w:tab w:leader="none" w:pos="278" w:val="left"/>
        </w:tabs>
        <w:numPr>
          <w:ilvl w:val="0"/>
          <w:numId w:val="5"/>
        </w:numPr>
        <w:rPr>
          <w:rFonts w:ascii="Arial" w:cs="Arial" w:eastAsia="Arial" w:hAnsi="Arial"/>
          <w:sz w:val="11"/>
          <w:szCs w:val="11"/>
          <w:color w:val="auto"/>
        </w:rPr>
      </w:pPr>
      <w:r>
        <w:rPr>
          <w:rFonts w:ascii="Arial" w:cs="Arial" w:eastAsia="Arial" w:hAnsi="Arial"/>
          <w:sz w:val="11"/>
          <w:szCs w:val="11"/>
          <w:color w:val="auto"/>
        </w:rPr>
        <w:t>In the year ended December 31, 2022, the adjustment consists of tax benefit related to the release of a valuation allowance against deferred tax assets considered realizable as a result of Cruise tax reconsolidation. In the year ended December 31, 2021, the adjustments consist of tax benefits related to a deduction for an investment in a subsidiary and resolution of uncertainty relating to an indirect tax refund claim in Brazil, partially offset by tax expense related to the establishment of a valuation allowance against Cruise deferred tax assets.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This adjustment consists of a deemed dividend related to the redemption of Cruise preferred shares from SoftBank Vision Fund (AIV M2) L.P. (SoftBank) in the year ended December 31, 2022.</w:t>
      </w:r>
    </w:p>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7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Years Ended December 31,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2022</w:t>
            </w: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720" w:type="dxa"/>
            <w:vAlign w:val="bottom"/>
          </w:tcPr>
          <w:p>
            <w:pPr>
              <w:spacing w:after="0"/>
              <w:rPr>
                <w:sz w:val="7"/>
                <w:szCs w:val="7"/>
                <w:color w:val="auto"/>
              </w:rPr>
            </w:pPr>
          </w:p>
        </w:tc>
        <w:tc>
          <w:tcPr>
            <w:tcW w:w="1260" w:type="dxa"/>
            <w:vAlign w:val="bottom"/>
            <w:gridSpan w:val="3"/>
          </w:tcPr>
          <w:p>
            <w:pPr>
              <w:ind w:left="60"/>
              <w:spacing w:after="0" w:line="88" w:lineRule="exact"/>
              <w:rPr>
                <w:sz w:val="20"/>
                <w:szCs w:val="20"/>
                <w:color w:val="auto"/>
              </w:rPr>
            </w:pPr>
            <w:r>
              <w:rPr>
                <w:rFonts w:ascii="Arial" w:cs="Arial" w:eastAsia="Arial" w:hAnsi="Arial"/>
                <w:sz w:val="10"/>
                <w:szCs w:val="10"/>
                <w:b w:val="1"/>
                <w:bCs w:val="1"/>
                <w:color w:val="auto"/>
              </w:rPr>
              <w:t>Income before income</w:t>
            </w:r>
          </w:p>
        </w:tc>
        <w:tc>
          <w:tcPr>
            <w:tcW w:w="140" w:type="dxa"/>
            <w:vAlign w:val="bottom"/>
          </w:tcPr>
          <w:p>
            <w:pPr>
              <w:spacing w:after="0"/>
              <w:rPr>
                <w:sz w:val="7"/>
                <w:szCs w:val="7"/>
                <w:color w:val="auto"/>
              </w:rPr>
            </w:pPr>
          </w:p>
        </w:tc>
        <w:tc>
          <w:tcPr>
            <w:tcW w:w="780" w:type="dxa"/>
            <w:vAlign w:val="bottom"/>
          </w:tcPr>
          <w:p>
            <w:pPr>
              <w:jc w:val="right"/>
              <w:ind w:right="142"/>
              <w:spacing w:after="0" w:line="88"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7"/>
                <w:szCs w:val="7"/>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0"/>
                <w:szCs w:val="10"/>
                <w:b w:val="1"/>
                <w:bCs w:val="1"/>
                <w:color w:val="auto"/>
              </w:rPr>
              <w:t>Effective tax rate</w:t>
            </w:r>
          </w:p>
        </w:tc>
        <w:tc>
          <w:tcPr>
            <w:tcW w:w="80" w:type="dxa"/>
            <w:vAlign w:val="bottom"/>
            <w:vMerge w:val="restart"/>
          </w:tcPr>
          <w:p>
            <w:pPr>
              <w:spacing w:after="0"/>
              <w:rPr>
                <w:sz w:val="7"/>
                <w:szCs w:val="7"/>
                <w:color w:val="auto"/>
              </w:rPr>
            </w:pPr>
          </w:p>
        </w:tc>
        <w:tc>
          <w:tcPr>
            <w:tcW w:w="1260" w:type="dxa"/>
            <w:vAlign w:val="bottom"/>
            <w:gridSpan w:val="3"/>
          </w:tcPr>
          <w:p>
            <w:pPr>
              <w:ind w:left="60"/>
              <w:spacing w:after="0" w:line="88" w:lineRule="exact"/>
              <w:rPr>
                <w:sz w:val="20"/>
                <w:szCs w:val="20"/>
                <w:color w:val="auto"/>
              </w:rPr>
            </w:pPr>
            <w:r>
              <w:rPr>
                <w:rFonts w:ascii="Arial" w:cs="Arial" w:eastAsia="Arial" w:hAnsi="Arial"/>
                <w:sz w:val="10"/>
                <w:szCs w:val="10"/>
                <w:b w:val="1"/>
                <w:bCs w:val="1"/>
                <w:color w:val="auto"/>
              </w:rPr>
              <w:t>Income before income</w:t>
            </w:r>
          </w:p>
        </w:tc>
        <w:tc>
          <w:tcPr>
            <w:tcW w:w="160" w:type="dxa"/>
            <w:vAlign w:val="bottom"/>
          </w:tcPr>
          <w:p>
            <w:pPr>
              <w:spacing w:after="0"/>
              <w:rPr>
                <w:sz w:val="7"/>
                <w:szCs w:val="7"/>
                <w:color w:val="auto"/>
              </w:rPr>
            </w:pPr>
          </w:p>
        </w:tc>
        <w:tc>
          <w:tcPr>
            <w:tcW w:w="780" w:type="dxa"/>
            <w:vAlign w:val="bottom"/>
          </w:tcPr>
          <w:p>
            <w:pPr>
              <w:jc w:val="right"/>
              <w:ind w:right="162"/>
              <w:spacing w:after="0" w:line="88" w:lineRule="exact"/>
              <w:rPr>
                <w:sz w:val="20"/>
                <w:szCs w:val="20"/>
                <w:color w:val="auto"/>
              </w:rPr>
            </w:pPr>
            <w:r>
              <w:rPr>
                <w:rFonts w:ascii="Arial" w:cs="Arial" w:eastAsia="Arial" w:hAnsi="Arial"/>
                <w:sz w:val="10"/>
                <w:szCs w:val="10"/>
                <w:b w:val="1"/>
                <w:bCs w:val="1"/>
                <w:color w:val="auto"/>
              </w:rPr>
              <w:t>Income tax</w:t>
            </w:r>
          </w:p>
        </w:tc>
        <w:tc>
          <w:tcPr>
            <w:tcW w:w="80" w:type="dxa"/>
            <w:vAlign w:val="bottom"/>
          </w:tcPr>
          <w:p>
            <w:pPr>
              <w:spacing w:after="0"/>
              <w:rPr>
                <w:sz w:val="7"/>
                <w:szCs w:val="7"/>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rPr>
              <w:t>Effective tax rate</w:t>
            </w:r>
          </w:p>
        </w:tc>
        <w:tc>
          <w:tcPr>
            <w:tcW w:w="0" w:type="dxa"/>
            <w:vAlign w:val="bottom"/>
          </w:tcPr>
          <w:p>
            <w:pPr>
              <w:spacing w:after="0"/>
              <w:rPr>
                <w:sz w:val="1"/>
                <w:szCs w:val="1"/>
                <w:color w:val="auto"/>
              </w:rPr>
            </w:pPr>
          </w:p>
        </w:tc>
      </w:tr>
      <w:tr>
        <w:trPr>
          <w:trHeight w:val="145"/>
        </w:trPr>
        <w:tc>
          <w:tcPr>
            <w:tcW w:w="47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taxes</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taxes</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expense</w:t>
            </w:r>
          </w:p>
        </w:tc>
        <w:tc>
          <w:tcPr>
            <w:tcW w:w="8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11,597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1,888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16.3 %</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63"/>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12,716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2,771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169"/>
        </w:trPr>
        <w:tc>
          <w:tcPr>
            <w:tcW w:w="47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2,221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726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105</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adjustments(b)</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482</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13,818</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2,793</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20.2 %</w:t>
            </w:r>
          </w:p>
        </w:tc>
        <w:tc>
          <w:tcPr>
            <w:tcW w:w="80" w:type="dxa"/>
            <w:vAlign w:val="bottom"/>
          </w:tcPr>
          <w:p>
            <w:pPr>
              <w:spacing w:after="0"/>
              <w:rPr>
                <w:sz w:val="14"/>
                <w:szCs w:val="14"/>
                <w:color w:val="auto"/>
              </w:rPr>
            </w:pPr>
          </w:p>
        </w:tc>
        <w:tc>
          <w:tcPr>
            <w:tcW w:w="720" w:type="dxa"/>
            <w:vAlign w:val="bottom"/>
            <w:tcBorders>
              <w:bottom w:val="single" w:sz="8" w:color="auto"/>
            </w:tcBorders>
          </w:tcPr>
          <w:p>
            <w:pPr>
              <w:jc w:val="right"/>
              <w:ind w:right="563"/>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5"/>
              </w:rPr>
              <w:t>13,442</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2,927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21.8 %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60" w:hanging="255"/>
        <w:spacing w:after="0" w:line="261" w:lineRule="auto"/>
        <w:tabs>
          <w:tab w:leader="none" w:pos="276"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 Net income attributable to noncontrolling interests for these adjustments is included in the years ended December 31, 2022 and 2021. The tax effect of each adjustment is determined based on the tax laws and valuation allowance status of the jurisdiction to which the adjustment relates.</w:t>
      </w:r>
    </w:p>
    <w:p>
      <w:pPr>
        <w:ind w:left="260" w:hanging="255"/>
        <w:spacing w:after="0"/>
        <w:tabs>
          <w:tab w:leader="none" w:pos="260" w:val="left"/>
        </w:tabs>
        <w:numPr>
          <w:ilvl w:val="0"/>
          <w:numId w:val="6"/>
        </w:numPr>
        <w:rPr>
          <w:rFonts w:ascii="Arial" w:cs="Arial" w:eastAsia="Arial" w:hAnsi="Arial"/>
          <w:sz w:val="11"/>
          <w:szCs w:val="11"/>
          <w:color w:val="auto"/>
        </w:rPr>
      </w:pPr>
      <w:r>
        <w:rPr>
          <w:rFonts w:ascii="Arial" w:cs="Arial" w:eastAsia="Arial" w:hAnsi="Arial"/>
          <w:sz w:val="11"/>
          <w:szCs w:val="11"/>
          <w:color w:val="auto"/>
        </w:rPr>
        <w:t>Refer to the reconciliation of diluted earnings per common share under U.S. GAAP to EPS-diluted-adjusted within the previous section for adjustment details.</w:t>
      </w:r>
    </w:p>
    <w:p>
      <w:pPr>
        <w:spacing w:after="0" w:line="178" w:lineRule="exact"/>
        <w:rPr>
          <w:sz w:val="20"/>
          <w:szCs w:val="20"/>
          <w:color w:val="auto"/>
        </w:rPr>
      </w:pPr>
    </w:p>
    <w:p>
      <w:pPr>
        <w:ind w:firstLine="127"/>
        <w:spacing w:after="0" w:line="283" w:lineRule="auto"/>
        <w:rPr>
          <w:sz w:val="20"/>
          <w:szCs w:val="20"/>
          <w:color w:val="auto"/>
        </w:rPr>
      </w:pPr>
      <w:r>
        <w:rPr>
          <w:rFonts w:ascii="Arial" w:cs="Arial" w:eastAsia="Arial" w:hAnsi="Arial"/>
          <w:sz w:val="13"/>
          <w:szCs w:val="13"/>
          <w:color w:val="auto"/>
        </w:rPr>
        <w:t>We define return on equity (ROE) as Net income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56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0"/>
                <w:szCs w:val="10"/>
                <w:b w:val="1"/>
                <w:bCs w:val="1"/>
                <w:color w:val="auto"/>
              </w:rPr>
              <w:t>Years Ended December 31,</w:t>
            </w:r>
          </w:p>
        </w:tc>
        <w:tc>
          <w:tcPr>
            <w:tcW w:w="480" w:type="dxa"/>
            <w:vAlign w:val="bottom"/>
            <w:tcBorders>
              <w:bottom w:val="single" w:sz="8" w:color="auto"/>
            </w:tcBorders>
          </w:tcPr>
          <w:p>
            <w:pPr>
              <w:spacing w:after="0"/>
              <w:rPr>
                <w:sz w:val="12"/>
                <w:szCs w:val="12"/>
                <w:color w:val="auto"/>
              </w:rPr>
            </w:pPr>
          </w:p>
        </w:tc>
      </w:tr>
      <w:tr>
        <w:trPr>
          <w:trHeight w:val="131"/>
        </w:trPr>
        <w:tc>
          <w:tcPr>
            <w:tcW w:w="85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b w:val="1"/>
                <w:bCs w:val="1"/>
                <w:color w:val="auto"/>
              </w:rPr>
              <w:t>2022</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0"/>
                <w:szCs w:val="10"/>
                <w:b w:val="1"/>
                <w:bCs w:val="1"/>
                <w:color w:val="auto"/>
              </w:rPr>
              <w:t>2021</w:t>
            </w:r>
          </w:p>
        </w:tc>
        <w:tc>
          <w:tcPr>
            <w:tcW w:w="480" w:type="dxa"/>
            <w:vAlign w:val="bottom"/>
            <w:tcBorders>
              <w:bottom w:val="single" w:sz="8" w:color="auto"/>
            </w:tcBorders>
          </w:tcPr>
          <w:p>
            <w:pPr>
              <w:spacing w:after="0"/>
              <w:rPr>
                <w:sz w:val="11"/>
                <w:szCs w:val="11"/>
                <w:color w:val="auto"/>
              </w:rPr>
            </w:pPr>
          </w:p>
        </w:tc>
      </w:tr>
      <w:tr>
        <w:trPr>
          <w:trHeight w:val="16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Net income attributable to stockholders</w:t>
            </w:r>
          </w:p>
        </w:tc>
        <w:tc>
          <w:tcPr>
            <w:tcW w:w="820" w:type="dxa"/>
            <w:vAlign w:val="bottom"/>
            <w:shd w:val="clear" w:color="auto" w:fill="CCEEFF"/>
          </w:tcPr>
          <w:p>
            <w:pPr>
              <w:jc w:val="right"/>
              <w:ind w:right="663"/>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681"/>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10.0</w:t>
            </w:r>
          </w:p>
        </w:tc>
      </w:tr>
      <w:tr>
        <w:trPr>
          <w:trHeight w:val="169"/>
        </w:trPr>
        <w:tc>
          <w:tcPr>
            <w:tcW w:w="8560" w:type="dxa"/>
            <w:vAlign w:val="bottom"/>
          </w:tcPr>
          <w:p>
            <w:pPr>
              <w:spacing w:after="0"/>
              <w:rPr>
                <w:sz w:val="20"/>
                <w:szCs w:val="20"/>
                <w:color w:val="auto"/>
              </w:rPr>
            </w:pPr>
            <w:r>
              <w:rPr>
                <w:rFonts w:ascii="Arial" w:cs="Arial" w:eastAsia="Arial" w:hAnsi="Arial"/>
                <w:sz w:val="13"/>
                <w:szCs w:val="13"/>
                <w:color w:val="auto"/>
              </w:rPr>
              <w:t>Average equity(a)</w:t>
            </w:r>
          </w:p>
        </w:tc>
        <w:tc>
          <w:tcPr>
            <w:tcW w:w="820" w:type="dxa"/>
            <w:vAlign w:val="bottom"/>
          </w:tcPr>
          <w:p>
            <w:pPr>
              <w:jc w:val="right"/>
              <w:ind w:right="663"/>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96"/>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4"/>
                <w:szCs w:val="14"/>
                <w:color w:val="auto"/>
              </w:rPr>
            </w:pPr>
          </w:p>
        </w:tc>
        <w:tc>
          <w:tcPr>
            <w:tcW w:w="820" w:type="dxa"/>
            <w:vAlign w:val="bottom"/>
          </w:tcPr>
          <w:p>
            <w:pPr>
              <w:jc w:val="right"/>
              <w:ind w:right="681"/>
              <w:spacing w:after="0"/>
              <w:rPr>
                <w:sz w:val="20"/>
                <w:szCs w:val="20"/>
                <w:color w:val="auto"/>
              </w:rPr>
            </w:pPr>
            <w:r>
              <w:rPr>
                <w:rFonts w:ascii="Arial" w:cs="Arial" w:eastAsia="Arial" w:hAnsi="Arial"/>
                <w:sz w:val="13"/>
                <w:szCs w:val="13"/>
                <w:color w:val="auto"/>
                <w:w w:val="82"/>
              </w:rPr>
              <w:t>$</w:t>
            </w:r>
          </w:p>
        </w:tc>
        <w:tc>
          <w:tcPr>
            <w:tcW w:w="480" w:type="dxa"/>
            <w:vAlign w:val="bottom"/>
          </w:tcPr>
          <w:p>
            <w:pPr>
              <w:ind w:left="60"/>
              <w:spacing w:after="0"/>
              <w:rPr>
                <w:sz w:val="20"/>
                <w:szCs w:val="20"/>
                <w:color w:val="auto"/>
              </w:rPr>
            </w:pPr>
            <w:r>
              <w:rPr>
                <w:rFonts w:ascii="Arial" w:cs="Arial" w:eastAsia="Arial" w:hAnsi="Arial"/>
                <w:sz w:val="13"/>
                <w:szCs w:val="13"/>
                <w:color w:val="auto"/>
              </w:rPr>
              <w:t>56.5</w:t>
            </w:r>
          </w:p>
        </w:tc>
      </w:tr>
      <w:tr>
        <w:trPr>
          <w:trHeight w:val="171"/>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ROE</w:t>
            </w: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ind w:left="60"/>
              <w:spacing w:after="0"/>
              <w:rPr>
                <w:sz w:val="20"/>
                <w:szCs w:val="20"/>
                <w:color w:val="auto"/>
              </w:rPr>
            </w:pPr>
            <w:r>
              <w:rPr>
                <w:rFonts w:ascii="Arial" w:cs="Arial" w:eastAsia="Arial" w:hAnsi="Arial"/>
                <w:sz w:val="13"/>
                <w:szCs w:val="13"/>
                <w:color w:val="auto"/>
                <w:w w:val="98"/>
              </w:rPr>
              <w:t>17.7 %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1"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Net income attributable to stockholders.</w:t>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76" w:lineRule="exact"/>
        <w:rPr>
          <w:rFonts w:ascii="Arial" w:cs="Arial" w:eastAsia="Arial" w:hAnsi="Arial"/>
          <w:sz w:val="11"/>
          <w:szCs w:val="11"/>
          <w:color w:val="auto"/>
        </w:rPr>
      </w:pPr>
    </w:p>
    <w:p>
      <w:pPr>
        <w:ind w:left="5860"/>
        <w:spacing w:after="0"/>
        <w:rPr>
          <w:rFonts w:ascii="Arial" w:cs="Arial" w:eastAsia="Arial" w:hAnsi="Arial"/>
          <w:sz w:val="11"/>
          <w:szCs w:val="11"/>
          <w:color w:val="auto"/>
        </w:rPr>
      </w:pPr>
      <w:r>
        <w:rPr>
          <w:rFonts w:ascii="Arial" w:cs="Arial" w:eastAsia="Arial" w:hAnsi="Arial"/>
          <w:sz w:val="13"/>
          <w:szCs w:val="13"/>
          <w:color w:val="auto"/>
        </w:rPr>
        <w:t>4</w:t>
      </w:r>
    </w:p>
    <w:p>
      <w:pPr>
        <w:sectPr>
          <w:pgSz w:w="11900" w:h="16838" w:orient="portrait"/>
          <w:cols w:equalWidth="0" w:num="1">
            <w:col w:w="11280"/>
          </w:cols>
          <w:pgMar w:left="300" w:top="702"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the calculation of ROIC-adjusted (dollars in billions):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8560" w:type="dxa"/>
            <w:vAlign w:val="bottom"/>
          </w:tcPr>
          <w:p>
            <w:pPr>
              <w:spacing w:after="0"/>
              <w:rPr>
                <w:sz w:val="12"/>
                <w:szCs w:val="12"/>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Years Ended December 31,</w:t>
            </w:r>
          </w:p>
        </w:tc>
        <w:tc>
          <w:tcPr>
            <w:tcW w:w="500" w:type="dxa"/>
            <w:vAlign w:val="bottom"/>
            <w:tcBorders>
              <w:bottom w:val="single" w:sz="8" w:color="auto"/>
            </w:tcBorders>
          </w:tcPr>
          <w:p>
            <w:pPr>
              <w:spacing w:after="0"/>
              <w:rPr>
                <w:sz w:val="12"/>
                <w:szCs w:val="12"/>
                <w:color w:val="auto"/>
              </w:rPr>
            </w:pPr>
          </w:p>
        </w:tc>
      </w:tr>
      <w:tr>
        <w:trPr>
          <w:trHeight w:val="131"/>
        </w:trPr>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2022</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1"/>
                <w:szCs w:val="11"/>
                <w:color w:val="auto"/>
              </w:rPr>
            </w:pPr>
          </w:p>
        </w:tc>
      </w:tr>
      <w:tr>
        <w:trPr>
          <w:trHeight w:val="16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EBIT-adjusted(a)</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14.3</w:t>
            </w:r>
          </w:p>
        </w:tc>
      </w:tr>
      <w:tr>
        <w:trPr>
          <w:trHeight w:val="169"/>
        </w:trPr>
        <w:tc>
          <w:tcPr>
            <w:tcW w:w="8560" w:type="dxa"/>
            <w:vAlign w:val="bottom"/>
          </w:tcPr>
          <w:p>
            <w:pPr>
              <w:spacing w:after="0"/>
              <w:rPr>
                <w:sz w:val="20"/>
                <w:szCs w:val="20"/>
                <w:color w:val="auto"/>
              </w:rPr>
            </w:pPr>
            <w:r>
              <w:rPr>
                <w:rFonts w:ascii="Arial" w:cs="Arial" w:eastAsia="Arial" w:hAnsi="Arial"/>
                <w:sz w:val="13"/>
                <w:szCs w:val="13"/>
                <w:color w:val="auto"/>
              </w:rPr>
              <w:t>Average equity(b)</w:t>
            </w:r>
          </w:p>
        </w:tc>
        <w:tc>
          <w:tcPr>
            <w:tcW w:w="800" w:type="dxa"/>
            <w:vAlign w:val="bottom"/>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Pr>
          <w:p>
            <w:pPr>
              <w:ind w:left="80"/>
              <w:spacing w:after="0"/>
              <w:rPr>
                <w:sz w:val="20"/>
                <w:szCs w:val="20"/>
                <w:color w:val="auto"/>
              </w:rPr>
            </w:pPr>
            <w:r>
              <w:rPr>
                <w:rFonts w:ascii="Arial" w:cs="Arial" w:eastAsia="Arial" w:hAnsi="Arial"/>
                <w:sz w:val="13"/>
                <w:szCs w:val="13"/>
                <w:color w:val="auto"/>
              </w:rPr>
              <w:t>56.5</w:t>
            </w:r>
          </w:p>
        </w:tc>
      </w:tr>
      <w:tr>
        <w:trPr>
          <w:trHeight w:val="171"/>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17.1</w:t>
            </w:r>
          </w:p>
        </w:tc>
      </w:tr>
      <w:tr>
        <w:trPr>
          <w:trHeight w:val="169"/>
        </w:trPr>
        <w:tc>
          <w:tcPr>
            <w:tcW w:w="8560" w:type="dxa"/>
            <w:vAlign w:val="bottom"/>
          </w:tcPr>
          <w:p>
            <w:pPr>
              <w:spacing w:after="0"/>
              <w:rPr>
                <w:sz w:val="20"/>
                <w:szCs w:val="20"/>
                <w:color w:val="auto"/>
              </w:rPr>
            </w:pPr>
            <w:r>
              <w:rPr>
                <w:rFonts w:ascii="Arial" w:cs="Arial" w:eastAsia="Arial" w:hAnsi="Arial"/>
                <w:sz w:val="13"/>
                <w:szCs w:val="13"/>
                <w:color w:val="auto"/>
              </w:rPr>
              <w:t>Add: Average automotive net pension &amp; OPEB liability</w:t>
            </w:r>
          </w:p>
        </w:tc>
        <w:tc>
          <w:tcPr>
            <w:tcW w:w="80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15.8</w:t>
            </w:r>
          </w:p>
        </w:tc>
      </w:tr>
      <w:tr>
        <w:trPr>
          <w:trHeight w:val="170"/>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Less: Average automotive net income tax asset</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(21.2)</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(22.2)</w:t>
            </w:r>
          </w:p>
        </w:tc>
      </w:tr>
      <w:tr>
        <w:trPr>
          <w:trHeight w:val="162"/>
        </w:trPr>
        <w:tc>
          <w:tcPr>
            <w:tcW w:w="8560" w:type="dxa"/>
            <w:vAlign w:val="bottom"/>
          </w:tcPr>
          <w:p>
            <w:pPr>
              <w:spacing w:after="0"/>
              <w:rPr>
                <w:sz w:val="20"/>
                <w:szCs w:val="20"/>
                <w:color w:val="auto"/>
              </w:rPr>
            </w:pPr>
            <w:r>
              <w:rPr>
                <w:rFonts w:ascii="Arial" w:cs="Arial" w:eastAsia="Arial" w:hAnsi="Arial"/>
                <w:sz w:val="13"/>
                <w:szCs w:val="13"/>
                <w:color w:val="auto"/>
              </w:rPr>
              <w:t>ROIC-adjusted average net assets</w:t>
            </w:r>
          </w:p>
        </w:tc>
        <w:tc>
          <w:tcPr>
            <w:tcW w:w="800" w:type="dxa"/>
            <w:vAlign w:val="bottom"/>
            <w:tcBorders>
              <w:bottom w:val="single" w:sz="8" w:color="auto"/>
            </w:tcBorders>
          </w:tcPr>
          <w:p>
            <w:pPr>
              <w:jc w:val="right"/>
              <w:ind w:right="642"/>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72.3</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67.2</w:t>
            </w: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2"/>
        </w:trPr>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ROIC-adjusted</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20.0 %</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21.3 %</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21"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Refer to the reconciliation of Net income attributable to stockholders under U.S. GAAP to segment profit (loss) for adjustment details.</w:t>
      </w: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80"/>
          </w:cols>
          <w:pgMar w:left="300" w:top="702"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ind w:left="5300"/>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reconciles Net automotive cash provided by operating activities under U.S. GAAP to adjusted automotive free cash flow (dollars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5"/>
          </w:tcPr>
          <w:p>
            <w:pPr>
              <w:ind w:left="6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2"/>
                <w:szCs w:val="12"/>
                <w:color w:val="auto"/>
              </w:rPr>
            </w:pPr>
          </w:p>
        </w:tc>
        <w:tc>
          <w:tcPr>
            <w:tcW w:w="2360" w:type="dxa"/>
            <w:vAlign w:val="bottom"/>
            <w:gridSpan w:val="4"/>
          </w:tcPr>
          <w:p>
            <w:pPr>
              <w:jc w:val="right"/>
              <w:ind w:right="878"/>
              <w:spacing w:after="0"/>
              <w:rPr>
                <w:sz w:val="20"/>
                <w:szCs w:val="20"/>
                <w:color w:val="auto"/>
              </w:rPr>
            </w:pPr>
            <w:r>
              <w:rPr>
                <w:rFonts w:ascii="Arial" w:cs="Arial" w:eastAsia="Arial" w:hAnsi="Arial"/>
                <w:sz w:val="10"/>
                <w:szCs w:val="10"/>
                <w:b w:val="1"/>
                <w:bCs w:val="1"/>
                <w:color w:val="auto"/>
              </w:rPr>
              <w:t>Years Ended</w:t>
            </w:r>
          </w:p>
        </w:tc>
      </w:tr>
      <w:tr>
        <w:trPr>
          <w:trHeight w:val="131"/>
        </w:trPr>
        <w:tc>
          <w:tcPr>
            <w:tcW w:w="6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December 31, 2022</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9"/>
              </w:rPr>
              <w:t>December 31, 2021</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December 31, 2022</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9"/>
              </w:rPr>
              <w:t>December 31, 2021</w:t>
            </w:r>
          </w:p>
        </w:tc>
      </w:tr>
      <w:tr>
        <w:trPr>
          <w:trHeight w:val="162"/>
        </w:trPr>
        <w:tc>
          <w:tcPr>
            <w:tcW w:w="620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3"/>
                <w:szCs w:val="13"/>
                <w:color w:val="auto"/>
              </w:rPr>
              <w:t>Net automotive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7,488</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9,384</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19,094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9,693</w:t>
            </w:r>
          </w:p>
        </w:tc>
      </w:tr>
      <w:tr>
        <w:trPr>
          <w:trHeight w:val="169"/>
        </w:trPr>
        <w:tc>
          <w:tcPr>
            <w:tcW w:w="62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(3,235)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(9,007)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(7,389)</w:t>
            </w: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Patent royalty matters</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200" w:type="dxa"/>
            <w:vAlign w:val="bottom"/>
          </w:tcPr>
          <w:p>
            <w:pPr>
              <w:ind w:left="20"/>
              <w:spacing w:after="0"/>
              <w:rPr>
                <w:sz w:val="20"/>
                <w:szCs w:val="20"/>
                <w:color w:val="auto"/>
              </w:rPr>
            </w:pPr>
            <w:r>
              <w:rPr>
                <w:rFonts w:ascii="Arial" w:cs="Arial" w:eastAsia="Arial" w:hAnsi="Arial"/>
                <w:sz w:val="13"/>
                <w:szCs w:val="13"/>
                <w:color w:val="auto"/>
              </w:rPr>
              <w:t>Add: Buick dealer strategy</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 Brazil indirect tax matters</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9"/>
        </w:trPr>
        <w:tc>
          <w:tcPr>
            <w:tcW w:w="6200" w:type="dxa"/>
            <w:vAlign w:val="bottom"/>
          </w:tcPr>
          <w:p>
            <w:pPr>
              <w:ind w:left="20"/>
              <w:spacing w:after="0"/>
              <w:rPr>
                <w:sz w:val="20"/>
                <w:szCs w:val="20"/>
                <w:color w:val="auto"/>
              </w:rPr>
            </w:pPr>
            <w:r>
              <w:rPr>
                <w:rFonts w:ascii="Arial" w:cs="Arial" w:eastAsia="Arial" w:hAnsi="Arial"/>
                <w:sz w:val="13"/>
                <w:szCs w:val="13"/>
                <w:color w:val="auto"/>
              </w:rPr>
              <w:t>Add: Russia exit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Cadillac dealer strategy</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w:t>
            </w:r>
          </w:p>
        </w:tc>
      </w:tr>
      <w:tr>
        <w:trPr>
          <w:trHeight w:val="169"/>
        </w:trPr>
        <w:tc>
          <w:tcPr>
            <w:tcW w:w="6200" w:type="dxa"/>
            <w:vAlign w:val="bottom"/>
          </w:tcPr>
          <w:p>
            <w:pPr>
              <w:ind w:left="20"/>
              <w:spacing w:after="0"/>
              <w:rPr>
                <w:sz w:val="20"/>
                <w:szCs w:val="20"/>
                <w:color w:val="auto"/>
              </w:rPr>
            </w:pPr>
            <w:r>
              <w:rPr>
                <w:rFonts w:ascii="Arial" w:cs="Arial" w:eastAsia="Arial" w:hAnsi="Arial"/>
                <w:sz w:val="13"/>
                <w:szCs w:val="13"/>
                <w:color w:val="auto"/>
              </w:rPr>
              <w:t>Add: GM Korea wage litigation</w:t>
            </w: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92</w:t>
            </w:r>
          </w:p>
        </w:tc>
      </w:tr>
      <w:tr>
        <w:trPr>
          <w:trHeight w:val="171"/>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r>
      <w:tr>
        <w:trPr>
          <w:trHeight w:val="159"/>
        </w:trPr>
        <w:tc>
          <w:tcPr>
            <w:tcW w:w="6200" w:type="dxa"/>
            <w:vAlign w:val="bottom"/>
          </w:tcPr>
          <w:p>
            <w:pPr>
              <w:ind w:left="20"/>
              <w:spacing w:after="0" w:line="148" w:lineRule="exact"/>
              <w:rPr>
                <w:sz w:val="20"/>
                <w:szCs w:val="20"/>
                <w:color w:val="auto"/>
              </w:rPr>
            </w:pPr>
            <w:r>
              <w:rPr>
                <w:rFonts w:ascii="Arial" w:cs="Arial" w:eastAsia="Arial" w:hAnsi="Arial"/>
                <w:sz w:val="13"/>
                <w:szCs w:val="13"/>
                <w:color w:val="auto"/>
              </w:rPr>
              <w:t>Adjusted automotive free cash flow</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4,460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6,403</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10,466</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2,564</w:t>
            </w:r>
          </w:p>
        </w:tc>
      </w:tr>
      <w:tr>
        <w:trPr>
          <w:trHeight w:val="20"/>
        </w:trPr>
        <w:tc>
          <w:tcPr>
            <w:tcW w:w="6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702"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(Unaudited)</w:t>
      </w:r>
    </w:p>
    <w:p>
      <w:pPr>
        <w:spacing w:after="0" w:line="114"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7"/>
                <w:szCs w:val="7"/>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7"/>
                <w:szCs w:val="7"/>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7"/>
                <w:szCs w:val="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2022</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35,471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4,319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39,834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3,277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43,108</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2,914</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311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3,235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16</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3,304</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1,223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2,767</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 (loss)(a)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222</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26,865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3,451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30,353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3,232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33,584</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2,716</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3,154</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3,199</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1,589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1,333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2,937</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 (loss)(a)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242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286</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2022</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128,378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15,420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143,974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12,766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156,735</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8,280</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706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9,007</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197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44</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9,238</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6,335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4,888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11,276</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12</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 (loss)(a)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663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837</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2021</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101,308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12,172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113,584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13,419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127,004</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6,576</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783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30</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7,389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89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740" w:type="dxa"/>
            <w:vAlign w:val="bottom"/>
          </w:tcPr>
          <w:p>
            <w:pPr>
              <w:jc w:val="right"/>
              <w:ind w:right="11"/>
              <w:spacing w:after="0"/>
              <w:rPr>
                <w:sz w:val="20"/>
                <w:szCs w:val="20"/>
                <w:color w:val="auto"/>
              </w:rPr>
            </w:pPr>
            <w:r>
              <w:rPr>
                <w:rFonts w:ascii="Arial" w:cs="Arial" w:eastAsia="Arial" w:hAnsi="Arial"/>
                <w:sz w:val="10"/>
                <w:szCs w:val="10"/>
                <w:color w:val="auto"/>
              </w:rPr>
              <w:t>5</w:t>
            </w:r>
          </w:p>
        </w:tc>
        <w:tc>
          <w:tcPr>
            <w:tcW w:w="80" w:type="dxa"/>
            <w:vAlign w:val="bottom"/>
          </w:tcPr>
          <w:p>
            <w:pPr>
              <w:spacing w:after="0"/>
              <w:rPr>
                <w:sz w:val="11"/>
                <w:szCs w:val="11"/>
                <w:color w:val="auto"/>
              </w:rPr>
            </w:pP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7,509</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5,861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6,134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12,047</w:t>
            </w:r>
          </w:p>
        </w:tc>
        <w:tc>
          <w:tcPr>
            <w:tcW w:w="0" w:type="dxa"/>
            <w:vAlign w:val="bottom"/>
          </w:tcPr>
          <w:p>
            <w:pPr>
              <w:spacing w:after="0"/>
              <w:rPr>
                <w:sz w:val="1"/>
                <w:szCs w:val="1"/>
                <w:color w:val="auto"/>
              </w:rPr>
            </w:pPr>
          </w:p>
        </w:tc>
      </w:tr>
      <w:tr>
        <w:trPr>
          <w:trHeight w:val="134"/>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42"/>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 (loss)(a)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1,092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201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1,301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3" w:lineRule="exact"/>
        <w:rPr>
          <w:sz w:val="20"/>
          <w:szCs w:val="20"/>
          <w:color w:val="auto"/>
        </w:rPr>
      </w:pPr>
    </w:p>
    <w:p>
      <w:pPr>
        <w:ind w:left="260" w:hanging="255"/>
        <w:spacing w:after="0"/>
        <w:tabs>
          <w:tab w:leader="none" w:pos="260" w:val="left"/>
        </w:tabs>
        <w:numPr>
          <w:ilvl w:val="0"/>
          <w:numId w:val="9"/>
        </w:numPr>
        <w:rPr>
          <w:rFonts w:ascii="Arial" w:cs="Arial" w:eastAsia="Arial" w:hAnsi="Arial"/>
          <w:sz w:val="10"/>
          <w:szCs w:val="10"/>
          <w:color w:val="auto"/>
        </w:rPr>
      </w:pPr>
      <w:r>
        <w:rPr>
          <w:rFonts w:ascii="Arial" w:cs="Arial" w:eastAsia="Arial" w:hAnsi="Arial"/>
          <w:sz w:val="10"/>
          <w:szCs w:val="10"/>
          <w:color w:val="auto"/>
        </w:rPr>
        <w:t>Includes Automotive China equity income of $201 million and $244 million in the three months ended December 31, 2022 and 2021 and $677 million and $1,098 million in the years ended December 31, 2022 and 2021.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260"/>
          </w:cols>
          <w:pgMar w:left="300" w:top="70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190" w:lineRule="exact"/>
        <w:rPr>
          <w:sz w:val="20"/>
          <w:szCs w:val="20"/>
          <w:color w:val="auto"/>
        </w:rPr>
      </w:pPr>
    </w:p>
    <w:p>
      <w:pPr>
        <w:jc w:val="both"/>
        <w:ind w:firstLine="127"/>
        <w:spacing w:after="0" w:line="261"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 Also, as of March 2022, GM is no longer importing vehicles or parts to Russia, Belarus and other sanctioned provinces in Ukraine.</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2022, 30.5% of our wholesale vehicle sales volume was generated outside the U.S. The following table summarizes wholesale vehicle sales by automotive segment (vehicles in thousands):</w:t>
      </w:r>
    </w:p>
    <w:p>
      <w:pPr>
        <w:spacing w:after="0" w:line="77"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640" w:type="dxa"/>
            <w:vAlign w:val="bottom"/>
          </w:tcPr>
          <w:p>
            <w:pPr>
              <w:spacing w:after="0"/>
              <w:rPr>
                <w:sz w:val="12"/>
                <w:szCs w:val="12"/>
                <w:color w:val="auto"/>
              </w:rPr>
            </w:pPr>
          </w:p>
        </w:tc>
        <w:tc>
          <w:tcPr>
            <w:tcW w:w="2940" w:type="dxa"/>
            <w:vAlign w:val="bottom"/>
            <w:tcBorders>
              <w:bottom w:val="single" w:sz="8" w:color="auto"/>
            </w:tcBorders>
            <w:gridSpan w:val="4"/>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Borders>
              <w:bottom w:val="single" w:sz="8" w:color="auto"/>
            </w:tcBorders>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280" w:type="dxa"/>
            <w:vAlign w:val="bottom"/>
            <w:tcBorders>
              <w:bottom w:val="single" w:sz="8" w:color="auto"/>
            </w:tcBorders>
          </w:tcPr>
          <w:p>
            <w:pPr>
              <w:spacing w:after="0"/>
              <w:rPr>
                <w:sz w:val="12"/>
                <w:szCs w:val="12"/>
                <w:color w:val="auto"/>
              </w:rPr>
            </w:pPr>
          </w:p>
        </w:tc>
      </w:tr>
      <w:tr>
        <w:trPr>
          <w:trHeight w:val="131"/>
        </w:trPr>
        <w:tc>
          <w:tcPr>
            <w:tcW w:w="464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w w:val="99"/>
              </w:rPr>
              <w:t>December 31, 2022</w:t>
            </w: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9"/>
              </w:rPr>
              <w:t>December 31, 2021</w:t>
            </w: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282"/>
              <w:spacing w:after="0"/>
              <w:rPr>
                <w:sz w:val="20"/>
                <w:szCs w:val="20"/>
                <w:color w:val="auto"/>
              </w:rPr>
            </w:pPr>
            <w:r>
              <w:rPr>
                <w:rFonts w:ascii="Arial" w:cs="Arial" w:eastAsia="Arial" w:hAnsi="Arial"/>
                <w:sz w:val="10"/>
                <w:szCs w:val="10"/>
                <w:b w:val="1"/>
                <w:bCs w:val="1"/>
                <w:color w:val="auto"/>
              </w:rPr>
              <w:t>December 31, 2022</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2021</w:t>
            </w:r>
          </w:p>
        </w:tc>
      </w:tr>
      <w:tr>
        <w:trPr>
          <w:trHeight w:val="16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2,926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2,308</w:t>
            </w:r>
          </w:p>
        </w:tc>
      </w:tr>
      <w:tr>
        <w:trPr>
          <w:trHeight w:val="16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653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551</w:t>
            </w:r>
          </w:p>
        </w:tc>
      </w:tr>
      <w:tr>
        <w:trPr>
          <w:trHeight w:val="182"/>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967</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3,579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80"/>
          </w:cols>
          <w:pgMar w:left="300" w:top="702" w:right="319" w:bottom="1440" w:gutter="0" w:footer="0" w:header="0"/>
        </w:sectPr>
      </w:pPr>
    </w:p>
    <w:bookmarkStart w:id="18" w:name="page19"/>
    <w:bookmarkEnd w:id="18"/>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04" w:lineRule="exact"/>
        <w:rPr>
          <w:sz w:val="20"/>
          <w:szCs w:val="20"/>
          <w:color w:val="auto"/>
        </w:rPr>
      </w:pPr>
    </w:p>
    <w:p>
      <w:pPr>
        <w:jc w:val="both"/>
        <w:ind w:firstLine="127"/>
        <w:spacing w:after="0" w:line="249" w:lineRule="auto"/>
        <w:rPr>
          <w:sz w:val="20"/>
          <w:szCs w:val="20"/>
          <w:color w:val="auto"/>
        </w:rPr>
      </w:pPr>
      <w:r>
        <w:rPr>
          <w:rFonts w:ascii="Arial" w:cs="Arial" w:eastAsia="Arial" w:hAnsi="Arial"/>
          <w:sz w:val="13"/>
          <w:szCs w:val="13"/>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businesses.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740" w:type="dxa"/>
            <w:vAlign w:val="bottom"/>
          </w:tcPr>
          <w:p>
            <w:pPr>
              <w:spacing w:after="0"/>
              <w:rPr>
                <w:sz w:val="12"/>
                <w:szCs w:val="12"/>
                <w:color w:val="auto"/>
              </w:rPr>
            </w:pPr>
          </w:p>
        </w:tc>
        <w:tc>
          <w:tcPr>
            <w:tcW w:w="3300" w:type="dxa"/>
            <w:vAlign w:val="bottom"/>
            <w:gridSpan w:val="4"/>
          </w:tcPr>
          <w:p>
            <w:pPr>
              <w:ind w:left="1120"/>
              <w:spacing w:after="0"/>
              <w:rPr>
                <w:sz w:val="20"/>
                <w:szCs w:val="20"/>
                <w:color w:val="auto"/>
              </w:rPr>
            </w:pPr>
            <w:r>
              <w:rPr>
                <w:rFonts w:ascii="Arial" w:cs="Arial" w:eastAsia="Arial" w:hAnsi="Arial"/>
                <w:sz w:val="10"/>
                <w:szCs w:val="10"/>
                <w:b w:val="1"/>
                <w:bCs w:val="1"/>
                <w:color w:val="auto"/>
              </w:rPr>
              <w:t>Three Months Ended</w:t>
            </w:r>
          </w:p>
        </w:tc>
        <w:tc>
          <w:tcPr>
            <w:tcW w:w="1960" w:type="dxa"/>
            <w:vAlign w:val="bottom"/>
            <w:gridSpan w:val="3"/>
          </w:tcPr>
          <w:p>
            <w:pPr>
              <w:ind w:left="1320"/>
              <w:spacing w:after="0"/>
              <w:rPr>
                <w:sz w:val="20"/>
                <w:szCs w:val="20"/>
                <w:color w:val="auto"/>
              </w:rPr>
            </w:pPr>
            <w:r>
              <w:rPr>
                <w:rFonts w:ascii="Arial" w:cs="Arial" w:eastAsia="Arial" w:hAnsi="Arial"/>
                <w:sz w:val="10"/>
                <w:szCs w:val="10"/>
                <w:b w:val="1"/>
                <w:bCs w:val="1"/>
                <w:color w:val="auto"/>
              </w:rPr>
              <w:t>Years Ended</w:t>
            </w:r>
          </w:p>
        </w:tc>
        <w:tc>
          <w:tcPr>
            <w:tcW w:w="1260" w:type="dxa"/>
            <w:vAlign w:val="bottom"/>
          </w:tcPr>
          <w:p>
            <w:pPr>
              <w:spacing w:after="0"/>
              <w:rPr>
                <w:sz w:val="12"/>
                <w:szCs w:val="12"/>
                <w:color w:val="auto"/>
              </w:rPr>
            </w:pPr>
          </w:p>
        </w:tc>
      </w:tr>
      <w:tr>
        <w:trPr>
          <w:trHeight w:val="129"/>
        </w:trPr>
        <w:tc>
          <w:tcPr>
            <w:tcW w:w="4740" w:type="dxa"/>
            <w:vAlign w:val="bottom"/>
          </w:tcPr>
          <w:p>
            <w:pPr>
              <w:spacing w:after="0"/>
              <w:rPr>
                <w:sz w:val="11"/>
                <w:szCs w:val="11"/>
                <w:color w:val="auto"/>
              </w:rPr>
            </w:pPr>
          </w:p>
        </w:tc>
        <w:tc>
          <w:tcPr>
            <w:tcW w:w="1660" w:type="dxa"/>
            <w:vAlign w:val="bottom"/>
            <w:tcBorders>
              <w:top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December 31, 2022</w:t>
            </w:r>
          </w:p>
        </w:tc>
        <w:tc>
          <w:tcPr>
            <w:tcW w:w="15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Pr>
          <w:p>
            <w:pPr>
              <w:spacing w:after="0"/>
              <w:rPr>
                <w:sz w:val="11"/>
                <w:szCs w:val="11"/>
                <w:color w:val="auto"/>
              </w:rPr>
            </w:pPr>
          </w:p>
        </w:tc>
        <w:tc>
          <w:tcPr>
            <w:tcW w:w="1960" w:type="dxa"/>
            <w:vAlign w:val="bottom"/>
            <w:tcBorders>
              <w:top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December 31, 2022</w:t>
            </w:r>
          </w:p>
        </w:tc>
        <w:tc>
          <w:tcPr>
            <w:tcW w:w="12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w w:val="99"/>
              </w:rPr>
              <w:t>December 31, 2021</w:t>
            </w:r>
          </w:p>
        </w:tc>
      </w:tr>
      <w:tr>
        <w:trPr>
          <w:trHeight w:val="151"/>
        </w:trPr>
        <w:tc>
          <w:tcPr>
            <w:tcW w:w="47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69"/>
        </w:trPr>
        <w:tc>
          <w:tcPr>
            <w:tcW w:w="4740" w:type="dxa"/>
            <w:vAlign w:val="bottom"/>
          </w:tcPr>
          <w:p>
            <w:pPr>
              <w:ind w:left="180"/>
              <w:spacing w:after="0"/>
              <w:rPr>
                <w:sz w:val="20"/>
                <w:szCs w:val="20"/>
                <w:color w:val="auto"/>
              </w:rPr>
            </w:pPr>
            <w:r>
              <w:rPr>
                <w:rFonts w:ascii="Arial" w:cs="Arial" w:eastAsia="Arial" w:hAnsi="Arial"/>
                <w:sz w:val="13"/>
                <w:szCs w:val="13"/>
                <w:color w:val="auto"/>
              </w:rPr>
              <w:t>Chevrolet – Trucks</w:t>
            </w:r>
          </w:p>
        </w:tc>
        <w:tc>
          <w:tcPr>
            <w:tcW w:w="1560" w:type="dxa"/>
            <w:vAlign w:val="bottom"/>
          </w:tcPr>
          <w:p>
            <w:pPr>
              <w:jc w:val="right"/>
              <w:spacing w:after="0"/>
              <w:rPr>
                <w:sz w:val="20"/>
                <w:szCs w:val="20"/>
                <w:color w:val="auto"/>
              </w:rPr>
            </w:pPr>
            <w:r>
              <w:rPr>
                <w:rFonts w:ascii="Arial" w:cs="Arial" w:eastAsia="Arial" w:hAnsi="Arial"/>
                <w:sz w:val="13"/>
                <w:szCs w:val="13"/>
                <w:color w:val="auto"/>
              </w:rPr>
              <w:t>228</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191</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828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807</w:t>
            </w: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509</w:t>
            </w:r>
          </w:p>
        </w:tc>
      </w:tr>
      <w:tr>
        <w:trPr>
          <w:trHeight w:val="169"/>
        </w:trPr>
        <w:tc>
          <w:tcPr>
            <w:tcW w:w="4740" w:type="dxa"/>
            <w:vAlign w:val="bottom"/>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r>
      <w:tr>
        <w:trPr>
          <w:trHeight w:val="16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482</w:t>
            </w:r>
          </w:p>
        </w:tc>
      </w:tr>
      <w:tr>
        <w:trPr>
          <w:trHeight w:val="16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2,218</w:t>
            </w:r>
          </w:p>
        </w:tc>
      </w:tr>
      <w:tr>
        <w:trPr>
          <w:trHeight w:val="16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355</w:t>
            </w:r>
          </w:p>
        </w:tc>
      </w:tr>
      <w:tr>
        <w:trPr>
          <w:trHeight w:val="16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729</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2,680</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2,574</w:t>
            </w:r>
          </w:p>
        </w:tc>
      </w:tr>
      <w:tr>
        <w:trPr>
          <w:trHeight w:val="149"/>
        </w:trPr>
        <w:tc>
          <w:tcPr>
            <w:tcW w:w="4740" w:type="dxa"/>
            <w:vAlign w:val="bottom"/>
          </w:tcPr>
          <w:p>
            <w:pPr>
              <w:ind w:left="20"/>
              <w:spacing w:after="0" w:line="148" w:lineRule="exact"/>
              <w:rPr>
                <w:sz w:val="20"/>
                <w:szCs w:val="20"/>
                <w:color w:val="auto"/>
              </w:rPr>
            </w:pPr>
            <w:r>
              <w:rPr>
                <w:rFonts w:ascii="Arial" w:cs="Arial" w:eastAsia="Arial" w:hAnsi="Arial"/>
                <w:sz w:val="13"/>
                <w:szCs w:val="13"/>
                <w:color w:val="auto"/>
              </w:rPr>
              <w:t>Asia/Pacific, Middle East and Africa</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r>
      <w:tr>
        <w:trPr>
          <w:trHeight w:val="169"/>
        </w:trPr>
        <w:tc>
          <w:tcPr>
            <w:tcW w:w="4740" w:type="dxa"/>
            <w:vAlign w:val="bottom"/>
          </w:tcPr>
          <w:p>
            <w:pPr>
              <w:ind w:left="180"/>
              <w:spacing w:after="0"/>
              <w:rPr>
                <w:sz w:val="20"/>
                <w:szCs w:val="20"/>
                <w:color w:val="auto"/>
              </w:rPr>
            </w:pPr>
            <w:r>
              <w:rPr>
                <w:rFonts w:ascii="Arial" w:cs="Arial" w:eastAsia="Arial" w:hAnsi="Arial"/>
                <w:sz w:val="13"/>
                <w:szCs w:val="13"/>
                <w:color w:val="auto"/>
              </w:rPr>
              <w:t>Wuling</w:t>
            </w:r>
          </w:p>
        </w:tc>
        <w:tc>
          <w:tcPr>
            <w:tcW w:w="156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410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1,244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1,429</w:t>
            </w: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816</w:t>
            </w:r>
          </w:p>
        </w:tc>
      </w:tr>
      <w:tr>
        <w:trPr>
          <w:trHeight w:val="169"/>
        </w:trPr>
        <w:tc>
          <w:tcPr>
            <w:tcW w:w="4740" w:type="dxa"/>
            <w:vAlign w:val="bottom"/>
          </w:tcPr>
          <w:p>
            <w:pPr>
              <w:ind w:left="180"/>
              <w:spacing w:after="0"/>
              <w:rPr>
                <w:sz w:val="20"/>
                <w:szCs w:val="20"/>
                <w:color w:val="auto"/>
              </w:rPr>
            </w:pPr>
            <w:r>
              <w:rPr>
                <w:rFonts w:ascii="Arial" w:cs="Arial" w:eastAsia="Arial" w:hAnsi="Arial"/>
                <w:sz w:val="13"/>
                <w:szCs w:val="13"/>
                <w:color w:val="auto"/>
              </w:rPr>
              <w:t>Baojun</w:t>
            </w:r>
          </w:p>
        </w:tc>
        <w:tc>
          <w:tcPr>
            <w:tcW w:w="15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211</w:t>
            </w: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r>
      <w:tr>
        <w:trPr>
          <w:trHeight w:val="169"/>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r>
      <w:tr>
        <w:trPr>
          <w:trHeight w:val="16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3,326</w:t>
            </w:r>
          </w:p>
        </w:tc>
      </w:tr>
      <w:tr>
        <w:trPr>
          <w:trHeight w:val="16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w:t>
            </w:r>
          </w:p>
        </w:tc>
      </w:tr>
      <w:tr>
        <w:trPr>
          <w:trHeight w:val="162"/>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1,480</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6,294</w:t>
            </w:r>
          </w:p>
        </w:tc>
      </w:tr>
      <w:tr>
        <w:trPr>
          <w:trHeight w:val="169"/>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Total Europe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r>
      <w:tr>
        <w:trPr>
          <w:trHeight w:val="18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1,481</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6,296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21"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Primarily Chevrolet.</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4580" w:type="dxa"/>
            <w:vAlign w:val="bottom"/>
          </w:tcPr>
          <w:p>
            <w:pPr>
              <w:spacing w:after="0"/>
              <w:rPr>
                <w:sz w:val="12"/>
                <w:szCs w:val="12"/>
                <w:color w:val="auto"/>
              </w:rPr>
            </w:pPr>
          </w:p>
        </w:tc>
        <w:tc>
          <w:tcPr>
            <w:tcW w:w="2960" w:type="dxa"/>
            <w:vAlign w:val="bottom"/>
            <w:tcBorders>
              <w:bottom w:val="single" w:sz="8" w:color="auto"/>
            </w:tcBorders>
            <w:gridSpan w:val="4"/>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Borders>
              <w:bottom w:val="single" w:sz="8" w:color="auto"/>
            </w:tcBorders>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300" w:type="dxa"/>
            <w:vAlign w:val="bottom"/>
            <w:tcBorders>
              <w:bottom w:val="single" w:sz="8" w:color="auto"/>
            </w:tcBorders>
          </w:tcPr>
          <w:p>
            <w:pPr>
              <w:spacing w:after="0"/>
              <w:rPr>
                <w:sz w:val="12"/>
                <w:szCs w:val="12"/>
                <w:color w:val="auto"/>
              </w:rPr>
            </w:pPr>
          </w:p>
        </w:tc>
      </w:tr>
      <w:tr>
        <w:trPr>
          <w:trHeight w:val="131"/>
        </w:trPr>
        <w:tc>
          <w:tcPr>
            <w:tcW w:w="45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w w:val="99"/>
              </w:rPr>
              <w:t>December 31, 2022</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9"/>
              </w:rPr>
              <w:t>December 31, 2021</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December 31, 2022</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 2021</w:t>
            </w:r>
          </w:p>
        </w:tc>
      </w:tr>
      <w:tr>
        <w:trPr>
          <w:trHeight w:val="162"/>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303</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1,037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1,277</w:t>
            </w:r>
          </w:p>
        </w:tc>
      </w:tr>
      <w:tr>
        <w:trPr>
          <w:trHeight w:val="167"/>
        </w:trPr>
        <w:tc>
          <w:tcPr>
            <w:tcW w:w="58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40" w:type="dxa"/>
            <w:vAlign w:val="bottom"/>
          </w:tcPr>
          <w:p>
            <w:pPr>
              <w:jc w:val="right"/>
              <w:spacing w:after="0"/>
              <w:rPr>
                <w:sz w:val="20"/>
                <w:szCs w:val="20"/>
                <w:color w:val="auto"/>
              </w:rPr>
            </w:pPr>
            <w:r>
              <w:rPr>
                <w:rFonts w:ascii="Arial" w:cs="Arial" w:eastAsia="Arial" w:hAnsi="Arial"/>
                <w:sz w:val="13"/>
                <w:szCs w:val="13"/>
                <w:color w:val="auto"/>
              </w:rPr>
              <w:t>305</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434</w:t>
            </w:r>
          </w:p>
        </w:tc>
        <w:tc>
          <w:tcPr>
            <w:tcW w:w="100" w:type="dxa"/>
            <w:vAlign w:val="bottom"/>
          </w:tcPr>
          <w:p>
            <w:pPr>
              <w:spacing w:after="0"/>
              <w:rPr>
                <w:sz w:val="14"/>
                <w:szCs w:val="14"/>
                <w:color w:val="auto"/>
              </w:rPr>
            </w:pPr>
          </w:p>
        </w:tc>
        <w:tc>
          <w:tcPr>
            <w:tcW w:w="1580" w:type="dxa"/>
            <w:vAlign w:val="bottom"/>
          </w:tcPr>
          <w:p>
            <w:pPr>
              <w:jc w:val="right"/>
              <w:ind w:right="3"/>
              <w:spacing w:after="0"/>
              <w:rPr>
                <w:sz w:val="20"/>
                <w:szCs w:val="20"/>
                <w:color w:val="auto"/>
              </w:rPr>
            </w:pPr>
            <w:r>
              <w:rPr>
                <w:rFonts w:ascii="Arial" w:cs="Arial" w:eastAsia="Arial" w:hAnsi="Arial"/>
                <w:sz w:val="13"/>
                <w:szCs w:val="13"/>
                <w:color w:val="auto"/>
              </w:rPr>
              <w:t>1,266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3"/>
                <w:szCs w:val="13"/>
                <w:color w:val="auto"/>
              </w:rPr>
              <w:t>1,615</w:t>
            </w:r>
          </w:p>
        </w:tc>
      </w:tr>
      <w:tr>
        <w:trPr>
          <w:trHeight w:val="721"/>
        </w:trPr>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9</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80"/>
          </w:cols>
          <w:pgMar w:left="300" w:top="702"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3480" w:type="dxa"/>
            <w:vAlign w:val="bottom"/>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2060" w:type="dxa"/>
            <w:vAlign w:val="bottom"/>
            <w:gridSpan w:val="3"/>
          </w:tcPr>
          <w:p>
            <w:pPr>
              <w:ind w:left="1400"/>
              <w:spacing w:after="0"/>
              <w:rPr>
                <w:sz w:val="20"/>
                <w:szCs w:val="20"/>
                <w:color w:val="auto"/>
              </w:rPr>
            </w:pPr>
            <w:r>
              <w:rPr>
                <w:rFonts w:ascii="Arial" w:cs="Arial" w:eastAsia="Arial" w:hAnsi="Arial"/>
                <w:sz w:val="10"/>
                <w:szCs w:val="10"/>
                <w:b w:val="1"/>
                <w:bCs w:val="1"/>
                <w:color w:val="auto"/>
              </w:rPr>
              <w:t>Years Ended</w:t>
            </w:r>
          </w:p>
        </w:tc>
        <w:tc>
          <w:tcPr>
            <w:tcW w:w="1340" w:type="dxa"/>
            <w:vAlign w:val="bottom"/>
          </w:tcPr>
          <w:p>
            <w:pPr>
              <w:spacing w:after="0"/>
              <w:rPr>
                <w:sz w:val="12"/>
                <w:szCs w:val="12"/>
                <w:color w:val="auto"/>
              </w:rPr>
            </w:pPr>
          </w:p>
        </w:tc>
      </w:tr>
      <w:tr>
        <w:trPr>
          <w:trHeight w:val="129"/>
        </w:trPr>
        <w:tc>
          <w:tcPr>
            <w:tcW w:w="4360" w:type="dxa"/>
            <w:vAlign w:val="bottom"/>
          </w:tcPr>
          <w:p>
            <w:pPr>
              <w:spacing w:after="0"/>
              <w:rPr>
                <w:sz w:val="11"/>
                <w:szCs w:val="11"/>
                <w:color w:val="auto"/>
              </w:rPr>
            </w:pPr>
          </w:p>
        </w:tc>
        <w:tc>
          <w:tcPr>
            <w:tcW w:w="174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December 31, 2022</w:t>
            </w:r>
          </w:p>
        </w:tc>
        <w:tc>
          <w:tcPr>
            <w:tcW w:w="166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2021</w:t>
            </w:r>
          </w:p>
        </w:tc>
        <w:tc>
          <w:tcPr>
            <w:tcW w:w="80" w:type="dxa"/>
            <w:vAlign w:val="bottom"/>
          </w:tcPr>
          <w:p>
            <w:pPr>
              <w:spacing w:after="0"/>
              <w:rPr>
                <w:sz w:val="11"/>
                <w:szCs w:val="11"/>
                <w:color w:val="auto"/>
              </w:rPr>
            </w:pPr>
          </w:p>
        </w:tc>
        <w:tc>
          <w:tcPr>
            <w:tcW w:w="2060" w:type="dxa"/>
            <w:vAlign w:val="bottom"/>
            <w:tcBorders>
              <w:top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rPr>
              <w:t>December 31, 2022</w:t>
            </w:r>
          </w:p>
        </w:tc>
        <w:tc>
          <w:tcPr>
            <w:tcW w:w="134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2021</w:t>
            </w:r>
          </w:p>
        </w:tc>
      </w:tr>
      <w:tr>
        <w:trPr>
          <w:trHeight w:val="151"/>
        </w:trPr>
        <w:tc>
          <w:tcPr>
            <w:tcW w:w="436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71"/>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4.2 %</w:t>
            </w:r>
          </w:p>
        </w:tc>
      </w:tr>
      <w:tr>
        <w:trPr>
          <w:trHeight w:val="169"/>
        </w:trPr>
        <w:tc>
          <w:tcPr>
            <w:tcW w:w="436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660" w:type="dxa"/>
            <w:vAlign w:val="bottom"/>
          </w:tcPr>
          <w:p>
            <w:pPr>
              <w:jc w:val="right"/>
              <w:spacing w:after="0"/>
              <w:rPr>
                <w:sz w:val="20"/>
                <w:szCs w:val="20"/>
                <w:color w:val="auto"/>
              </w:rPr>
            </w:pPr>
            <w:r>
              <w:rPr>
                <w:rFonts w:ascii="Arial" w:cs="Arial" w:eastAsia="Arial" w:hAnsi="Arial"/>
                <w:sz w:val="13"/>
                <w:szCs w:val="13"/>
                <w:color w:val="auto"/>
              </w:rPr>
              <w:t>32.2 %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29.4 %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31.4 %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30.3 %</w:t>
            </w:r>
          </w:p>
        </w:tc>
      </w:tr>
      <w:tr>
        <w:trPr>
          <w:trHeight w:val="171"/>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10.6 %</w:t>
            </w:r>
          </w:p>
        </w:tc>
      </w:tr>
      <w:tr>
        <w:trPr>
          <w:trHeight w:val="169"/>
        </w:trPr>
        <w:tc>
          <w:tcPr>
            <w:tcW w:w="436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660" w:type="dxa"/>
            <w:vAlign w:val="bottom"/>
          </w:tcPr>
          <w:p>
            <w:pPr>
              <w:jc w:val="right"/>
              <w:spacing w:after="0"/>
              <w:rPr>
                <w:sz w:val="20"/>
                <w:szCs w:val="20"/>
                <w:color w:val="auto"/>
              </w:rPr>
            </w:pPr>
            <w:r>
              <w:rPr>
                <w:rFonts w:ascii="Arial" w:cs="Arial" w:eastAsia="Arial" w:hAnsi="Arial"/>
                <w:sz w:val="13"/>
                <w:szCs w:val="13"/>
                <w:color w:val="auto"/>
              </w:rPr>
              <w:t>16.8 %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13.0 %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16.0 %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14.4 %</w:t>
            </w:r>
          </w:p>
        </w:tc>
      </w:tr>
      <w:tr>
        <w:trPr>
          <w:trHeight w:val="171"/>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13.9 %</w:t>
            </w:r>
          </w:p>
        </w:tc>
      </w:tr>
      <w:tr>
        <w:trPr>
          <w:trHeight w:val="169"/>
        </w:trPr>
        <w:tc>
          <w:tcPr>
            <w:tcW w:w="436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660" w:type="dxa"/>
            <w:vAlign w:val="bottom"/>
          </w:tcPr>
          <w:p>
            <w:pPr>
              <w:jc w:val="right"/>
              <w:spacing w:after="0"/>
              <w:rPr>
                <w:sz w:val="20"/>
                <w:szCs w:val="20"/>
                <w:color w:val="auto"/>
              </w:rPr>
            </w:pPr>
            <w:r>
              <w:rPr>
                <w:rFonts w:ascii="Arial" w:cs="Arial" w:eastAsia="Arial" w:hAnsi="Arial"/>
                <w:sz w:val="13"/>
                <w:szCs w:val="13"/>
                <w:color w:val="auto"/>
              </w:rPr>
              <w:t>6.2 %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7.3 %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6.4 %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7.3 %</w:t>
            </w:r>
          </w:p>
        </w:tc>
      </w:tr>
      <w:tr>
        <w:trPr>
          <w:trHeight w:val="171"/>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10.9 %</w:t>
            </w:r>
          </w:p>
        </w:tc>
      </w:tr>
      <w:tr>
        <w:trPr>
          <w:trHeight w:val="169"/>
        </w:trPr>
        <w:tc>
          <w:tcPr>
            <w:tcW w:w="436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660" w:type="dxa"/>
            <w:vAlign w:val="bottom"/>
          </w:tcPr>
          <w:p>
            <w:pPr>
              <w:jc w:val="right"/>
              <w:spacing w:after="0"/>
              <w:rPr>
                <w:sz w:val="20"/>
                <w:szCs w:val="20"/>
                <w:color w:val="auto"/>
              </w:rPr>
            </w:pPr>
            <w:r>
              <w:rPr>
                <w:rFonts w:ascii="Arial" w:cs="Arial" w:eastAsia="Arial" w:hAnsi="Arial"/>
                <w:sz w:val="13"/>
                <w:szCs w:val="13"/>
                <w:color w:val="auto"/>
              </w:rPr>
              <w:t>9.2 %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8.9 %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9.2 %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9.3 %</w:t>
            </w:r>
          </w:p>
        </w:tc>
      </w:tr>
      <w:tr>
        <w:trPr>
          <w:trHeight w:val="171"/>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702" w:right="33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1" w:lineRule="exact"/>
        <w:rPr>
          <w:sz w:val="20"/>
          <w:szCs w:val="20"/>
          <w:color w:val="auto"/>
        </w:rPr>
      </w:pPr>
    </w:p>
    <w:p>
      <w:pPr>
        <w:jc w:val="center"/>
        <w:ind w:right="-119"/>
        <w:spacing w:after="0"/>
        <w:rPr>
          <w:sz w:val="20"/>
          <w:szCs w:val="20"/>
          <w:color w:val="auto"/>
        </w:rPr>
      </w:pPr>
      <w:r>
        <w:rPr>
          <w:rFonts w:ascii="Arial" w:cs="Arial" w:eastAsia="Arial" w:hAnsi="Arial"/>
          <w:sz w:val="13"/>
          <w:szCs w:val="13"/>
          <w:i w:val="1"/>
          <w:iCs w:val="1"/>
          <w:color w:val="auto"/>
        </w:rPr>
        <w:t>(In millions)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8"/>
                <w:szCs w:val="8"/>
                <w:b w:val="1"/>
                <w:bCs w:val="1"/>
                <w:color w:val="auto"/>
              </w:rPr>
              <w:t>Year Ended December 31, 2022</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ind w:left="80"/>
              <w:spacing w:after="0"/>
              <w:rPr>
                <w:sz w:val="20"/>
                <w:szCs w:val="20"/>
                <w:color w:val="auto"/>
              </w:rPr>
            </w:pPr>
            <w:r>
              <w:rPr>
                <w:rFonts w:ascii="Arial" w:cs="Arial" w:eastAsia="Arial" w:hAnsi="Arial"/>
                <w:sz w:val="8"/>
                <w:szCs w:val="8"/>
                <w:b w:val="1"/>
                <w:bCs w:val="1"/>
                <w:color w:val="auto"/>
              </w:rPr>
              <w:t>Year Ended December 31, 2021</w:t>
            </w:r>
          </w:p>
        </w:tc>
        <w:tc>
          <w:tcPr>
            <w:tcW w:w="4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r>
        <w:trPr>
          <w:trHeight w:val="115"/>
        </w:trPr>
        <w:tc>
          <w:tcPr>
            <w:tcW w:w="2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520" w:type="dxa"/>
            <w:vAlign w:val="bottom"/>
            <w:gridSpan w:val="2"/>
          </w:tcPr>
          <w:p>
            <w:pPr>
              <w:ind w:left="2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40" w:type="dxa"/>
            <w:vAlign w:val="bottom"/>
          </w:tcPr>
          <w:p>
            <w:pPr>
              <w:jc w:val="right"/>
              <w:ind w:right="111"/>
              <w:spacing w:after="0"/>
              <w:rPr>
                <w:sz w:val="20"/>
                <w:szCs w:val="20"/>
                <w:color w:val="auto"/>
              </w:rPr>
            </w:pPr>
            <w:r>
              <w:rPr>
                <w:rFonts w:ascii="Arial" w:cs="Arial" w:eastAsia="Arial" w:hAnsi="Arial"/>
                <w:sz w:val="8"/>
                <w:szCs w:val="8"/>
                <w:b w:val="1"/>
                <w:bCs w:val="1"/>
                <w:color w:val="auto"/>
              </w:rPr>
              <w:t>Combined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9"/>
                <w:szCs w:val="9"/>
                <w:color w:val="auto"/>
              </w:rPr>
            </w:pPr>
          </w:p>
        </w:tc>
        <w:tc>
          <w:tcPr>
            <w:tcW w:w="72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spacing w:after="0"/>
              <w:rPr>
                <w:sz w:val="20"/>
                <w:szCs w:val="20"/>
                <w:color w:val="auto"/>
              </w:rPr>
            </w:pPr>
            <w:r>
              <w:rPr>
                <w:rFonts w:ascii="Arial" w:cs="Arial" w:eastAsia="Arial" w:hAnsi="Arial"/>
                <w:sz w:val="8"/>
                <w:szCs w:val="8"/>
                <w:b w:val="1"/>
                <w:bCs w:val="1"/>
                <w:color w:val="auto"/>
              </w:rPr>
              <w:t>Reclassifications/Eliminations</w:t>
            </w:r>
          </w:p>
        </w:tc>
        <w:tc>
          <w:tcPr>
            <w:tcW w:w="120" w:type="dxa"/>
            <w:vAlign w:val="bottom"/>
          </w:tcPr>
          <w:p>
            <w:pPr>
              <w:spacing w:after="0"/>
              <w:rPr>
                <w:sz w:val="9"/>
                <w:szCs w:val="9"/>
                <w:color w:val="auto"/>
              </w:rPr>
            </w:pPr>
          </w:p>
        </w:tc>
        <w:tc>
          <w:tcPr>
            <w:tcW w:w="66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r>
      <w:tr>
        <w:trPr>
          <w:trHeight w:val="124"/>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Net sales and revenue</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r>
      <w:tr>
        <w:trPr>
          <w:trHeight w:val="141"/>
        </w:trPr>
        <w:tc>
          <w:tcPr>
            <w:tcW w:w="22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143,974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143,975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113,584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113,590</w:t>
            </w:r>
          </w:p>
        </w:tc>
      </w:tr>
      <w:tr>
        <w:trPr>
          <w:trHeight w:val="134"/>
        </w:trPr>
        <w:tc>
          <w:tcPr>
            <w:tcW w:w="2220" w:type="dxa"/>
            <w:vAlign w:val="bottom"/>
          </w:tcPr>
          <w:p>
            <w:pPr>
              <w:ind w:left="12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12,766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12,760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13,419</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13,414</w:t>
            </w:r>
          </w:p>
        </w:tc>
      </w:tr>
      <w:tr>
        <w:trPr>
          <w:trHeight w:val="133"/>
        </w:trPr>
        <w:tc>
          <w:tcPr>
            <w:tcW w:w="2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143,974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12,766</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156,735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113,584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106</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13,419</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127,004</w:t>
            </w:r>
          </w:p>
        </w:tc>
      </w:tr>
      <w:tr>
        <w:trPr>
          <w:trHeight w:val="117"/>
        </w:trPr>
        <w:tc>
          <w:tcPr>
            <w:tcW w:w="2220" w:type="dxa"/>
            <w:vAlign w:val="bottom"/>
          </w:tcPr>
          <w:p>
            <w:pPr>
              <w:ind w:left="20"/>
              <w:spacing w:after="0"/>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39"/>
        </w:trPr>
        <w:tc>
          <w:tcPr>
            <w:tcW w:w="222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124,317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2,576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126,892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99,421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100,544</w:t>
            </w:r>
          </w:p>
        </w:tc>
      </w:tr>
      <w:tr>
        <w:trPr>
          <w:trHeight w:val="104"/>
        </w:trPr>
        <w:tc>
          <w:tcPr>
            <w:tcW w:w="2220" w:type="dxa"/>
            <w:vAlign w:val="bottom"/>
          </w:tcPr>
          <w:p>
            <w:pPr>
              <w:ind w:left="120"/>
              <w:spacing w:after="0" w:line="104"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35"/>
        </w:trPr>
        <w:tc>
          <w:tcPr>
            <w:tcW w:w="2220" w:type="dxa"/>
            <w:vAlign w:val="bottom"/>
          </w:tcPr>
          <w:p>
            <w:pPr>
              <w:ind w:left="24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8,864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8,862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8,584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8,582</w:t>
            </w:r>
          </w:p>
        </w:tc>
      </w:tr>
      <w:tr>
        <w:trPr>
          <w:trHeight w:val="109"/>
        </w:trPr>
        <w:tc>
          <w:tcPr>
            <w:tcW w:w="2220" w:type="dxa"/>
            <w:vAlign w:val="bottom"/>
            <w:shd w:val="clear" w:color="auto" w:fill="CCEEFF"/>
          </w:tcPr>
          <w:p>
            <w:pPr>
              <w:ind w:left="120"/>
              <w:spacing w:after="0" w:line="109"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r>
      <w:tr>
        <w:trPr>
          <w:trHeight w:val="140"/>
        </w:trPr>
        <w:tc>
          <w:tcPr>
            <w:tcW w:w="2220" w:type="dxa"/>
            <w:vAlign w:val="bottom"/>
            <w:shd w:val="clear" w:color="auto" w:fill="CCEEFF"/>
          </w:tcPr>
          <w:p>
            <w:pPr>
              <w:ind w:left="240"/>
              <w:spacing w:after="0"/>
              <w:rPr>
                <w:sz w:val="20"/>
                <w:szCs w:val="20"/>
                <w:color w:val="auto"/>
              </w:rPr>
            </w:pPr>
            <w:r>
              <w:rPr>
                <w:rFonts w:ascii="Arial" w:cs="Arial" w:eastAsia="Arial" w:hAnsi="Arial"/>
                <w:sz w:val="10"/>
                <w:szCs w:val="10"/>
                <w:color w:val="auto"/>
              </w:rPr>
              <w:t>administrative expense</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9,902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10,667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8,554</w:t>
            </w:r>
          </w:p>
        </w:tc>
      </w:tr>
      <w:tr>
        <w:trPr>
          <w:trHeight w:val="124"/>
        </w:trPr>
        <w:tc>
          <w:tcPr>
            <w:tcW w:w="222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Total costs and expenses</w:t>
            </w: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134,219</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3,342</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8,864</w:t>
            </w:r>
          </w:p>
        </w:tc>
        <w:tc>
          <w:tcPr>
            <w:tcW w:w="1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146,421</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107,678</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1,421</w:t>
            </w:r>
          </w:p>
        </w:tc>
        <w:tc>
          <w:tcPr>
            <w:tcW w:w="8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8,584</w:t>
            </w:r>
          </w:p>
        </w:tc>
        <w:tc>
          <w:tcPr>
            <w:tcW w:w="1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117,680</w:t>
            </w:r>
          </w:p>
        </w:tc>
      </w:tr>
      <w:tr>
        <w:trPr>
          <w:trHeight w:val="133"/>
        </w:trPr>
        <w:tc>
          <w:tcPr>
            <w:tcW w:w="222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(3,240)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3,903</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10,315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5,906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4,835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9,324</w:t>
            </w:r>
          </w:p>
        </w:tc>
      </w:tr>
      <w:tr>
        <w:trPr>
          <w:trHeight w:val="134"/>
        </w:trPr>
        <w:tc>
          <w:tcPr>
            <w:tcW w:w="2220" w:type="dxa"/>
            <w:vAlign w:val="bottom"/>
          </w:tcPr>
          <w:p>
            <w:pPr>
              <w:ind w:left="20"/>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986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987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952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950</w:t>
            </w:r>
          </w:p>
        </w:tc>
      </w:tr>
      <w:tr>
        <w:trPr>
          <w:trHeight w:val="108"/>
        </w:trPr>
        <w:tc>
          <w:tcPr>
            <w:tcW w:w="2220" w:type="dxa"/>
            <w:vAlign w:val="bottom"/>
            <w:shd w:val="clear" w:color="auto" w:fill="CCEEFF"/>
          </w:tcPr>
          <w:p>
            <w:pPr>
              <w:ind w:left="20"/>
              <w:spacing w:after="0" w:line="108" w:lineRule="exact"/>
              <w:rPr>
                <w:sz w:val="20"/>
                <w:szCs w:val="20"/>
                <w:color w:val="auto"/>
              </w:rPr>
            </w:pPr>
            <w:r>
              <w:rPr>
                <w:rFonts w:ascii="Arial" w:cs="Arial" w:eastAsia="Arial" w:hAnsi="Arial"/>
                <w:sz w:val="10"/>
                <w:szCs w:val="10"/>
                <w:color w:val="auto"/>
              </w:rPr>
              <w:t>Interest income and other non-operating income,</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r>
      <w:tr>
        <w:trPr>
          <w:trHeight w:val="140"/>
        </w:trPr>
        <w:tc>
          <w:tcPr>
            <w:tcW w:w="222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3,041</w:t>
            </w:r>
          </w:p>
        </w:tc>
      </w:tr>
      <w:tr>
        <w:trPr>
          <w:trHeight w:val="134"/>
        </w:trPr>
        <w:tc>
          <w:tcPr>
            <w:tcW w:w="2220" w:type="dxa"/>
            <w:vAlign w:val="bottom"/>
          </w:tcPr>
          <w:p>
            <w:pPr>
              <w:ind w:left="20"/>
              <w:spacing w:after="0"/>
              <w:rPr>
                <w:sz w:val="20"/>
                <w:szCs w:val="20"/>
                <w:color w:val="auto"/>
              </w:rPr>
            </w:pPr>
            <w:r>
              <w:rPr>
                <w:rFonts w:ascii="Arial" w:cs="Arial" w:eastAsia="Arial" w:hAnsi="Arial"/>
                <w:sz w:val="10"/>
                <w:szCs w:val="10"/>
                <w:color w:val="auto"/>
              </w:rPr>
              <w:t>Equity income</w:t>
            </w:r>
          </w:p>
        </w:tc>
        <w:tc>
          <w:tcPr>
            <w:tcW w:w="1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color w:val="auto"/>
              </w:rPr>
              <w:t>663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201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ind w:right="11"/>
              <w:spacing w:after="0"/>
              <w:rPr>
                <w:sz w:val="20"/>
                <w:szCs w:val="20"/>
                <w:color w:val="auto"/>
              </w:rPr>
            </w:pPr>
            <w:r>
              <w:rPr>
                <w:rFonts w:ascii="Arial" w:cs="Arial" w:eastAsia="Arial" w:hAnsi="Arial"/>
                <w:sz w:val="10"/>
                <w:szCs w:val="10"/>
                <w:color w:val="auto"/>
              </w:rPr>
              <w:t>1,301</w:t>
            </w:r>
          </w:p>
        </w:tc>
      </w:tr>
      <w:tr>
        <w:trPr>
          <w:trHeight w:val="133"/>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Income (loss) before income taxes</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10,713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(3,197)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4,076</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11,597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8,988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5,036</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12,716</w:t>
            </w:r>
          </w:p>
        </w:tc>
      </w:tr>
      <w:tr>
        <w:trPr>
          <w:trHeight w:val="13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2,771</w:t>
            </w:r>
          </w:p>
        </w:tc>
      </w:tr>
      <w:tr>
        <w:trPr>
          <w:trHeight w:val="133"/>
        </w:trPr>
        <w:tc>
          <w:tcPr>
            <w:tcW w:w="22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income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9,708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9,945</w:t>
            </w:r>
          </w:p>
        </w:tc>
      </w:tr>
      <w:tr>
        <w:trPr>
          <w:trHeight w:val="134"/>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Net loss attributable to noncontrolling interests</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74</w:t>
            </w:r>
          </w:p>
        </w:tc>
      </w:tr>
      <w:tr>
        <w:trPr>
          <w:trHeight w:val="158"/>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income attributable to stockholders</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9,934</w:t>
            </w: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10,019</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r>
        <w:trPr>
          <w:trHeight w:val="86"/>
        </w:trPr>
        <w:tc>
          <w:tcPr>
            <w:tcW w:w="2220" w:type="dxa"/>
            <w:vAlign w:val="bottom"/>
            <w:shd w:val="clear" w:color="auto" w:fill="CCEEFF"/>
          </w:tcPr>
          <w:p>
            <w:pPr>
              <w:ind w:left="20"/>
              <w:spacing w:after="0" w:line="86" w:lineRule="exact"/>
              <w:rPr>
                <w:sz w:val="20"/>
                <w:szCs w:val="20"/>
                <w:color w:val="auto"/>
              </w:rPr>
            </w:pPr>
            <w:r>
              <w:rPr>
                <w:rFonts w:ascii="Arial" w:cs="Arial" w:eastAsia="Arial" w:hAnsi="Arial"/>
                <w:sz w:val="9"/>
                <w:szCs w:val="9"/>
                <w:b w:val="1"/>
                <w:bCs w:val="1"/>
                <w:color w:val="auto"/>
              </w:rPr>
              <w:t>Net income attributable to common</w:t>
            </w: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r>
      <w:tr>
        <w:trPr>
          <w:trHeight w:val="142"/>
        </w:trPr>
        <w:tc>
          <w:tcPr>
            <w:tcW w:w="222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9,837</w:t>
            </w:r>
          </w:p>
        </w:tc>
      </w:tr>
    </w:tbl>
    <w:p>
      <w:pPr>
        <w:spacing w:after="0" w:line="200" w:lineRule="exact"/>
        <w:rPr>
          <w:sz w:val="20"/>
          <w:szCs w:val="20"/>
          <w:color w:val="auto"/>
        </w:rPr>
      </w:pPr>
    </w:p>
    <w:p>
      <w:pPr>
        <w:spacing w:after="0" w:line="352"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160"/>
          </w:cols>
          <w:pgMar w:left="300" w:top="320" w:right="439" w:bottom="1440" w:gutter="0" w:footer="0" w:header="0"/>
        </w:sectPr>
      </w:pPr>
    </w:p>
    <w:bookmarkStart w:id="21" w:name="page22"/>
    <w:bookmarkEnd w:id="2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per share (in millions, except per share amounts):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9"/>
        </w:trPr>
        <w:tc>
          <w:tcPr>
            <w:tcW w:w="54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4"/>
          </w:tcPr>
          <w:p>
            <w:pPr>
              <w:jc w:val="right"/>
              <w:ind w:right="878"/>
              <w:spacing w:after="0"/>
              <w:rPr>
                <w:sz w:val="20"/>
                <w:szCs w:val="20"/>
                <w:color w:val="auto"/>
              </w:rPr>
            </w:pPr>
            <w:r>
              <w:rPr>
                <w:rFonts w:ascii="Arial" w:cs="Arial" w:eastAsia="Arial" w:hAnsi="Arial"/>
                <w:sz w:val="10"/>
                <w:szCs w:val="10"/>
                <w:b w:val="1"/>
                <w:bCs w:val="1"/>
                <w:color w:val="auto"/>
              </w:rPr>
              <w:t>Three Months Ended</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100" w:type="dxa"/>
            <w:vAlign w:val="bottom"/>
            <w:tcBorders>
              <w:bottom w:val="single" w:sz="8" w:color="auto"/>
            </w:tcBorders>
          </w:tcPr>
          <w:p>
            <w:pPr>
              <w:spacing w:after="0"/>
              <w:rPr>
                <w:sz w:val="12"/>
                <w:szCs w:val="12"/>
                <w:color w:val="auto"/>
              </w:rPr>
            </w:pPr>
          </w:p>
        </w:tc>
      </w:tr>
      <w:tr>
        <w:trPr>
          <w:trHeight w:val="112"/>
        </w:trPr>
        <w:tc>
          <w:tcPr>
            <w:tcW w:w="5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gridSpan w:val="2"/>
          </w:tcPr>
          <w:p>
            <w:pPr>
              <w:ind w:left="120"/>
              <w:spacing w:after="0"/>
              <w:rPr>
                <w:sz w:val="20"/>
                <w:szCs w:val="20"/>
                <w:color w:val="auto"/>
              </w:rPr>
            </w:pPr>
            <w:r>
              <w:rPr>
                <w:rFonts w:ascii="Arial" w:cs="Arial" w:eastAsia="Arial" w:hAnsi="Arial"/>
                <w:sz w:val="8"/>
                <w:szCs w:val="8"/>
                <w:b w:val="1"/>
                <w:bCs w:val="1"/>
                <w:color w:val="auto"/>
              </w:rPr>
              <w:t>December 31, 2022</w:t>
            </w:r>
          </w:p>
        </w:tc>
        <w:tc>
          <w:tcPr>
            <w:tcW w:w="200" w:type="dxa"/>
            <w:vAlign w:val="bottom"/>
          </w:tcPr>
          <w:p>
            <w:pPr>
              <w:spacing w:after="0"/>
              <w:rPr>
                <w:sz w:val="9"/>
                <w:szCs w:val="9"/>
                <w:color w:val="auto"/>
              </w:rPr>
            </w:pPr>
          </w:p>
        </w:tc>
        <w:tc>
          <w:tcPr>
            <w:tcW w:w="1280" w:type="dxa"/>
            <w:vAlign w:val="bottom"/>
            <w:gridSpan w:val="2"/>
          </w:tcPr>
          <w:p>
            <w:pPr>
              <w:ind w:left="120"/>
              <w:spacing w:after="0"/>
              <w:rPr>
                <w:sz w:val="20"/>
                <w:szCs w:val="20"/>
                <w:color w:val="auto"/>
              </w:rPr>
            </w:pPr>
            <w:r>
              <w:rPr>
                <w:rFonts w:ascii="Arial" w:cs="Arial" w:eastAsia="Arial" w:hAnsi="Arial"/>
                <w:sz w:val="8"/>
                <w:szCs w:val="8"/>
                <w:b w:val="1"/>
                <w:bCs w:val="1"/>
                <w:color w:val="auto"/>
              </w:rPr>
              <w:t>December 31, 2021</w:t>
            </w:r>
          </w:p>
        </w:tc>
        <w:tc>
          <w:tcPr>
            <w:tcW w:w="200" w:type="dxa"/>
            <w:vAlign w:val="bottom"/>
          </w:tcPr>
          <w:p>
            <w:pPr>
              <w:spacing w:after="0"/>
              <w:rPr>
                <w:sz w:val="9"/>
                <w:szCs w:val="9"/>
                <w:color w:val="auto"/>
              </w:rPr>
            </w:pPr>
          </w:p>
        </w:tc>
        <w:tc>
          <w:tcPr>
            <w:tcW w:w="1280" w:type="dxa"/>
            <w:vAlign w:val="bottom"/>
            <w:gridSpan w:val="2"/>
          </w:tcPr>
          <w:p>
            <w:pPr>
              <w:ind w:left="100"/>
              <w:spacing w:after="0"/>
              <w:rPr>
                <w:sz w:val="20"/>
                <w:szCs w:val="20"/>
                <w:color w:val="auto"/>
              </w:rPr>
            </w:pPr>
            <w:r>
              <w:rPr>
                <w:rFonts w:ascii="Arial" w:cs="Arial" w:eastAsia="Arial" w:hAnsi="Arial"/>
                <w:sz w:val="8"/>
                <w:szCs w:val="8"/>
                <w:b w:val="1"/>
                <w:bCs w:val="1"/>
                <w:color w:val="auto"/>
              </w:rPr>
              <w:t>December 31, 2022</w:t>
            </w:r>
          </w:p>
        </w:tc>
        <w:tc>
          <w:tcPr>
            <w:tcW w:w="280" w:type="dxa"/>
            <w:vAlign w:val="bottom"/>
          </w:tcPr>
          <w:p>
            <w:pPr>
              <w:spacing w:after="0"/>
              <w:rPr>
                <w:sz w:val="9"/>
                <w:szCs w:val="9"/>
                <w:color w:val="auto"/>
              </w:rPr>
            </w:pPr>
          </w:p>
        </w:tc>
        <w:tc>
          <w:tcPr>
            <w:tcW w:w="1100" w:type="dxa"/>
            <w:vAlign w:val="bottom"/>
          </w:tcPr>
          <w:p>
            <w:pPr>
              <w:jc w:val="right"/>
              <w:ind w:right="258"/>
              <w:spacing w:after="0"/>
              <w:rPr>
                <w:sz w:val="20"/>
                <w:szCs w:val="20"/>
                <w:color w:val="auto"/>
              </w:rPr>
            </w:pPr>
            <w:r>
              <w:rPr>
                <w:rFonts w:ascii="Arial" w:cs="Arial" w:eastAsia="Arial" w:hAnsi="Arial"/>
                <w:sz w:val="8"/>
                <w:szCs w:val="8"/>
                <w:b w:val="1"/>
                <w:bCs w:val="1"/>
                <w:color w:val="auto"/>
              </w:rPr>
              <w:t>December 31, 2021</w:t>
            </w:r>
          </w:p>
        </w:tc>
      </w:tr>
      <w:tr>
        <w:trPr>
          <w:trHeight w:val="148"/>
        </w:trPr>
        <w:tc>
          <w:tcPr>
            <w:tcW w:w="5440" w:type="dxa"/>
            <w:vAlign w:val="bottom"/>
          </w:tcPr>
          <w:p>
            <w:pPr>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stockholders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10,019</w:t>
            </w:r>
          </w:p>
        </w:tc>
      </w:tr>
      <w:tr>
        <w:trPr>
          <w:trHeight w:val="169"/>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stock(a)</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(182)</w:t>
            </w:r>
          </w:p>
        </w:tc>
      </w:tr>
      <w:tr>
        <w:trPr>
          <w:trHeight w:val="187"/>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w:t>
            </w:r>
          </w:p>
        </w:tc>
      </w:tr>
      <w:tr>
        <w:trPr>
          <w:trHeight w:val="159"/>
        </w:trPr>
        <w:tc>
          <w:tcPr>
            <w:tcW w:w="5440" w:type="dxa"/>
            <w:vAlign w:val="bottom"/>
          </w:tcPr>
          <w:p>
            <w:pPr>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attributable to common stockholders – diluted</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8,915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9,837</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1,468</w:t>
            </w:r>
          </w:p>
        </w:tc>
      </w:tr>
      <w:tr>
        <w:trPr>
          <w:trHeight w:val="74"/>
        </w:trPr>
        <w:tc>
          <w:tcPr>
            <w:tcW w:w="5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6.70</w:t>
            </w:r>
          </w:p>
        </w:tc>
      </w:tr>
      <w:tr>
        <w:trPr>
          <w:trHeight w:val="167"/>
        </w:trPr>
        <w:tc>
          <w:tcPr>
            <w:tcW w:w="5440" w:type="dxa"/>
            <w:vAlign w:val="bottom"/>
          </w:tcPr>
          <w:p>
            <w:pPr>
              <w:ind w:left="140"/>
              <w:spacing w:after="0"/>
              <w:rPr>
                <w:sz w:val="20"/>
                <w:szCs w:val="20"/>
                <w:color w:val="auto"/>
              </w:rPr>
            </w:pPr>
            <w:r>
              <w:rPr>
                <w:rFonts w:ascii="Arial" w:cs="Arial" w:eastAsia="Arial" w:hAnsi="Arial"/>
                <w:sz w:val="11"/>
                <w:szCs w:val="11"/>
                <w:color w:val="auto"/>
              </w:rPr>
              <w:t>Potentially dilutive securities(b)</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w:t>
            </w: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21" w:lineRule="exact"/>
        <w:rPr>
          <w:sz w:val="20"/>
          <w:szCs w:val="20"/>
          <w:color w:val="auto"/>
        </w:rPr>
      </w:pPr>
    </w:p>
    <w:p>
      <w:pPr>
        <w:ind w:left="320" w:hanging="251"/>
        <w:spacing w:after="0" w:line="261" w:lineRule="auto"/>
        <w:tabs>
          <w:tab w:leader="none" w:pos="310" w:val="left"/>
        </w:tabs>
        <w:numPr>
          <w:ilvl w:val="0"/>
          <w:numId w:val="11"/>
        </w:numPr>
        <w:rPr>
          <w:rFonts w:ascii="Arial" w:cs="Arial" w:eastAsia="Arial" w:hAnsi="Arial"/>
          <w:sz w:val="11"/>
          <w:szCs w:val="11"/>
          <w:color w:val="auto"/>
        </w:rPr>
      </w:pPr>
      <w:r>
        <w:rPr>
          <w:rFonts w:ascii="Arial" w:cs="Arial" w:eastAsia="Arial" w:hAnsi="Arial"/>
          <w:sz w:val="11"/>
          <w:szCs w:val="11"/>
          <w:color w:val="auto"/>
        </w:rPr>
        <w:t>Cumulative dividends on subsidiary preferred stock includes a $909 million deemed dividend related to the redemption of Cruise preferred shares from SoftBank for the year ended December 31, 2022 and an insignificant amount in participating securities income from a subsidiary in the year ended December 31, 2022 and in the three months ended December 31, 2022 and 2021.</w:t>
      </w:r>
    </w:p>
    <w:p>
      <w:pPr>
        <w:ind w:left="320" w:hanging="251"/>
        <w:spacing w:after="0" w:line="284" w:lineRule="auto"/>
        <w:tabs>
          <w:tab w:leader="none" w:pos="310" w:val="left"/>
        </w:tabs>
        <w:numPr>
          <w:ilvl w:val="0"/>
          <w:numId w:val="11"/>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at December 31, 2022 and 2021 and restricted stock units (RSUs) at December 31, 2022, were excluded from the computation of diluted EPS because the securities would have had an antidilutive effect.</w:t>
      </w:r>
    </w:p>
    <w:p>
      <w:pPr>
        <w:spacing w:after="0" w:line="200" w:lineRule="exact"/>
        <w:rPr>
          <w:sz w:val="20"/>
          <w:szCs w:val="20"/>
          <w:color w:val="auto"/>
        </w:rPr>
      </w:pPr>
    </w:p>
    <w:p>
      <w:pPr>
        <w:spacing w:after="0" w:line="240"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320"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8"/>
                <w:szCs w:val="8"/>
                <w:b w:val="1"/>
                <w:bCs w:val="1"/>
                <w:color w:val="auto"/>
              </w:rPr>
              <w:t>December 31, 2022</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8"/>
                <w:szCs w:val="8"/>
                <w:b w:val="1"/>
                <w:bCs w:val="1"/>
                <w:color w:val="auto"/>
              </w:rPr>
              <w:t>December 31, 2021</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2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9"/>
                <w:szCs w:val="9"/>
                <w:color w:val="auto"/>
              </w:rPr>
            </w:pPr>
          </w:p>
        </w:tc>
        <w:tc>
          <w:tcPr>
            <w:tcW w:w="52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9"/>
                <w:szCs w:val="9"/>
                <w:color w:val="auto"/>
              </w:rPr>
            </w:pPr>
          </w:p>
        </w:tc>
        <w:tc>
          <w:tcPr>
            <w:tcW w:w="760" w:type="dxa"/>
            <w:vAlign w:val="bottom"/>
            <w:gridSpan w:val="2"/>
          </w:tcPr>
          <w:p>
            <w:pPr>
              <w:ind w:left="6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9"/>
                <w:szCs w:val="9"/>
                <w:color w:val="auto"/>
              </w:rPr>
            </w:pP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9"/>
                <w:szCs w:val="9"/>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9"/>
                <w:szCs w:val="9"/>
                <w:color w:val="auto"/>
              </w:rPr>
            </w:pPr>
          </w:p>
        </w:tc>
        <w:tc>
          <w:tcPr>
            <w:tcW w:w="54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9"/>
                <w:szCs w:val="9"/>
                <w:color w:val="auto"/>
              </w:rPr>
            </w:pPr>
          </w:p>
        </w:tc>
        <w:tc>
          <w:tcPr>
            <w:tcW w:w="74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116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20" w:type="dxa"/>
            <w:vAlign w:val="bottom"/>
          </w:tcPr>
          <w:p>
            <w:pPr>
              <w:spacing w:after="0"/>
              <w:rPr>
                <w:sz w:val="9"/>
                <w:szCs w:val="9"/>
                <w:color w:val="auto"/>
              </w:rPr>
            </w:pPr>
          </w:p>
        </w:tc>
        <w:tc>
          <w:tcPr>
            <w:tcW w:w="600" w:type="dxa"/>
            <w:vAlign w:val="bottom"/>
          </w:tcPr>
          <w:p>
            <w:pPr>
              <w:jc w:val="right"/>
              <w:ind w:right="151"/>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21"/>
        </w:trPr>
        <w:tc>
          <w:tcPr>
            <w:tcW w:w="2800" w:type="dxa"/>
            <w:vAlign w:val="bottom"/>
          </w:tcPr>
          <w:p>
            <w:pPr>
              <w:ind w:left="1200"/>
              <w:spacing w:after="0"/>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13,629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19,153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3,948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20,067</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10,760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1,390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12,150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7,076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8,609</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Accounts and notes receivable, net(a)</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11,910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2,114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13,333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7,553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(691)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7,394</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33,811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33,623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26,812</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26,649</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15,366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12,988</w:t>
            </w:r>
          </w:p>
        </w:tc>
        <w:tc>
          <w:tcPr>
            <w:tcW w:w="0" w:type="dxa"/>
            <w:vAlign w:val="bottom"/>
          </w:tcPr>
          <w:p>
            <w:pPr>
              <w:spacing w:after="0"/>
              <w:rPr>
                <w:sz w:val="1"/>
                <w:szCs w:val="1"/>
                <w:color w:val="auto"/>
              </w:rPr>
            </w:pPr>
          </w:p>
        </w:tc>
      </w:tr>
      <w:tr>
        <w:trPr>
          <w:trHeight w:val="134"/>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assets(b)</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2,009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347</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4,912</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6,825</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2,167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4,301</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6,396</w:t>
            </w:r>
          </w:p>
        </w:tc>
        <w:tc>
          <w:tcPr>
            <w:tcW w:w="0" w:type="dxa"/>
            <w:vAlign w:val="bottom"/>
          </w:tcPr>
          <w:p>
            <w:pPr>
              <w:spacing w:after="0"/>
              <w:rPr>
                <w:sz w:val="1"/>
                <w:szCs w:val="1"/>
                <w:color w:val="auto"/>
              </w:rPr>
            </w:pPr>
          </w:p>
        </w:tc>
      </w:tr>
      <w:tr>
        <w:trPr>
          <w:trHeight w:val="133"/>
        </w:trPr>
        <w:tc>
          <w:tcPr>
            <w:tcW w:w="2800" w:type="dxa"/>
            <w:vAlign w:val="bottom"/>
            <w:shd w:val="clear" w:color="auto" w:fill="CCEEFF"/>
          </w:tcPr>
          <w:p>
            <w:pPr>
              <w:ind w:left="120"/>
              <w:spacing w:after="0" w:line="114" w:lineRule="exact"/>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53,677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3,256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44,842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(1,324)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100,451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44,326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3,309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35,592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82,103</w:t>
            </w:r>
          </w:p>
        </w:tc>
        <w:tc>
          <w:tcPr>
            <w:tcW w:w="0" w:type="dxa"/>
            <w:vAlign w:val="bottom"/>
          </w:tcPr>
          <w:p>
            <w:pPr>
              <w:spacing w:after="0"/>
              <w:rPr>
                <w:sz w:val="1"/>
                <w:szCs w:val="1"/>
                <w:color w:val="auto"/>
              </w:rPr>
            </w:pPr>
          </w:p>
        </w:tc>
      </w:tr>
      <w:tr>
        <w:trPr>
          <w:trHeight w:val="137"/>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40,702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40,591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36,167</w:t>
            </w:r>
          </w:p>
        </w:tc>
        <w:tc>
          <w:tcPr>
            <w:tcW w:w="0" w:type="dxa"/>
            <w:vAlign w:val="bottom"/>
          </w:tcPr>
          <w:p>
            <w:pPr>
              <w:spacing w:after="0"/>
              <w:rPr>
                <w:sz w:val="1"/>
                <w:szCs w:val="1"/>
                <w:color w:val="auto"/>
              </w:rPr>
            </w:pPr>
          </w:p>
        </w:tc>
      </w:tr>
      <w:tr>
        <w:trPr>
          <w:trHeight w:val="134"/>
        </w:trPr>
        <w:tc>
          <w:tcPr>
            <w:tcW w:w="2800" w:type="dxa"/>
            <w:vAlign w:val="bottom"/>
          </w:tcPr>
          <w:p>
            <w:pPr>
              <w:ind w:left="100"/>
              <w:spacing w:after="0"/>
              <w:rPr>
                <w:sz w:val="20"/>
                <w:szCs w:val="20"/>
                <w:color w:val="auto"/>
              </w:rPr>
            </w:pPr>
            <w:r>
              <w:rPr>
                <w:rFonts w:ascii="Arial" w:cs="Arial" w:eastAsia="Arial" w:hAnsi="Arial"/>
                <w:sz w:val="10"/>
                <w:szCs w:val="10"/>
                <w:color w:val="auto"/>
              </w:rPr>
              <w:t>Equity in net assets of nonconsolidated affiliates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8,511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1,665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10,176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7,960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1,717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9,677</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45,011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45,248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40,858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41,115</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2,877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727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1,341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3,012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736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1,339</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5,087</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32,701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32,701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37,929</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20,348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1,108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(917)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20,539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21,653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(501)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21,152</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9,386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11,488</w:t>
            </w:r>
          </w:p>
        </w:tc>
        <w:tc>
          <w:tcPr>
            <w:tcW w:w="0" w:type="dxa"/>
            <w:vAlign w:val="bottom"/>
          </w:tcPr>
          <w:p>
            <w:pPr>
              <w:spacing w:after="0"/>
              <w:rPr>
                <w:sz w:val="1"/>
                <w:szCs w:val="1"/>
                <w:color w:val="auto"/>
              </w:rPr>
            </w:pPr>
          </w:p>
        </w:tc>
      </w:tr>
      <w:tr>
        <w:trPr>
          <w:trHeight w:val="124"/>
        </w:trPr>
        <w:tc>
          <w:tcPr>
            <w:tcW w:w="2800" w:type="dxa"/>
            <w:vAlign w:val="bottom"/>
            <w:tcBorders>
              <w:bottom w:val="single" w:sz="8" w:color="CCEEFF"/>
            </w:tcBorders>
          </w:tcPr>
          <w:p>
            <w:pPr>
              <w:ind w:left="120"/>
              <w:spacing w:after="0" w:line="110" w:lineRule="exact"/>
              <w:rPr>
                <w:sz w:val="20"/>
                <w:szCs w:val="20"/>
                <w:color w:val="auto"/>
              </w:rPr>
            </w:pPr>
            <w:r>
              <w:rPr>
                <w:rFonts w:ascii="Arial" w:cs="Arial" w:eastAsia="Arial" w:hAnsi="Arial"/>
                <w:sz w:val="10"/>
                <w:szCs w:val="10"/>
                <w:color w:val="auto"/>
              </w:rPr>
              <w:t>Total non-current assets</w:t>
            </w: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84,742</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2,254</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76,702</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163,586</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83,842</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1,180</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77,615</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162,615</w:t>
            </w:r>
          </w:p>
        </w:tc>
        <w:tc>
          <w:tcPr>
            <w:tcW w:w="0" w:type="dxa"/>
            <w:vAlign w:val="bottom"/>
          </w:tcPr>
          <w:p>
            <w:pPr>
              <w:spacing w:after="0"/>
              <w:rPr>
                <w:sz w:val="1"/>
                <w:szCs w:val="1"/>
                <w:color w:val="auto"/>
              </w:rPr>
            </w:pPr>
          </w:p>
        </w:tc>
      </w:tr>
      <w:tr>
        <w:trPr>
          <w:trHeight w:val="15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138,419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5,510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121,544</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264,037</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128,167</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Accounts payable (principally trade)(a)</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27,307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712</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(679)</w:t>
            </w:r>
          </w:p>
        </w:tc>
        <w:tc>
          <w:tcPr>
            <w:tcW w:w="10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27,486</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20,065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140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855</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(669)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20,391</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Short-term debt and current portion of 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200"/>
              <w:spacing w:after="0"/>
              <w:rPr>
                <w:sz w:val="20"/>
                <w:szCs w:val="20"/>
                <w:color w:val="auto"/>
              </w:rPr>
            </w:pPr>
            <w:r>
              <w:rPr>
                <w:rFonts w:ascii="Arial" w:cs="Arial" w:eastAsia="Arial" w:hAnsi="Arial"/>
                <w:sz w:val="10"/>
                <w:szCs w:val="10"/>
                <w:color w:val="auto"/>
              </w:rPr>
              <w:t>Automotive</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2,144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1,959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624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463</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Cruise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800" w:type="dxa"/>
            <w:vAlign w:val="bottom"/>
          </w:tcPr>
          <w:p>
            <w:pPr>
              <w:ind w:left="20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36,819</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36,819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33,257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33,257</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Accrued liabilities(b)</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18,662</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6,081</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(445)</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24,910</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16,879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230</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3,439</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(251)</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20,297</w:t>
            </w:r>
          </w:p>
        </w:tc>
        <w:tc>
          <w:tcPr>
            <w:tcW w:w="0" w:type="dxa"/>
            <w:vAlign w:val="bottom"/>
          </w:tcPr>
          <w:p>
            <w:pPr>
              <w:spacing w:after="0"/>
              <w:rPr>
                <w:sz w:val="1"/>
                <w:szCs w:val="1"/>
                <w:color w:val="auto"/>
              </w:rPr>
            </w:pPr>
          </w:p>
        </w:tc>
      </w:tr>
      <w:tr>
        <w:trPr>
          <w:trHeight w:val="124"/>
        </w:trPr>
        <w:tc>
          <w:tcPr>
            <w:tcW w:w="2800" w:type="dxa"/>
            <w:vAlign w:val="bottom"/>
          </w:tcPr>
          <w:p>
            <w:pPr>
              <w:ind w:left="120"/>
              <w:spacing w:after="0" w:line="110" w:lineRule="exact"/>
              <w:rPr>
                <w:sz w:val="20"/>
                <w:szCs w:val="20"/>
                <w:color w:val="auto"/>
              </w:rPr>
            </w:pPr>
            <w:r>
              <w:rPr>
                <w:rFonts w:ascii="Arial" w:cs="Arial" w:eastAsia="Arial" w:hAnsi="Arial"/>
                <w:sz w:val="10"/>
                <w:szCs w:val="10"/>
                <w:color w:val="auto"/>
              </w:rPr>
              <w:t>Total current liabilities</w:t>
            </w:r>
          </w:p>
        </w:tc>
        <w:tc>
          <w:tcPr>
            <w:tcW w:w="12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48,113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772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43,612</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91,173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37,568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37,550</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(1,108)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74,408</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15,879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15,885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16,348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16,355</w:t>
            </w:r>
          </w:p>
        </w:tc>
        <w:tc>
          <w:tcPr>
            <w:tcW w:w="0" w:type="dxa"/>
            <w:vAlign w:val="bottom"/>
          </w:tcPr>
          <w:p>
            <w:pPr>
              <w:spacing w:after="0"/>
              <w:rPr>
                <w:sz w:val="1"/>
                <w:szCs w:val="1"/>
                <w:color w:val="auto"/>
              </w:rPr>
            </w:pPr>
          </w:p>
        </w:tc>
      </w:tr>
      <w:tr>
        <w:trPr>
          <w:trHeight w:val="134"/>
        </w:trPr>
        <w:tc>
          <w:tcPr>
            <w:tcW w:w="2800" w:type="dxa"/>
            <w:vAlign w:val="bottom"/>
          </w:tcPr>
          <w:p>
            <w:pPr>
              <w:ind w:left="200"/>
              <w:spacing w:after="0"/>
              <w:rPr>
                <w:sz w:val="20"/>
                <w:szCs w:val="20"/>
                <w:color w:val="auto"/>
              </w:rPr>
            </w:pPr>
            <w:r>
              <w:rPr>
                <w:rFonts w:ascii="Arial" w:cs="Arial" w:eastAsia="Arial" w:hAnsi="Arial"/>
                <w:sz w:val="10"/>
                <w:szCs w:val="10"/>
                <w:color w:val="auto"/>
              </w:rPr>
              <w:t>Cruise</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60,036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60,036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59,304</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4,193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4,193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5,743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5,743</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5,692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5,698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8,008</w:t>
            </w:r>
          </w:p>
        </w:tc>
        <w:tc>
          <w:tcPr>
            <w:tcW w:w="0" w:type="dxa"/>
            <w:vAlign w:val="bottom"/>
          </w:tcPr>
          <w:p>
            <w:pPr>
              <w:spacing w:after="0"/>
              <w:rPr>
                <w:sz w:val="1"/>
                <w:szCs w:val="1"/>
                <w:color w:val="auto"/>
              </w:rPr>
            </w:pPr>
          </w:p>
        </w:tc>
      </w:tr>
      <w:tr>
        <w:trPr>
          <w:trHeight w:val="134"/>
        </w:trPr>
        <w:tc>
          <w:tcPr>
            <w:tcW w:w="2800" w:type="dxa"/>
            <w:vAlign w:val="bottom"/>
          </w:tcPr>
          <w:p>
            <w:pPr>
              <w:ind w:left="120"/>
              <w:spacing w:after="0"/>
              <w:rPr>
                <w:sz w:val="20"/>
                <w:szCs w:val="20"/>
                <w:color w:val="auto"/>
              </w:rPr>
            </w:pPr>
            <w:r>
              <w:rPr>
                <w:rFonts w:ascii="Arial" w:cs="Arial" w:eastAsia="Arial" w:hAnsi="Arial"/>
                <w:sz w:val="10"/>
                <w:szCs w:val="10"/>
                <w:color w:val="auto"/>
              </w:rPr>
              <w:t>Other liabilities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11,927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465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2,375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14,767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488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2,058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15,085</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37,691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583</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62,417</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(112)</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100,579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42,654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61,368</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104,495</w:t>
            </w:r>
          </w:p>
        </w:tc>
        <w:tc>
          <w:tcPr>
            <w:tcW w:w="0" w:type="dxa"/>
            <w:vAlign w:val="bottom"/>
          </w:tcPr>
          <w:p>
            <w:pPr>
              <w:spacing w:after="0"/>
              <w:rPr>
                <w:sz w:val="1"/>
                <w:szCs w:val="1"/>
                <w:color w:val="auto"/>
              </w:rPr>
            </w:pPr>
          </w:p>
        </w:tc>
      </w:tr>
      <w:tr>
        <w:trPr>
          <w:trHeight w:val="12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Total Liabilities</w:t>
            </w:r>
          </w:p>
        </w:tc>
        <w:tc>
          <w:tcPr>
            <w:tcW w:w="12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85,804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1,356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106,029</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191,752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80,222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892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98,918</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(1,129)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178,903</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Noncontrolling interest - Cruise Stock Incentive Awards</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7"/>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134"/>
        </w:trPr>
        <w:tc>
          <w:tcPr>
            <w:tcW w:w="2800" w:type="dxa"/>
            <w:vAlign w:val="bottom"/>
          </w:tcPr>
          <w:p>
            <w:pPr>
              <w:ind w:left="80"/>
              <w:spacing w:after="0"/>
              <w:rPr>
                <w:sz w:val="20"/>
                <w:szCs w:val="20"/>
                <w:color w:val="auto"/>
              </w:rPr>
            </w:pPr>
            <w:r>
              <w:rPr>
                <w:rFonts w:ascii="Arial" w:cs="Arial" w:eastAsia="Arial" w:hAnsi="Arial"/>
                <w:sz w:val="10"/>
                <w:szCs w:val="10"/>
                <w:color w:val="auto"/>
              </w:rPr>
              <w:t>Additional paid-in capital(c)</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26,313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1,433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(1,409)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26,428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27,065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1,551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(1,611)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27,061</w:t>
            </w: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32,054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15,429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49,251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27,920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13,985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41,937</w:t>
            </w:r>
          </w:p>
        </w:tc>
        <w:tc>
          <w:tcPr>
            <w:tcW w:w="0" w:type="dxa"/>
            <w:vAlign w:val="bottom"/>
          </w:tcPr>
          <w:p>
            <w:pPr>
              <w:spacing w:after="0"/>
              <w:rPr>
                <w:sz w:val="1"/>
                <w:szCs w:val="1"/>
                <w:color w:val="auto"/>
              </w:rPr>
            </w:pPr>
          </w:p>
        </w:tc>
      </w:tr>
      <w:tr>
        <w:trPr>
          <w:trHeight w:val="134"/>
        </w:trPr>
        <w:tc>
          <w:tcPr>
            <w:tcW w:w="2800" w:type="dxa"/>
            <w:vAlign w:val="bottom"/>
          </w:tcPr>
          <w:p>
            <w:pPr>
              <w:ind w:left="8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(6,552)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(1,348)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(7,901)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(8,025)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(1,248)</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(9,269)</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51,829</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1,855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15,515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(1,407)</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67,792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46,974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14,288</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(1,620)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59,744</w:t>
            </w:r>
          </w:p>
        </w:tc>
        <w:tc>
          <w:tcPr>
            <w:tcW w:w="0" w:type="dxa"/>
            <w:vAlign w:val="bottom"/>
          </w:tcPr>
          <w:p>
            <w:pPr>
              <w:spacing w:after="0"/>
              <w:rPr>
                <w:sz w:val="1"/>
                <w:szCs w:val="1"/>
                <w:color w:val="auto"/>
              </w:rPr>
            </w:pPr>
          </w:p>
        </w:tc>
      </w:tr>
      <w:tr>
        <w:trPr>
          <w:trHeight w:val="134"/>
        </w:trPr>
        <w:tc>
          <w:tcPr>
            <w:tcW w:w="2800" w:type="dxa"/>
            <w:vAlign w:val="bottom"/>
          </w:tcPr>
          <w:p>
            <w:pPr>
              <w:ind w:left="80"/>
              <w:spacing w:after="0"/>
              <w:rPr>
                <w:sz w:val="20"/>
                <w:szCs w:val="20"/>
                <w:color w:val="auto"/>
              </w:rPr>
            </w:pPr>
            <w:r>
              <w:rPr>
                <w:rFonts w:ascii="Arial" w:cs="Arial" w:eastAsia="Arial" w:hAnsi="Arial"/>
                <w:sz w:val="10"/>
                <w:szCs w:val="10"/>
                <w:color w:val="auto"/>
              </w:rPr>
              <w:t>Noncontrolling interests(c)</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786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1,942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1,407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4,135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971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3,496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ind w:right="11"/>
              <w:spacing w:after="0"/>
              <w:rPr>
                <w:sz w:val="20"/>
                <w:szCs w:val="20"/>
                <w:color w:val="auto"/>
              </w:rPr>
            </w:pPr>
            <w:r>
              <w:rPr>
                <w:rFonts w:ascii="Arial" w:cs="Arial" w:eastAsia="Arial" w:hAnsi="Arial"/>
                <w:sz w:val="10"/>
                <w:szCs w:val="10"/>
                <w:color w:val="auto"/>
              </w:rPr>
              <w:t>1,603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6,071</w:t>
            </w:r>
          </w:p>
        </w:tc>
        <w:tc>
          <w:tcPr>
            <w:tcW w:w="0" w:type="dxa"/>
            <w:vAlign w:val="bottom"/>
          </w:tcPr>
          <w:p>
            <w:pPr>
              <w:spacing w:after="0"/>
              <w:rPr>
                <w:sz w:val="1"/>
                <w:szCs w:val="1"/>
                <w:color w:val="auto"/>
              </w:rPr>
            </w:pPr>
          </w:p>
        </w:tc>
      </w:tr>
      <w:tr>
        <w:trPr>
          <w:trHeight w:val="133"/>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52,615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3,797</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15,515</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71,927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47,945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3,597</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14,289</w:t>
            </w: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65,815</w:t>
            </w:r>
          </w:p>
        </w:tc>
        <w:tc>
          <w:tcPr>
            <w:tcW w:w="0" w:type="dxa"/>
            <w:vAlign w:val="bottom"/>
          </w:tcPr>
          <w:p>
            <w:pPr>
              <w:spacing w:after="0"/>
              <w:rPr>
                <w:sz w:val="1"/>
                <w:szCs w:val="1"/>
                <w:color w:val="auto"/>
              </w:rPr>
            </w:pPr>
          </w:p>
        </w:tc>
      </w:tr>
      <w:tr>
        <w:trPr>
          <w:trHeight w:val="12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138,419</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5,510</w:t>
            </w:r>
          </w:p>
        </w:tc>
        <w:tc>
          <w:tcPr>
            <w:tcW w:w="80" w:type="dxa"/>
            <w:vAlign w:val="bottom"/>
          </w:tcPr>
          <w:p>
            <w:pPr>
              <w:spacing w:after="0"/>
              <w:rPr>
                <w:sz w:val="10"/>
                <w:szCs w:val="1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121,544</w:t>
            </w:r>
          </w:p>
        </w:tc>
        <w:tc>
          <w:tcPr>
            <w:tcW w:w="100" w:type="dxa"/>
            <w:vAlign w:val="bottom"/>
          </w:tcPr>
          <w:p>
            <w:pPr>
              <w:spacing w:after="0"/>
              <w:rPr>
                <w:sz w:val="10"/>
                <w:szCs w:val="1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(1,436)</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264,037</w:t>
            </w:r>
          </w:p>
        </w:tc>
        <w:tc>
          <w:tcPr>
            <w:tcW w:w="100" w:type="dxa"/>
            <w:vAlign w:val="bottom"/>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128,167</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4,489</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113,207</w:t>
            </w:r>
          </w:p>
        </w:tc>
        <w:tc>
          <w:tcPr>
            <w:tcW w:w="100" w:type="dxa"/>
            <w:vAlign w:val="bottom"/>
          </w:tcPr>
          <w:p>
            <w:pPr>
              <w:spacing w:after="0"/>
              <w:rPr>
                <w:sz w:val="10"/>
                <w:szCs w:val="10"/>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(1,145)</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244,718</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_________</w:t>
      </w:r>
    </w:p>
    <w:p>
      <w:pPr>
        <w:spacing w:after="0" w:line="10" w:lineRule="exact"/>
        <w:rPr>
          <w:sz w:val="20"/>
          <w:szCs w:val="20"/>
          <w:color w:val="auto"/>
        </w:rPr>
      </w:pPr>
    </w:p>
    <w:p>
      <w:pPr>
        <w:ind w:left="260" w:hanging="255"/>
        <w:spacing w:after="0" w:line="248" w:lineRule="auto"/>
        <w:tabs>
          <w:tab w:leader="none" w:pos="253" w:val="left"/>
        </w:tabs>
        <w:numPr>
          <w:ilvl w:val="0"/>
          <w:numId w:val="12"/>
        </w:numPr>
        <w:rPr>
          <w:rFonts w:ascii="Arial" w:cs="Arial" w:eastAsia="Arial" w:hAnsi="Arial"/>
          <w:sz w:val="10"/>
          <w:szCs w:val="10"/>
          <w:color w:val="auto"/>
        </w:rPr>
      </w:pPr>
      <w:r>
        <w:rPr>
          <w:rFonts w:ascii="Arial" w:cs="Arial" w:eastAsia="Arial" w:hAnsi="Arial"/>
          <w:sz w:val="10"/>
          <w:szCs w:val="10"/>
          <w:color w:val="auto"/>
        </w:rPr>
        <w:t>Eliminations primarily include GM Financial accounts and notes receivable of $495 million offset by Automotive accounts payable and Automotive accounts receivable of $115 million offset by GM Financial accounts payable at December 31, 2022; and GM Financial accounts and notes receivable of $301 million offset by Automotive accounts payable and Automotive accounts receivable of $313 million offset by GM Financial accounts payable at December 31, 2021.</w:t>
      </w:r>
    </w:p>
    <w:p>
      <w:pPr>
        <w:ind w:left="260" w:hanging="255"/>
        <w:spacing w:after="0"/>
        <w:tabs>
          <w:tab w:leader="none" w:pos="2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Eliminations primarily related to intercompany capital expenditures between Automotive and Cruise for the Cruise Origin.</w:t>
      </w:r>
    </w:p>
    <w:p>
      <w:pPr>
        <w:spacing w:after="0" w:line="7" w:lineRule="exact"/>
        <w:rPr>
          <w:rFonts w:ascii="Arial" w:cs="Arial" w:eastAsia="Arial" w:hAnsi="Arial"/>
          <w:sz w:val="10"/>
          <w:szCs w:val="10"/>
          <w:color w:val="auto"/>
        </w:rPr>
      </w:pPr>
    </w:p>
    <w:p>
      <w:pPr>
        <w:ind w:left="260" w:hanging="255"/>
        <w:spacing w:after="0"/>
        <w:tabs>
          <w:tab w:leader="none" w:pos="2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Primarily reclassification of GM Financial Cumulative Perpetual Preferred Stock, Series A, B and C. The preferred stock is classified as noncontrolling interests in our condensed consolidated balance sheets.</w:t>
      </w:r>
    </w:p>
    <w:p>
      <w:pPr>
        <w:spacing w:after="0" w:line="200" w:lineRule="exact"/>
        <w:rPr>
          <w:sz w:val="20"/>
          <w:szCs w:val="20"/>
          <w:color w:val="auto"/>
        </w:rPr>
      </w:pPr>
    </w:p>
    <w:p>
      <w:pPr>
        <w:spacing w:after="0" w:line="284"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80"/>
          </w:cols>
          <w:pgMar w:left="300" w:top="320" w:right="31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Combining Cash Flow Information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w:t>
      </w:r>
    </w:p>
    <w:p>
      <w:pPr>
        <w:spacing w:after="0" w:line="97" w:lineRule="exact"/>
        <w:rPr>
          <w:sz w:val="20"/>
          <w:szCs w:val="20"/>
          <w:color w:val="auto"/>
        </w:rPr>
      </w:pPr>
    </w:p>
    <w:tbl>
      <w:tblPr>
        <w:tblLayout w:type="fixed"/>
        <w:tblInd w:w="60" w:type="dxa"/>
        <w:tblCellMar>
          <w:top w:w="0" w:type="dxa"/>
          <w:left w:w="0" w:type="dxa"/>
          <w:bottom w:w="0" w:type="dxa"/>
          <w:right w:w="0" w:type="dxa"/>
        </w:tblCellMar>
      </w:tblPr>
      <w:tr>
        <w:trPr>
          <w:trHeight w:val="104"/>
        </w:trPr>
        <w:tc>
          <w:tcPr>
            <w:tcW w:w="3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5"/>
          </w:tcPr>
          <w:p>
            <w:pPr>
              <w:ind w:left="60"/>
              <w:spacing w:after="0"/>
              <w:rPr>
                <w:sz w:val="20"/>
                <w:szCs w:val="20"/>
                <w:color w:val="auto"/>
              </w:rPr>
            </w:pPr>
            <w:r>
              <w:rPr>
                <w:rFonts w:ascii="Arial" w:cs="Arial" w:eastAsia="Arial" w:hAnsi="Arial"/>
                <w:sz w:val="7"/>
                <w:szCs w:val="7"/>
                <w:b w:val="1"/>
                <w:bCs w:val="1"/>
                <w:color w:val="auto"/>
              </w:rPr>
              <w:t>Year Ended December 31, 2022</w:t>
            </w: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gridSpan w:val="4"/>
          </w:tcPr>
          <w:p>
            <w:pPr>
              <w:spacing w:after="0"/>
              <w:rPr>
                <w:sz w:val="20"/>
                <w:szCs w:val="20"/>
                <w:color w:val="auto"/>
              </w:rPr>
            </w:pPr>
            <w:r>
              <w:rPr>
                <w:rFonts w:ascii="Arial" w:cs="Arial" w:eastAsia="Arial" w:hAnsi="Arial"/>
                <w:sz w:val="7"/>
                <w:szCs w:val="7"/>
                <w:b w:val="1"/>
                <w:bCs w:val="1"/>
                <w:color w:val="auto"/>
              </w:rPr>
              <w:t>Year Ended December 31, 2021</w:t>
            </w: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06"/>
        </w:trPr>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9"/>
                <w:szCs w:val="9"/>
                <w:color w:val="auto"/>
              </w:rPr>
            </w:pPr>
          </w:p>
        </w:tc>
        <w:tc>
          <w:tcPr>
            <w:tcW w:w="480" w:type="dxa"/>
            <w:vAlign w:val="bottom"/>
          </w:tcPr>
          <w:p>
            <w:pPr>
              <w:jc w:val="right"/>
              <w:ind w:right="151"/>
              <w:spacing w:after="0"/>
              <w:rPr>
                <w:sz w:val="20"/>
                <w:szCs w:val="20"/>
                <w:color w:val="auto"/>
              </w:rPr>
            </w:pPr>
            <w:r>
              <w:rPr>
                <w:rFonts w:ascii="Arial" w:cs="Arial" w:eastAsia="Arial" w:hAnsi="Arial"/>
                <w:sz w:val="7"/>
                <w:szCs w:val="7"/>
                <w:b w:val="1"/>
                <w:bCs w:val="1"/>
                <w:color w:val="auto"/>
              </w:rPr>
              <w:t>Cruise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00" w:type="dxa"/>
            <w:vAlign w:val="bottom"/>
          </w:tcPr>
          <w:p>
            <w:pPr>
              <w:spacing w:after="0"/>
              <w:rPr>
                <w:sz w:val="9"/>
                <w:szCs w:val="9"/>
                <w:color w:val="auto"/>
              </w:rPr>
            </w:pP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9"/>
                <w:szCs w:val="9"/>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9"/>
                <w:szCs w:val="9"/>
                <w:color w:val="auto"/>
              </w:rPr>
            </w:pPr>
          </w:p>
        </w:tc>
        <w:tc>
          <w:tcPr>
            <w:tcW w:w="580" w:type="dxa"/>
            <w:vAlign w:val="bottom"/>
            <w:gridSpan w:val="2"/>
          </w:tcPr>
          <w:p>
            <w:pPr>
              <w:ind w:left="60"/>
              <w:spacing w:after="0"/>
              <w:rPr>
                <w:sz w:val="20"/>
                <w:szCs w:val="20"/>
                <w:color w:val="auto"/>
              </w:rPr>
            </w:pPr>
            <w:r>
              <w:rPr>
                <w:rFonts w:ascii="Arial" w:cs="Arial" w:eastAsia="Arial" w:hAnsi="Arial"/>
                <w:sz w:val="7"/>
                <w:szCs w:val="7"/>
                <w:b w:val="1"/>
                <w:bCs w:val="1"/>
                <w:color w:val="auto"/>
              </w:rPr>
              <w:t>Cruise</w:t>
            </w:r>
          </w:p>
        </w:tc>
        <w:tc>
          <w:tcPr>
            <w:tcW w:w="60" w:type="dxa"/>
            <w:vAlign w:val="bottom"/>
          </w:tcPr>
          <w:p>
            <w:pPr>
              <w:spacing w:after="0"/>
              <w:rPr>
                <w:sz w:val="9"/>
                <w:szCs w:val="9"/>
                <w:color w:val="auto"/>
              </w:rPr>
            </w:pPr>
          </w:p>
        </w:tc>
        <w:tc>
          <w:tcPr>
            <w:tcW w:w="66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20" w:type="dxa"/>
            <w:vAlign w:val="bottom"/>
          </w:tcPr>
          <w:p>
            <w:pPr>
              <w:spacing w:after="0"/>
              <w:rPr>
                <w:sz w:val="9"/>
                <w:szCs w:val="9"/>
                <w:color w:val="auto"/>
              </w:rPr>
            </w:pPr>
          </w:p>
        </w:tc>
        <w:tc>
          <w:tcPr>
            <w:tcW w:w="580" w:type="dxa"/>
            <w:vAlign w:val="bottom"/>
          </w:tcPr>
          <w:p>
            <w:pPr>
              <w:jc w:val="right"/>
              <w:ind w:right="131"/>
              <w:spacing w:after="0"/>
              <w:rPr>
                <w:sz w:val="20"/>
                <w:szCs w:val="20"/>
                <w:color w:val="auto"/>
              </w:rPr>
            </w:pPr>
            <w:r>
              <w:rPr>
                <w:rFonts w:ascii="Arial" w:cs="Arial" w:eastAsia="Arial" w:hAnsi="Arial"/>
                <w:sz w:val="7"/>
                <w:szCs w:val="7"/>
                <w:b w:val="1"/>
                <w:bCs w:val="1"/>
                <w:color w:val="auto"/>
              </w:rPr>
              <w:t>Combined</w:t>
            </w:r>
          </w:p>
        </w:tc>
      </w:tr>
      <w:tr>
        <w:trPr>
          <w:trHeight w:val="124"/>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41"/>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8,509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3,095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3,796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9,945</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w w:val="98"/>
              </w:rPr>
              <w:t>Depreciation and impairment of Equipment on operating leases,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4,839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4,839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6,076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6,076</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w w:val="98"/>
              </w:rPr>
              <w:t>Depreciation, amortization and impairment charges on Property,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6,346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6,451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5,861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5,975</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Foreign currency remeasurement and transaction (gains) losses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173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172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(17)</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Undistributed earnings of nonconsolidated affiliates,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(517)</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(837)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(838)</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 and OPEB income,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(1,605)</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(1,297)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475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425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317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201</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2,214</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Change in other operating assets and liabilities(a)</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1,067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(1,263)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(5,144)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(3,366)</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Other operating activities(c)</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243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(1,688)</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3,435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(2,702)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(3,412)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(2,679)</w:t>
            </w:r>
          </w:p>
        </w:tc>
      </w:tr>
      <w:tr>
        <w:trPr>
          <w:trHeight w:val="13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19,094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(1,832)</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5,476</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(6,695)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16,043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9,693</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(1,167)</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7,297</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(634)</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15,188</w:t>
            </w:r>
          </w:p>
        </w:tc>
      </w:tr>
      <w:tr>
        <w:trPr>
          <w:trHeight w:val="13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9"/>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Expenditures for property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(9,007)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(7,509)</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Available-for-sale marketable securities, acquisitions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(8,511)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(3,326)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(11,837)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(5,150)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(3,811)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(8,962)</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Available-for-sale marketable securities, liquidations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4,565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3,506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8,057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3,245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9,347</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Purchases of finance receivables, net (a)</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(39,113)</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5,139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(33,974)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(33,013)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(33,009)</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Principal collections and recoveries on finance receivables(a)</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27,017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26,887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27,720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24,622</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(11,949)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(11,949)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(14,602)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(14,602)</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14,234</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14,234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14,393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14,393</w:t>
            </w:r>
          </w:p>
        </w:tc>
      </w:tr>
      <w:tr>
        <w:trPr>
          <w:trHeight w:val="134"/>
        </w:trPr>
        <w:tc>
          <w:tcPr>
            <w:tcW w:w="31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investing activities(b)</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(4,544)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w:t>
            </w:r>
          </w:p>
        </w:tc>
        <w:tc>
          <w:tcPr>
            <w:tcW w:w="10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4,633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(1,758)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1,142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(635)</w:t>
            </w:r>
          </w:p>
        </w:tc>
      </w:tr>
      <w:tr>
        <w:trPr>
          <w:trHeight w:val="133"/>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investing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(17,497)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(10,006)</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9,638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(17,882)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(5,543)</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(16,355)</w:t>
            </w:r>
          </w:p>
        </w:tc>
      </w:tr>
      <w:tr>
        <w:trPr>
          <w:trHeight w:val="137"/>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39"/>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Net increase (decrease) in short-term debt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333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2,911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2,912</w:t>
            </w:r>
          </w:p>
        </w:tc>
      </w:tr>
      <w:tr>
        <w:trPr>
          <w:trHeight w:val="104"/>
        </w:trPr>
        <w:tc>
          <w:tcPr>
            <w:tcW w:w="3100" w:type="dxa"/>
            <w:vAlign w:val="bottom"/>
          </w:tcPr>
          <w:p>
            <w:pPr>
              <w:ind w:left="120"/>
              <w:spacing w:after="0" w:line="104" w:lineRule="exact"/>
              <w:rPr>
                <w:sz w:val="20"/>
                <w:szCs w:val="20"/>
                <w:color w:val="auto"/>
              </w:rPr>
            </w:pPr>
            <w:r>
              <w:rPr>
                <w:rFonts w:ascii="Arial" w:cs="Arial" w:eastAsia="Arial" w:hAnsi="Arial"/>
                <w:sz w:val="10"/>
                <w:szCs w:val="10"/>
                <w:color w:val="auto"/>
              </w:rPr>
              <w:t>Proceeds from issuance of debt (original maturities greater than</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5"/>
        </w:trPr>
        <w:tc>
          <w:tcPr>
            <w:tcW w:w="3100" w:type="dxa"/>
            <w:vAlign w:val="bottom"/>
          </w:tcPr>
          <w:p>
            <w:pPr>
              <w:ind w:left="240"/>
              <w:spacing w:after="0"/>
              <w:rPr>
                <w:sz w:val="20"/>
                <w:szCs w:val="20"/>
                <w:color w:val="auto"/>
              </w:rPr>
            </w:pPr>
            <w:r>
              <w:rPr>
                <w:rFonts w:ascii="Arial" w:cs="Arial" w:eastAsia="Arial" w:hAnsi="Arial"/>
                <w:sz w:val="10"/>
                <w:szCs w:val="10"/>
                <w:color w:val="auto"/>
              </w:rPr>
              <w:t>three months)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43,557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45,813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ind w:right="11"/>
              <w:spacing w:after="0"/>
              <w:rPr>
                <w:sz w:val="20"/>
                <w:szCs w:val="20"/>
                <w:color w:val="auto"/>
              </w:rPr>
            </w:pPr>
            <w:r>
              <w:rPr>
                <w:rFonts w:ascii="Arial" w:cs="Arial" w:eastAsia="Arial" w:hAnsi="Arial"/>
                <w:sz w:val="10"/>
                <w:szCs w:val="10"/>
                <w:color w:val="auto"/>
              </w:rPr>
              <w:t>44,933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45,300</w:t>
            </w:r>
          </w:p>
        </w:tc>
      </w:tr>
      <w:tr>
        <w:trPr>
          <w:trHeight w:val="143"/>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Payments on debt (original maturities greater than three months)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(37,925)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(39,606)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(46,708)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(47,806)</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Payment to purchase common stock</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(2,514)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(2,500)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Issuance (redemptions) of subsidiary preferred stock(b)</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2,736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1,736</w:t>
            </w:r>
          </w:p>
        </w:tc>
      </w:tr>
      <w:tr>
        <w:trPr>
          <w:trHeight w:val="134"/>
        </w:trPr>
        <w:tc>
          <w:tcPr>
            <w:tcW w:w="3100" w:type="dxa"/>
            <w:vAlign w:val="bottom"/>
          </w:tcPr>
          <w:p>
            <w:pPr>
              <w:ind w:left="120"/>
              <w:spacing w:after="0"/>
              <w:rPr>
                <w:sz w:val="20"/>
                <w:szCs w:val="20"/>
                <w:color w:val="auto"/>
              </w:rPr>
            </w:pPr>
            <w:r>
              <w:rPr>
                <w:rFonts w:ascii="Arial" w:cs="Arial" w:eastAsia="Arial" w:hAnsi="Arial"/>
                <w:sz w:val="10"/>
                <w:szCs w:val="10"/>
                <w:color w:val="auto"/>
              </w:rPr>
              <w:t>Dividends paid(c)</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(265)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(1,819)</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1,745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(397)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(3,620)</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(186)</w:t>
            </w:r>
          </w:p>
        </w:tc>
      </w:tr>
      <w:tr>
        <w:trPr>
          <w:trHeight w:val="142"/>
        </w:trPr>
        <w:tc>
          <w:tcPr>
            <w:tcW w:w="31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(363)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(668)</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10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(1,178)</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(32)</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(158)</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(212)</w:t>
            </w:r>
          </w:p>
        </w:tc>
      </w:tr>
      <w:tr>
        <w:trPr>
          <w:trHeight w:val="125"/>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(2,478)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1,791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4,014</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(2,943)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383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(873)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2,647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(2,641)</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2,612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1,744</w:t>
            </w:r>
          </w:p>
        </w:tc>
      </w:tr>
      <w:tr>
        <w:trPr>
          <w:trHeight w:val="107"/>
        </w:trPr>
        <w:tc>
          <w:tcPr>
            <w:tcW w:w="3100" w:type="dxa"/>
            <w:vAlign w:val="bottom"/>
            <w:shd w:val="clear" w:color="auto" w:fill="CCEEFF"/>
          </w:tcPr>
          <w:p>
            <w:pPr>
              <w:ind w:left="120"/>
              <w:spacing w:after="0" w:line="107" w:lineRule="exact"/>
              <w:rPr>
                <w:sz w:val="20"/>
                <w:szCs w:val="20"/>
                <w:color w:val="auto"/>
              </w:rPr>
            </w:pPr>
            <w:r>
              <w:rPr>
                <w:rFonts w:ascii="Arial" w:cs="Arial" w:eastAsia="Arial" w:hAnsi="Arial"/>
                <w:sz w:val="10"/>
                <w:szCs w:val="10"/>
                <w:color w:val="auto"/>
              </w:rPr>
              <w:t>Effect of exchange rate changes on cash, cash equivalents and</w:t>
            </w: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r>
      <w:tr>
        <w:trPr>
          <w:trHeight w:val="140"/>
        </w:trPr>
        <w:tc>
          <w:tcPr>
            <w:tcW w:w="3100" w:type="dxa"/>
            <w:vAlign w:val="bottom"/>
            <w:shd w:val="clear" w:color="auto" w:fill="CCEEFF"/>
          </w:tcPr>
          <w:p>
            <w:pPr>
              <w:ind w:left="240"/>
              <w:spacing w:after="0"/>
              <w:rPr>
                <w:sz w:val="20"/>
                <w:szCs w:val="20"/>
                <w:color w:val="auto"/>
              </w:rPr>
            </w:pPr>
            <w:r>
              <w:rPr>
                <w:rFonts w:ascii="Arial" w:cs="Arial" w:eastAsia="Arial" w:hAnsi="Arial"/>
                <w:sz w:val="10"/>
                <w:szCs w:val="10"/>
                <w:color w:val="auto"/>
              </w:rPr>
              <w:t>restricted cash</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w:t>
            </w:r>
          </w:p>
        </w:tc>
      </w:tr>
      <w:tr>
        <w:trPr>
          <w:trHeight w:val="84"/>
        </w:trPr>
        <w:tc>
          <w:tcPr>
            <w:tcW w:w="3100" w:type="dxa"/>
            <w:vAlign w:val="bottom"/>
          </w:tcPr>
          <w:p>
            <w:pPr>
              <w:ind w:left="120"/>
              <w:spacing w:after="0" w:line="84" w:lineRule="exact"/>
              <w:rPr>
                <w:sz w:val="20"/>
                <w:szCs w:val="20"/>
                <w:color w:val="auto"/>
              </w:rPr>
            </w:pPr>
            <w:r>
              <w:rPr>
                <w:rFonts w:ascii="Arial" w:cs="Arial" w:eastAsia="Arial" w:hAnsi="Arial"/>
                <w:sz w:val="9"/>
                <w:szCs w:val="9"/>
                <w:color w:val="auto"/>
              </w:rPr>
              <w:t>Net increase (decrease) in cash, cash equivalents and restricted</w:t>
            </w: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r>
      <w:tr>
        <w:trPr>
          <w:trHeight w:val="135"/>
        </w:trPr>
        <w:tc>
          <w:tcPr>
            <w:tcW w:w="3100" w:type="dxa"/>
            <w:vAlign w:val="bottom"/>
          </w:tcPr>
          <w:p>
            <w:pPr>
              <w:ind w:left="240"/>
              <w:spacing w:after="0"/>
              <w:rPr>
                <w:sz w:val="20"/>
                <w:szCs w:val="20"/>
                <w:color w:val="auto"/>
              </w:rPr>
            </w:pPr>
            <w:r>
              <w:rPr>
                <w:rFonts w:ascii="Arial" w:cs="Arial" w:eastAsia="Arial" w:hAnsi="Arial"/>
                <w:sz w:val="10"/>
                <w:szCs w:val="10"/>
                <w:color w:val="auto"/>
              </w:rPr>
              <w:t>cash</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(1,028)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0"/>
                <w:szCs w:val="10"/>
                <w:color w:val="auto"/>
              </w:rPr>
              <w:t>(59)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(507)</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818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(943)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425</w:t>
            </w:r>
          </w:p>
        </w:tc>
      </w:tr>
      <w:tr>
        <w:trPr>
          <w:trHeight w:val="143"/>
        </w:trPr>
        <w:tc>
          <w:tcPr>
            <w:tcW w:w="31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7,183</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23,117</w:t>
            </w:r>
          </w:p>
        </w:tc>
      </w:tr>
      <w:tr>
        <w:trPr>
          <w:trHeight w:val="124"/>
        </w:trPr>
        <w:tc>
          <w:tcPr>
            <w:tcW w:w="3100" w:type="dxa"/>
            <w:vAlign w:val="bottom"/>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13,746</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1,526</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6,676</w:t>
            </w:r>
          </w:p>
        </w:tc>
        <w:tc>
          <w:tcPr>
            <w:tcW w:w="100" w:type="dxa"/>
            <w:vAlign w:val="bottom"/>
          </w:tcPr>
          <w:p>
            <w:pPr>
              <w:spacing w:after="0"/>
              <w:rPr>
                <w:sz w:val="10"/>
                <w:szCs w:val="10"/>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21,948</w:t>
            </w:r>
          </w:p>
        </w:tc>
        <w:tc>
          <w:tcPr>
            <w:tcW w:w="1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14,774</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1,584</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7,183</w:t>
            </w:r>
          </w:p>
        </w:tc>
        <w:tc>
          <w:tcPr>
            <w:tcW w:w="100" w:type="dxa"/>
            <w:vAlign w:val="bottom"/>
          </w:tcPr>
          <w:p>
            <w:pPr>
              <w:spacing w:after="0"/>
              <w:rPr>
                <w:sz w:val="10"/>
                <w:szCs w:val="10"/>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23,542</w:t>
            </w:r>
          </w:p>
        </w:tc>
      </w:tr>
      <w:tr>
        <w:trPr>
          <w:trHeight w:val="20"/>
        </w:trPr>
        <w:tc>
          <w:tcPr>
            <w:tcW w:w="3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0"/>
          <w:szCs w:val="10"/>
          <w:color w:val="auto"/>
        </w:rPr>
        <w:t>_________</w:t>
      </w:r>
    </w:p>
    <w:p>
      <w:pPr>
        <w:spacing w:after="0" w:line="10" w:lineRule="exact"/>
        <w:rPr>
          <w:sz w:val="20"/>
          <w:szCs w:val="20"/>
          <w:color w:val="auto"/>
        </w:rPr>
      </w:pPr>
    </w:p>
    <w:p>
      <w:pPr>
        <w:ind w:left="260" w:hanging="255"/>
        <w:spacing w:after="0" w:line="248" w:lineRule="auto"/>
        <w:tabs>
          <w:tab w:leader="none" w:pos="253"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reclassifications of $5.0 billion and $2.9 billion in the years ended December 31, 2022 and 2021 for purchases/collections of wholesale finance receivables resulting from vehicles sold by GM to dealers that have arranged their inventory floor plan financing through GM Financial.</w:t>
      </w:r>
    </w:p>
    <w:p>
      <w:pPr>
        <w:ind w:left="260" w:hanging="255"/>
        <w:spacing w:after="0"/>
        <w:tabs>
          <w:tab w:leader="none" w:pos="2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Includes reclassification of $2.1 billion redemption of Cruise preferred shares from SoftBank in the year ended December 31, 2022 and $2.4 billion and $1.0 billion in the years ended December 31, 2022 and 2021 for Automotive investment in Cruise.</w:t>
      </w:r>
    </w:p>
    <w:p>
      <w:pPr>
        <w:spacing w:after="0" w:line="7" w:lineRule="exact"/>
        <w:rPr>
          <w:rFonts w:ascii="Arial" w:cs="Arial" w:eastAsia="Arial" w:hAnsi="Arial"/>
          <w:sz w:val="10"/>
          <w:szCs w:val="10"/>
          <w:color w:val="auto"/>
        </w:rPr>
      </w:pPr>
    </w:p>
    <w:p>
      <w:pPr>
        <w:ind w:left="260" w:hanging="255"/>
        <w:spacing w:after="0"/>
        <w:tabs>
          <w:tab w:leader="none" w:pos="2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Eliminations include dividends issued by GM Financial to Automotive.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14</w:t>
      </w:r>
    </w:p>
    <w:sectPr>
      <w:pgSz w:w="11900" w:h="16838" w:orient="portrait"/>
      <w:cols w:equalWidth="0" w:num="1">
        <w:col w:w="11280"/>
      </w:cols>
      <w:pgMar w:left="300" w:top="3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1)"/>
      <w:numFmt w:val="lowerLetter"/>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2023-01-31T06:50:15Z</dcterms:created>
  <dcterms:modified xsi:type="dcterms:W3CDTF">2023-01-31T06:50:15Z</dcterms:modified>
</cp:coreProperties>
</file>