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July 25, 2023</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tbl>
      <w:tblPr>
        <w:tblLayout w:type="fixed"/>
        <w:tblInd w:w="1840" w:type="dxa"/>
        <w:tblCellMar>
          <w:top w:w="0" w:type="dxa"/>
          <w:left w:w="0" w:type="dxa"/>
          <w:bottom w:w="0" w:type="dxa"/>
          <w:right w:w="0" w:type="dxa"/>
        </w:tblCellMar>
      </w:tblPr>
      <w:tr>
        <w:trPr>
          <w:trHeight w:val="208"/>
        </w:trPr>
        <w:tc>
          <w:tcPr>
            <w:tcW w:w="3900" w:type="dxa"/>
            <w:vAlign w:val="bottom"/>
          </w:tcPr>
          <w:p>
            <w:pPr>
              <w:jc w:val="center"/>
              <w:ind w:right="1942"/>
              <w:spacing w:after="0"/>
              <w:rPr>
                <w:sz w:val="20"/>
                <w:szCs w:val="20"/>
                <w:color w:val="auto"/>
              </w:rPr>
            </w:pPr>
            <w:r>
              <w:rPr>
                <w:rFonts w:ascii="Arial" w:cs="Arial" w:eastAsia="Arial" w:hAnsi="Arial"/>
                <w:sz w:val="18"/>
                <w:szCs w:val="18"/>
                <w:color w:val="auto"/>
                <w:w w:val="89"/>
              </w:rPr>
              <w:t>Delaware</w:t>
            </w:r>
          </w:p>
        </w:tc>
        <w:tc>
          <w:tcPr>
            <w:tcW w:w="3160" w:type="dxa"/>
            <w:vAlign w:val="bottom"/>
          </w:tcPr>
          <w:p>
            <w:pPr>
              <w:jc w:val="center"/>
              <w:ind w:left="1962"/>
              <w:spacing w:after="0"/>
              <w:rPr>
                <w:sz w:val="20"/>
                <w:szCs w:val="20"/>
                <w:color w:val="auto"/>
              </w:rPr>
            </w:pPr>
            <w:r>
              <w:rPr>
                <w:rFonts w:ascii="Arial" w:cs="Arial" w:eastAsia="Arial" w:hAnsi="Arial"/>
                <w:sz w:val="18"/>
                <w:szCs w:val="18"/>
                <w:color w:val="auto"/>
                <w:w w:val="91"/>
              </w:rPr>
              <w:t>27-0756180</w:t>
            </w:r>
          </w:p>
        </w:tc>
      </w:tr>
      <w:tr>
        <w:trPr>
          <w:trHeight w:val="148"/>
        </w:trPr>
        <w:tc>
          <w:tcPr>
            <w:tcW w:w="390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1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300 Renaissance Center</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Detroit, Michigan 48265-3000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(313) 667-1500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including zip code, of registrant’s principal executive offices)</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2020 LONG-TERM INCENTIVE PLAN</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John S. Kim</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Assistant Corporate Secretary and Lead Counsel – Corporate Governance, Finance and Securities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300 Renaissance Center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Detroit, Michigan 48265-3000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(313) 667-1500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Copy to:</w:t>
      </w:r>
    </w:p>
    <w:p>
      <w:pPr>
        <w:spacing w:after="0" w:line="1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Craig B. Glidden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Vice President and General Counsel</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300 Renaissance Center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Detroit, Michigan 48265-3000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(313) 667-1500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2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174" w:lineRule="exact"/>
        <w:rPr>
          <w:sz w:val="24"/>
          <w:szCs w:val="24"/>
          <w:color w:val="auto"/>
        </w:rPr>
      </w:pPr>
    </w:p>
    <w:p>
      <w:pPr>
        <w:ind w:right="24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9" w:right="4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EXPLANATORY NOTE</w:t>
      </w: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Pursuant to General Instruction E of Form S-8, this registration statement on Form S-8 (this “Registration Statement”) is being filed in order to register an additional 27,000,000 shares of common stock, par value $0.01 per share (“Common Stock”) of General Motors Company (the “Company,” the “Registrant,” “we,” or “General Motors”) under the General Motors Company 2020 Long-Term Incentive Plan (the “Plan”), which are securities of the same class and relate to the same employee benefit plan as those securities registered on the Company’s registration statement on Form S-8 previously filed with the Securities and Exchange Commission (the “SEC”) on June 25, 2020 (Registration No. 333-239425), which is hereby incorporated by reference, except to the extent supplemented, amended or superseded by information set forth in this Registration Statement.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documents containing the information specified in Part I of Form S-8 will be delivered to employees as specified by Rule 428(b)(1) of the Securities Act of 1933, as amended (the “Securities Act”). In accordance with the instructions of Part I of Form S-8, such documents are not being filed with the SEC either as part of this Registration Statement or as prospectuses or prospectus supplements pursuant to Rule 424 of the Securities Act. Such documents and the documents incorporated by reference in this Registration Statement pursuant to Item 3 of Part II of Form S-8, taken together, constitute a prospectus that meets the requirements of Section 10(a) of the Securities Act.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Certain Documents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incorporates into this Registration Statement the following documents filed with the SEC:</w:t>
      </w:r>
    </w:p>
    <w:p>
      <w:pPr>
        <w:spacing w:after="0" w:line="131" w:lineRule="exact"/>
        <w:rPr>
          <w:sz w:val="20"/>
          <w:szCs w:val="20"/>
          <w:color w:val="auto"/>
        </w:rPr>
      </w:pPr>
    </w:p>
    <w:p>
      <w:pPr>
        <w:ind w:left="980" w:hanging="433"/>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w:t>
      </w:r>
      <w:hyperlink r:id="rId18">
        <w:r>
          <w:rPr>
            <w:rFonts w:ascii="Arial" w:cs="Arial" w:eastAsia="Arial" w:hAnsi="Arial"/>
            <w:sz w:val="18"/>
            <w:szCs w:val="18"/>
            <w:u w:val="single" w:color="auto"/>
            <w:color w:val="0000EE"/>
          </w:rPr>
          <w:t>Annual Report on Form 10-K for the fiscal year ended December 31, 2022</w:t>
        </w:r>
      </w:hyperlink>
      <w:r>
        <w:rPr>
          <w:rFonts w:ascii="Arial" w:cs="Arial" w:eastAsia="Arial" w:hAnsi="Arial"/>
          <w:sz w:val="18"/>
          <w:szCs w:val="18"/>
          <w:color w:val="auto"/>
        </w:rPr>
        <w:t>, filed with the SEC on January 31, 2023;</w:t>
      </w:r>
    </w:p>
    <w:p>
      <w:pPr>
        <w:spacing w:after="0" w:line="130" w:lineRule="exact"/>
        <w:rPr>
          <w:rFonts w:ascii="Arial" w:cs="Arial" w:eastAsia="Arial" w:hAnsi="Arial"/>
          <w:sz w:val="18"/>
          <w:szCs w:val="18"/>
          <w:color w:val="auto"/>
        </w:rPr>
      </w:pPr>
    </w:p>
    <w:p>
      <w:pPr>
        <w:ind w:left="980" w:right="500" w:hanging="433"/>
        <w:spacing w:after="0" w:line="277" w:lineRule="auto"/>
        <w:tabs>
          <w:tab w:leader="none" w:pos="980" w:val="left"/>
        </w:tabs>
        <w:numPr>
          <w:ilvl w:val="0"/>
          <w:numId w:val="1"/>
        </w:numPr>
        <w:rPr>
          <w:rFonts w:ascii="Arial" w:cs="Arial" w:eastAsia="Arial" w:hAnsi="Arial"/>
          <w:sz w:val="18"/>
          <w:szCs w:val="18"/>
          <w:color w:val="0000EE"/>
        </w:rPr>
      </w:pPr>
      <w:hyperlink r:id="rId19">
        <w:r>
          <w:rPr>
            <w:rFonts w:ascii="Arial" w:cs="Arial" w:eastAsia="Arial" w:hAnsi="Arial"/>
            <w:sz w:val="18"/>
            <w:szCs w:val="18"/>
            <w:color w:val="auto"/>
          </w:rPr>
          <w:t xml:space="preserve">Our </w:t>
        </w:r>
        <w:r>
          <w:rPr>
            <w:rFonts w:ascii="Arial" w:cs="Arial" w:eastAsia="Arial" w:hAnsi="Arial"/>
            <w:sz w:val="18"/>
            <w:szCs w:val="18"/>
            <w:u w:val="single" w:color="auto"/>
            <w:color w:val="0000EE"/>
          </w:rPr>
          <w:t>Quarterly Report on Form 10-Q for the quarter ended March 31, 2023</w:t>
        </w:r>
        <w:r>
          <w:rPr>
            <w:rFonts w:ascii="Arial" w:cs="Arial" w:eastAsia="Arial" w:hAnsi="Arial"/>
            <w:sz w:val="18"/>
            <w:szCs w:val="18"/>
            <w:color w:val="auto"/>
          </w:rPr>
          <w:t xml:space="preserve">, filed with the SEC on April 25, 2023, and our </w:t>
        </w:r>
        <w:r>
          <w:rPr>
            <w:rFonts w:ascii="Arial" w:cs="Arial" w:eastAsia="Arial" w:hAnsi="Arial"/>
            <w:sz w:val="18"/>
            <w:szCs w:val="18"/>
            <w:u w:val="single" w:color="auto"/>
            <w:color w:val="0000EE"/>
          </w:rPr>
          <w:t>Quarterly</w:t>
        </w:r>
      </w:hyperlink>
      <w:r>
        <w:rPr>
          <w:rFonts w:ascii="Arial" w:cs="Arial" w:eastAsia="Arial" w:hAnsi="Arial"/>
          <w:sz w:val="18"/>
          <w:szCs w:val="18"/>
          <w:color w:val="auto"/>
        </w:rPr>
        <w:t xml:space="preserve"> </w:t>
      </w:r>
      <w:hyperlink r:id="rId19">
        <w:r>
          <w:rPr>
            <w:rFonts w:ascii="Arial" w:cs="Arial" w:eastAsia="Arial" w:hAnsi="Arial"/>
            <w:sz w:val="18"/>
            <w:szCs w:val="18"/>
            <w:u w:val="single" w:color="auto"/>
            <w:color w:val="0000EE"/>
          </w:rPr>
          <w:t>Report on Form 10-Q for the quarter ended June 30, 2023</w:t>
        </w:r>
        <w:r>
          <w:rPr>
            <w:rFonts w:ascii="Arial" w:cs="Arial" w:eastAsia="Arial" w:hAnsi="Arial"/>
            <w:sz w:val="18"/>
            <w:szCs w:val="18"/>
            <w:color w:val="000000"/>
          </w:rPr>
          <w:t>, filed with the SEC on July 25, 2023;</w:t>
        </w:r>
      </w:hyperlink>
    </w:p>
    <w:p>
      <w:pPr>
        <w:spacing w:after="0" w:line="75" w:lineRule="exact"/>
        <w:rPr>
          <w:rFonts w:ascii="Arial" w:cs="Arial" w:eastAsia="Arial" w:hAnsi="Arial"/>
          <w:sz w:val="18"/>
          <w:szCs w:val="18"/>
          <w:color w:val="0000EE"/>
        </w:rPr>
      </w:pPr>
    </w:p>
    <w:p>
      <w:pPr>
        <w:ind w:left="980" w:right="520" w:hanging="433"/>
        <w:spacing w:after="0" w:line="263" w:lineRule="auto"/>
        <w:tabs>
          <w:tab w:leader="none" w:pos="980" w:val="left"/>
        </w:tabs>
        <w:numPr>
          <w:ilvl w:val="0"/>
          <w:numId w:val="1"/>
        </w:numPr>
        <w:rPr>
          <w:rFonts w:ascii="Arial" w:cs="Arial" w:eastAsia="Arial" w:hAnsi="Arial"/>
          <w:sz w:val="18"/>
          <w:szCs w:val="18"/>
          <w:color w:val="000000"/>
        </w:rPr>
      </w:pPr>
      <w:r>
        <w:rPr>
          <w:rFonts w:ascii="Arial" w:cs="Arial" w:eastAsia="Arial" w:hAnsi="Arial"/>
          <w:sz w:val="18"/>
          <w:szCs w:val="18"/>
          <w:color w:val="auto"/>
        </w:rPr>
        <w:t xml:space="preserve">Our Current Reports on Form 8-K or Form 8-K/A, as applicable, filed with the SEC on </w:t>
      </w:r>
      <w:hyperlink r:id="rId20">
        <w:r>
          <w:rPr>
            <w:rFonts w:ascii="Arial" w:cs="Arial" w:eastAsia="Arial" w:hAnsi="Arial"/>
            <w:sz w:val="18"/>
            <w:szCs w:val="18"/>
            <w:u w:val="single" w:color="auto"/>
            <w:color w:val="0000EE"/>
          </w:rPr>
          <w:t>February 22,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(Film No. 23653931), </w:t>
      </w:r>
      <w:hyperlink r:id="rId21">
        <w:r>
          <w:rPr>
            <w:rFonts w:ascii="Arial" w:cs="Arial" w:eastAsia="Arial" w:hAnsi="Arial"/>
            <w:sz w:val="18"/>
            <w:szCs w:val="18"/>
            <w:u w:val="single" w:color="auto"/>
            <w:color w:val="0000EE"/>
          </w:rPr>
          <w:t>February 22, 2023</w:t>
        </w:r>
        <w:r>
          <w:rPr>
            <w:rFonts w:ascii="Arial" w:cs="Arial" w:eastAsia="Arial" w:hAnsi="Arial"/>
            <w:sz w:val="18"/>
            <w:szCs w:val="18"/>
            <w:color w:val="0000EE"/>
          </w:rPr>
          <w:t xml:space="preserve"> </w:t>
        </w:r>
      </w:hyperlink>
      <w:r>
        <w:rPr>
          <w:rFonts w:ascii="Arial" w:cs="Arial" w:eastAsia="Arial" w:hAnsi="Arial"/>
          <w:sz w:val="18"/>
          <w:szCs w:val="18"/>
          <w:color w:val="000000"/>
        </w:rPr>
        <w:t>(Film</w:t>
      </w:r>
      <w:r>
        <w:rPr>
          <w:rFonts w:ascii="Arial" w:cs="Arial" w:eastAsia="Arial" w:hAnsi="Arial"/>
          <w:sz w:val="18"/>
          <w:szCs w:val="18"/>
          <w:color w:val="0000EE"/>
        </w:rPr>
        <w:t xml:space="preserve"> </w:t>
      </w:r>
      <w:r>
        <w:rPr>
          <w:rFonts w:ascii="Arial" w:cs="Arial" w:eastAsia="Arial" w:hAnsi="Arial"/>
          <w:sz w:val="18"/>
          <w:szCs w:val="18"/>
          <w:color w:val="000000"/>
        </w:rPr>
        <w:t>No. 23654002),</w:t>
      </w:r>
      <w:r>
        <w:rPr>
          <w:rFonts w:ascii="Arial" w:cs="Arial" w:eastAsia="Arial" w:hAnsi="Arial"/>
          <w:sz w:val="18"/>
          <w:szCs w:val="18"/>
          <w:color w:val="0000EE"/>
        </w:rPr>
        <w:t xml:space="preserve"> </w:t>
      </w:r>
      <w:hyperlink r:id="rId22">
        <w:r>
          <w:rPr>
            <w:rFonts w:ascii="Arial" w:cs="Arial" w:eastAsia="Arial" w:hAnsi="Arial"/>
            <w:sz w:val="18"/>
            <w:szCs w:val="18"/>
            <w:u w:val="single" w:color="auto"/>
            <w:color w:val="0000EE"/>
          </w:rPr>
          <w:t>March 9, 2023</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3">
        <w:r>
          <w:rPr>
            <w:rFonts w:ascii="Arial" w:cs="Arial" w:eastAsia="Arial" w:hAnsi="Arial"/>
            <w:sz w:val="18"/>
            <w:szCs w:val="18"/>
            <w:u w:val="single" w:color="auto"/>
            <w:color w:val="0000EE"/>
          </w:rPr>
          <w:t>March 31, 2023</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4">
        <w:r>
          <w:rPr>
            <w:rFonts w:ascii="Arial" w:cs="Arial" w:eastAsia="Arial" w:hAnsi="Arial"/>
            <w:sz w:val="18"/>
            <w:szCs w:val="18"/>
            <w:u w:val="single" w:color="auto"/>
            <w:color w:val="0000EE"/>
          </w:rPr>
          <w:t>April 21, 2023</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5">
        <w:r>
          <w:rPr>
            <w:rFonts w:ascii="Arial" w:cs="Arial" w:eastAsia="Arial" w:hAnsi="Arial"/>
            <w:sz w:val="18"/>
            <w:szCs w:val="18"/>
            <w:u w:val="single" w:color="auto"/>
            <w:color w:val="0000EE"/>
          </w:rPr>
          <w:t>May 3, 2023</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6">
        <w:r>
          <w:rPr>
            <w:rFonts w:ascii="Arial" w:cs="Arial" w:eastAsia="Arial" w:hAnsi="Arial"/>
            <w:sz w:val="18"/>
            <w:szCs w:val="18"/>
            <w:u w:val="single" w:color="auto"/>
            <w:color w:val="0000EE"/>
          </w:rPr>
          <w:t xml:space="preserve">June 22, 2023 </w:t>
        </w:r>
      </w:hyperlink>
      <w:r>
        <w:rPr>
          <w:rFonts w:ascii="Arial" w:cs="Arial" w:eastAsia="Arial" w:hAnsi="Arial"/>
          <w:sz w:val="18"/>
          <w:szCs w:val="18"/>
          <w:color w:val="000000"/>
        </w:rPr>
        <w:t>(Film</w:t>
      </w:r>
      <w:r>
        <w:rPr>
          <w:rFonts w:ascii="Arial" w:cs="Arial" w:eastAsia="Arial" w:hAnsi="Arial"/>
          <w:sz w:val="18"/>
          <w:szCs w:val="18"/>
          <w:color w:val="0000EE"/>
        </w:rPr>
        <w:t xml:space="preserve"> </w:t>
      </w:r>
      <w:r>
        <w:rPr>
          <w:rFonts w:ascii="Arial" w:cs="Arial" w:eastAsia="Arial" w:hAnsi="Arial"/>
          <w:sz w:val="18"/>
          <w:szCs w:val="18"/>
          <w:color w:val="000000"/>
        </w:rPr>
        <w:t>No.</w:t>
      </w:r>
      <w:r>
        <w:rPr>
          <w:rFonts w:ascii="Arial" w:cs="Arial" w:eastAsia="Arial" w:hAnsi="Arial"/>
          <w:sz w:val="18"/>
          <w:szCs w:val="18"/>
          <w:color w:val="0000EE"/>
        </w:rPr>
        <w:t xml:space="preserve"> </w:t>
      </w:r>
      <w:r>
        <w:rPr>
          <w:rFonts w:ascii="Arial" w:cs="Arial" w:eastAsia="Arial" w:hAnsi="Arial"/>
          <w:sz w:val="18"/>
          <w:szCs w:val="18"/>
          <w:color w:val="000000"/>
        </w:rPr>
        <w:t xml:space="preserve">231033601), and </w:t>
      </w:r>
      <w:hyperlink r:id="rId27">
        <w:r>
          <w:rPr>
            <w:rFonts w:ascii="Arial" w:cs="Arial" w:eastAsia="Arial" w:hAnsi="Arial"/>
            <w:sz w:val="18"/>
            <w:szCs w:val="18"/>
            <w:u w:val="single" w:color="auto"/>
            <w:color w:val="0000EE"/>
          </w:rPr>
          <w:t>June 22, 2023</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(Film No. 231033643); and</w:t>
      </w:r>
    </w:p>
    <w:p>
      <w:pPr>
        <w:spacing w:after="0" w:line="89" w:lineRule="exact"/>
        <w:rPr>
          <w:rFonts w:ascii="Arial" w:cs="Arial" w:eastAsia="Arial" w:hAnsi="Arial"/>
          <w:sz w:val="18"/>
          <w:szCs w:val="18"/>
          <w:color w:val="000000"/>
        </w:rPr>
      </w:pPr>
    </w:p>
    <w:p>
      <w:pPr>
        <w:jc w:val="both"/>
        <w:ind w:left="980" w:right="100" w:hanging="433"/>
        <w:spacing w:after="0" w:line="263"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description of the Common Stock set forth in our </w:t>
      </w:r>
      <w:hyperlink r:id="rId28">
        <w:r>
          <w:rPr>
            <w:rFonts w:ascii="Arial" w:cs="Arial" w:eastAsia="Arial" w:hAnsi="Arial"/>
            <w:sz w:val="18"/>
            <w:szCs w:val="18"/>
            <w:u w:val="single" w:color="auto"/>
            <w:color w:val="0000EE"/>
          </w:rPr>
          <w:t>registration statement on Form 8-A</w:t>
        </w:r>
      </w:hyperlink>
      <w:r>
        <w:rPr>
          <w:rFonts w:ascii="Arial" w:cs="Arial" w:eastAsia="Arial" w:hAnsi="Arial"/>
          <w:sz w:val="18"/>
          <w:szCs w:val="18"/>
          <w:color w:val="auto"/>
        </w:rPr>
        <w:t xml:space="preserve">, filed with the SEC on November 10, 2010, as updated by </w:t>
      </w:r>
      <w:hyperlink r:id="rId29">
        <w:r>
          <w:rPr>
            <w:rFonts w:ascii="Arial" w:cs="Arial" w:eastAsia="Arial" w:hAnsi="Arial"/>
            <w:sz w:val="18"/>
            <w:szCs w:val="18"/>
            <w:u w:val="single" w:color="auto"/>
            <w:color w:val="0000EE"/>
          </w:rPr>
          <w:t>Exhibit 4.1 to our Annual Report on Form 10-K for the fiscal year ended December 31, 2019</w:t>
        </w:r>
      </w:hyperlink>
      <w:r>
        <w:rPr>
          <w:rFonts w:ascii="Arial" w:cs="Arial" w:eastAsia="Arial" w:hAnsi="Arial"/>
          <w:sz w:val="18"/>
          <w:szCs w:val="18"/>
          <w:color w:val="auto"/>
        </w:rPr>
        <w:t>, filed February 5, 2020, together with any subsequent amendment or any report filed for the purpose of updating such description.</w:t>
      </w:r>
    </w:p>
    <w:p>
      <w:pPr>
        <w:spacing w:after="0" w:line="184" w:lineRule="exact"/>
        <w:rPr>
          <w:rFonts w:ascii="Arial" w:cs="Arial" w:eastAsia="Arial" w:hAnsi="Arial"/>
          <w:sz w:val="18"/>
          <w:szCs w:val="18"/>
          <w:color w:val="auto"/>
        </w:rPr>
      </w:pPr>
    </w:p>
    <w:p>
      <w:pPr>
        <w:ind w:right="160"/>
        <w:spacing w:after="0" w:line="259" w:lineRule="auto"/>
        <w:rPr>
          <w:sz w:val="20"/>
          <w:szCs w:val="20"/>
          <w:color w:val="auto"/>
        </w:rPr>
      </w:pPr>
      <w:r>
        <w:rPr>
          <w:rFonts w:ascii="Arial" w:cs="Arial" w:eastAsia="Arial" w:hAnsi="Arial"/>
          <w:sz w:val="18"/>
          <w:szCs w:val="18"/>
          <w:color w:val="auto"/>
        </w:rPr>
        <w:t>In addition, all documents subsequently filed by the Company with the SEC pursuant to Sections 13(a), 13(c), 14 and 15(d) of the Securities Exchange Act of 1934, as amended (the “Exchange Act”),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of such documents.</w:t>
      </w:r>
    </w:p>
    <w:p>
      <w:pPr>
        <w:spacing w:after="0" w:line="187" w:lineRule="exact"/>
        <w:rPr>
          <w:rFonts w:ascii="Arial" w:cs="Arial" w:eastAsia="Arial" w:hAnsi="Arial"/>
          <w:sz w:val="18"/>
          <w:szCs w:val="18"/>
          <w:color w:val="auto"/>
        </w:rPr>
      </w:pPr>
    </w:p>
    <w:p>
      <w:pPr>
        <w:ind w:right="80"/>
        <w:spacing w:after="0" w:line="263" w:lineRule="auto"/>
        <w:rPr>
          <w:sz w:val="20"/>
          <w:szCs w:val="20"/>
          <w:color w:val="auto"/>
        </w:rPr>
      </w:pPr>
      <w:r>
        <w:rPr>
          <w:rFonts w:ascii="Arial" w:cs="Arial" w:eastAsia="Arial" w:hAnsi="Arial"/>
          <w:sz w:val="18"/>
          <w:szCs w:val="18"/>
          <w:color w:val="auto"/>
        </w:rPr>
        <w:t>Notwithstanding the foregoing, unless expressly incorporated into this Registration Statement, to the extent that any information contained in any document, or any exhibit thereto, was or is deemed to have been furnished to, rather than filed with, the SEC, such information or exhibit is specifically not incorporated by reference in this Registration Statement.</w:t>
      </w:r>
    </w:p>
    <w:p>
      <w:pPr>
        <w:spacing w:after="0" w:line="116"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486" w:right="459" w:bottom="1440" w:gutter="0" w:footer="0" w:header="0"/>
        </w:sectPr>
      </w:pPr>
    </w:p>
    <w:bookmarkStart w:id="2" w:name="page3"/>
    <w:bookmarkEnd w:id="2"/>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 Any such statement so modified, superseded or replaced shall not be deemed, except as so modified, superseded or replaced, to constitute a part of this Registration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legality of the issuance of the Common Stock being registered hereby has been passed upon for the Company by John S. Kim, the Company’s Assistant Corporate Secretary and Lead Counsel – Corporate Governance, Finance and Securities. Mr. Kim is paid a salary by the Company and owns and/or has outstanding equity awards under employee benefit plans offered to employees of the Company generally.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Officers and Directors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Under Section 145 of the Delaware General Corporation Law, General Motors is empowered to indemnify its directors and officers as provided therein.</w:t>
      </w:r>
    </w:p>
    <w:p>
      <w:pPr>
        <w:spacing w:after="0" w:line="24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General Motors’ Restated Certificate of Incorporation, as amended (the “Certificate”), provides that no director shall be personally liable to General Motors or its stockholders for monetary damages for breach of fiduciary duty as a director, except for liability (i) for any breach of the director’s duty of loyalty to General Motors or its stockholders, (ii) for acts or omissions not in good faith or which involve intentional misconduct or a knowing violation of law, (iii) under Section 174, or any successor provision thereto, of the Delaware General Corporation Law, or (iv) for any transaction from which the director derived an improper personal benefit.</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Article V of its Amended and Restated Bylaws (the “Bylaws”), General Motors shall indemnify and advance expenses to every current or former director and officer in the manner and to the fullest extent permitted by applicable law as it presently exists or may hereafter be amended (but, in the case of any such amendment, only to the extent that such amendment permits the Company to provide broader indemnification rights than such law permitted the Company to provide prior to such amendment), against any and all amounts (including judgments, fines, payments in settlement, attorneys’ fees and other expenses) reasonably incurred or suffered by or on behalf of such person in connection with any threatened, pending or completed investigation, action, suit or proceeding, whether civil, criminal, administrative or investigative (a “proceeding”), in which such director or officer was or is made or is threatened to be made a party or called as a witness or is otherwise involved by reason of the fact that such person is or was a director or officer of General Motors, or is or was serving at the request of General Motors as a director, officer, employee, fiduciary or member of any other corporation, partnership, joint venture, trust, organization or other enterprise (hereinafter, an “indemnitee”), whether the basis of such proceeding is an alleged action in an official capacity as a director, officer, employee, fiduciary or member or in any other capacity while serving as a director, officer, employee, fiduciary or member. Except as provided below with respect to proceedings to enforce rights to indemnification, General Motors shall not be required to indemnify a person in connection with a proceeding (or part thereof) initiated by such person if the proceeding (or part thereof) was not authorized by the Board of Directors of General Motors. For purposes of these provisions, “officer” means a person elected or appointed to an officer position by resolution of the Board of Directors of General Motors or an authorized committee thereof.</w:t>
      </w:r>
    </w:p>
    <w:p>
      <w:pPr>
        <w:spacing w:after="0" w:line="17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General Motors shall pay the expenses of an indemnitee incurred in defending any proceeding in advance of its final disposition (“advancement of expenses”); provided, however, that the payment of expenses incurred by an indemnitee in advance of the final disposition of the proceeding shall be made only upon receipt of an undertaking by the indemnitee to repay all amounts advanced if it should be ultimately determined that by final judicial decision from which there is no further right of appeal the indemnitee is not entitled to be indemnified under Article V of the Bylaws or applicable law. If a claim for indemnification or advancement of expenses by an indemnitee under Article V of the Bylaws is not paid in full within ninety days after a written claim therefor has been received by General Motors, the indemnitee may file suit to recover the unpaid amount of such claim and, if successful in whole or in part, shall be entitled to be paid the expense of prosecuting such claim. In any such action, General Motors shall have the burden of proving that the indemnitee was not entitled to the requested indemnification or advancement of expenses under applicable law.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490" w:right="459" w:bottom="1440" w:gutter="0" w:footer="0" w:header="0"/>
        </w:sectPr>
      </w:pPr>
    </w:p>
    <w:bookmarkStart w:id="3" w:name="page4"/>
    <w:bookmarkEnd w:id="3"/>
    <w:p>
      <w:pPr>
        <w:ind w:left="4" w:right="5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rights conferred on any person by Article V of the Bylaws shall not be exclusive of any other rights which such person may have or hereafter acquire under any statute, provision of the Certificate or Bylaws, agreement, vote of stockholders or disinterested directors or otherwise.</w:t>
      </w:r>
    </w:p>
    <w:p>
      <w:pPr>
        <w:spacing w:after="0" w:line="124" w:lineRule="exact"/>
        <w:rPr>
          <w:sz w:val="20"/>
          <w:szCs w:val="20"/>
          <w:color w:val="auto"/>
        </w:rPr>
      </w:pPr>
    </w:p>
    <w:p>
      <w:pPr>
        <w:ind w:left="4" w:right="20"/>
        <w:spacing w:after="0" w:line="254" w:lineRule="auto"/>
        <w:rPr>
          <w:sz w:val="20"/>
          <w:szCs w:val="20"/>
          <w:color w:val="auto"/>
        </w:rPr>
      </w:pPr>
      <w:r>
        <w:rPr>
          <w:rFonts w:ascii="Arial" w:cs="Arial" w:eastAsia="Arial" w:hAnsi="Arial"/>
          <w:sz w:val="18"/>
          <w:szCs w:val="18"/>
          <w:color w:val="auto"/>
        </w:rPr>
        <w:t>The Board of Directors may, to the fullest extent permitted by applicable law as it presently exists, or may hereafter be amended from time to time, authorize an appropriate officer or officers to purchase and maintain at General Motors’ expense insurance: (a) to reimburse General Motors for any obligation which it incurs under the provisions of Article V of the Bylaws as a result of the indemnification of past, present or future directors, officers, employees, agents and any persons who have served in the past, are now serving or in the future will serve at the request of General Motors as a director, officer, employee or agent of another corporation, partnership, joint venture, trust or other enterprise; and (b) to pay on behalf of or to indemnify such persons against liability in instances in which they may not otherwise be indemnified by the Company under the provisions of Article V of the Bylaws, whether or not General Motors would have the power to indemnify such persons against such liability under Article V of the Bylaws or under applicable law.</w:t>
      </w:r>
    </w:p>
    <w:p>
      <w:pPr>
        <w:spacing w:after="0" w:line="192" w:lineRule="exact"/>
        <w:rPr>
          <w:sz w:val="20"/>
          <w:szCs w:val="20"/>
          <w:color w:val="auto"/>
        </w:rPr>
      </w:pPr>
    </w:p>
    <w:p>
      <w:pPr>
        <w:jc w:val="both"/>
        <w:ind w:left="4" w:right="360"/>
        <w:spacing w:after="0" w:line="342" w:lineRule="auto"/>
        <w:rPr>
          <w:sz w:val="20"/>
          <w:szCs w:val="20"/>
          <w:color w:val="auto"/>
        </w:rPr>
      </w:pPr>
      <w:r>
        <w:rPr>
          <w:rFonts w:ascii="Arial" w:cs="Arial" w:eastAsia="Arial" w:hAnsi="Arial"/>
          <w:sz w:val="16"/>
          <w:szCs w:val="16"/>
          <w:color w:val="auto"/>
        </w:rPr>
        <w:t>General Motors maintains directors’ and officers’ liability insurance under which its directors and officers are insured against loss (as defined by the terms of insurance) as a result of claims brought against them alleging breach of duty, neglect, error or misstatement while acting in such capacities.</w:t>
      </w:r>
    </w:p>
    <w:p>
      <w:pPr>
        <w:spacing w:after="0" w:line="124" w:lineRule="exact"/>
        <w:rPr>
          <w:sz w:val="20"/>
          <w:szCs w:val="20"/>
          <w:color w:val="auto"/>
        </w:rPr>
      </w:pPr>
    </w:p>
    <w:p>
      <w:pPr>
        <w:ind w:left="4" w:right="100"/>
        <w:spacing w:after="0" w:line="269" w:lineRule="auto"/>
        <w:rPr>
          <w:sz w:val="20"/>
          <w:szCs w:val="20"/>
          <w:color w:val="auto"/>
        </w:rPr>
      </w:pPr>
      <w:r>
        <w:rPr>
          <w:rFonts w:ascii="Arial" w:cs="Arial" w:eastAsia="Arial" w:hAnsi="Arial"/>
          <w:sz w:val="17"/>
          <w:szCs w:val="17"/>
          <w:color w:val="auto"/>
        </w:rPr>
        <w:t>In addition to the above described provisions in the Certificate and Bylaws, General Motors has entered into an indemnification agreement with each of its directors and certain of its executive officers, which provides, among other things, that General Motors will indemnify and defend each such person to the fullest extent permitted by law, subject to certain conditions, against all expenses and certain other amounts actually and reasonably incurred by such person in connection with proceedings in which such person is involved, or is threatened to become involved, by reason of any action or inaction by such person in his or her capacity as a director or officer of General Motors, or by reason of the fact that such person is or was serving at the request of General Motors as a director, officer, trustee, manager, member, fiduciary, employee or agent of any other organization or enterprise. The indemnification agreement also requires General Motors to advance expenses incurred by such person in connection with the investigation, defense, or appeal of any such proceedings. Additionally, in any proceeding for which indemnification is not otherwise available, the indemnification agreement requires General Motors to contribute to the indemnifiable losses based on the relative benefits received by, and/or the losses and relative faults of, the indemnitee and General Motors.</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8. Exhibits.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1014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10140" w:type="dxa"/>
            <w:vAlign w:val="bottom"/>
            <w:tcBorders>
              <w:bottom w:val="single" w:sz="8" w:color="auto"/>
            </w:tcBorders>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4"/>
                <w:szCs w:val="24"/>
                <w:color w:val="auto"/>
              </w:rPr>
            </w:pPr>
          </w:p>
        </w:tc>
        <w:tc>
          <w:tcPr>
            <w:tcW w:w="10140" w:type="dxa"/>
            <w:vAlign w:val="bottom"/>
            <w:gridSpan w:val="7"/>
          </w:tcPr>
          <w:p>
            <w:pPr>
              <w:spacing w:after="0"/>
              <w:rPr>
                <w:rFonts w:ascii="Arial" w:cs="Arial" w:eastAsia="Arial" w:hAnsi="Arial"/>
                <w:sz w:val="18"/>
                <w:szCs w:val="18"/>
                <w:color w:val="0000EE"/>
                <w:w w:val="96"/>
              </w:rPr>
            </w:pPr>
            <w:hyperlink r:id="rId32">
              <w:r>
                <w:rPr>
                  <w:rFonts w:ascii="Arial" w:cs="Arial" w:eastAsia="Arial" w:hAnsi="Arial"/>
                  <w:sz w:val="18"/>
                  <w:szCs w:val="18"/>
                  <w:color w:val="0000EE"/>
                  <w:w w:val="96"/>
                </w:rPr>
                <w:t xml:space="preserve">Amendment No. 1 to the General Motors Company 2020 Long-Term Incentive Plan </w:t>
              </w:r>
            </w:hyperlink>
            <w:r>
              <w:rPr>
                <w:rFonts w:ascii="Arial" w:cs="Arial" w:eastAsia="Arial" w:hAnsi="Arial"/>
                <w:sz w:val="18"/>
                <w:szCs w:val="18"/>
                <w:color w:val="000000"/>
                <w:w w:val="96"/>
              </w:rPr>
              <w:t>(incorporated</w:t>
            </w:r>
            <w:r>
              <w:rPr>
                <w:rFonts w:ascii="Arial" w:cs="Arial" w:eastAsia="Arial" w:hAnsi="Arial"/>
                <w:sz w:val="18"/>
                <w:szCs w:val="18"/>
                <w:color w:val="0000EE"/>
                <w:w w:val="96"/>
              </w:rPr>
              <w:t xml:space="preserve"> </w:t>
            </w:r>
            <w:r>
              <w:rPr>
                <w:rFonts w:ascii="Arial" w:cs="Arial" w:eastAsia="Arial" w:hAnsi="Arial"/>
                <w:sz w:val="18"/>
                <w:szCs w:val="18"/>
                <w:color w:val="000000"/>
                <w:w w:val="96"/>
              </w:rPr>
              <w:t>by reference to Appendix B of the</w:t>
            </w: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6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General Motors Company Proxy Statement filed on April 28, 2023)</w:t>
            </w:r>
          </w:p>
        </w:tc>
        <w:tc>
          <w:tcPr>
            <w:tcW w:w="4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4"/>
                <w:szCs w:val="24"/>
                <w:color w:val="auto"/>
              </w:rPr>
            </w:pPr>
          </w:p>
        </w:tc>
        <w:tc>
          <w:tcPr>
            <w:tcW w:w="21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2"/>
              </w:rPr>
              <w:t>Opinion of John S. Kim, Esq.</w:t>
            </w:r>
          </w:p>
        </w:tc>
        <w:tc>
          <w:tcPr>
            <w:tcW w:w="80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23.1*</w:t>
            </w:r>
          </w:p>
        </w:tc>
        <w:tc>
          <w:tcPr>
            <w:tcW w:w="420" w:type="dxa"/>
            <w:vAlign w:val="bottom"/>
          </w:tcPr>
          <w:p>
            <w:pPr>
              <w:spacing w:after="0"/>
              <w:rPr>
                <w:sz w:val="24"/>
                <w:szCs w:val="24"/>
                <w:color w:val="auto"/>
              </w:rPr>
            </w:pPr>
          </w:p>
        </w:tc>
        <w:tc>
          <w:tcPr>
            <w:tcW w:w="22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2"/>
              </w:rPr>
              <w:t>Consent of Ernst &amp; Young LLP</w:t>
            </w:r>
          </w:p>
        </w:tc>
        <w:tc>
          <w:tcPr>
            <w:tcW w:w="78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23.2*</w:t>
            </w:r>
          </w:p>
        </w:tc>
        <w:tc>
          <w:tcPr>
            <w:tcW w:w="420" w:type="dxa"/>
            <w:vAlign w:val="bottom"/>
          </w:tcPr>
          <w:p>
            <w:pPr>
              <w:spacing w:after="0"/>
              <w:rPr>
                <w:sz w:val="24"/>
                <w:szCs w:val="24"/>
                <w:color w:val="auto"/>
              </w:rPr>
            </w:pPr>
          </w:p>
        </w:tc>
        <w:tc>
          <w:tcPr>
            <w:tcW w:w="39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2"/>
              </w:rPr>
              <w:t>Consent of John S. Kim, Esq. (included in Exhibit 5.1)</w:t>
            </w:r>
          </w:p>
        </w:tc>
        <w:tc>
          <w:tcPr>
            <w:tcW w:w="6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24.1*</w:t>
            </w:r>
          </w:p>
        </w:tc>
        <w:tc>
          <w:tcPr>
            <w:tcW w:w="420" w:type="dxa"/>
            <w:vAlign w:val="bottom"/>
          </w:tcPr>
          <w:p>
            <w:pPr>
              <w:spacing w:after="0"/>
              <w:rPr>
                <w:sz w:val="24"/>
                <w:szCs w:val="24"/>
                <w:color w:val="auto"/>
              </w:rPr>
            </w:pPr>
          </w:p>
        </w:tc>
        <w:tc>
          <w:tcPr>
            <w:tcW w:w="44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Powers of Attorney for directors of General Motors Company</w:t>
            </w:r>
          </w:p>
        </w:tc>
        <w:tc>
          <w:tcPr>
            <w:tcW w:w="56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107*</w:t>
            </w:r>
          </w:p>
        </w:tc>
        <w:tc>
          <w:tcPr>
            <w:tcW w:w="420" w:type="dxa"/>
            <w:vAlign w:val="bottom"/>
          </w:tcPr>
          <w:p>
            <w:pPr>
              <w:spacing w:after="0"/>
              <w:rPr>
                <w:sz w:val="24"/>
                <w:szCs w:val="24"/>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0000EE"/>
              </w:rPr>
              <w:t>Filing Fee Table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444" w:hanging="444"/>
        <w:spacing w:after="0"/>
        <w:tabs>
          <w:tab w:leader="none" w:pos="444"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490"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Item 9. Undertakings.</w:t>
      </w:r>
    </w:p>
    <w:p>
      <w:pPr>
        <w:spacing w:after="0" w:line="135" w:lineRule="exact"/>
        <w:rPr>
          <w:sz w:val="20"/>
          <w:szCs w:val="20"/>
          <w:color w:val="auto"/>
        </w:rPr>
      </w:pPr>
    </w:p>
    <w:p>
      <w:pPr>
        <w:ind w:left="980" w:hanging="54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42" w:lineRule="exact"/>
        <w:rPr>
          <w:rFonts w:ascii="Arial" w:cs="Arial" w:eastAsia="Arial" w:hAnsi="Arial"/>
          <w:sz w:val="17"/>
          <w:szCs w:val="17"/>
          <w:color w:val="auto"/>
        </w:rPr>
      </w:pPr>
    </w:p>
    <w:p>
      <w:pPr>
        <w:ind w:left="1980" w:hanging="552"/>
        <w:spacing w:after="0"/>
        <w:tabs>
          <w:tab w:leader="none" w:pos="198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980" w:hanging="552"/>
        <w:spacing w:after="0" w:line="271" w:lineRule="auto"/>
        <w:tabs>
          <w:tab w:leader="none" w:pos="1980" w:val="left"/>
        </w:tabs>
        <w:numPr>
          <w:ilvl w:val="2"/>
          <w:numId w:val="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83" w:lineRule="exact"/>
        <w:rPr>
          <w:rFonts w:ascii="Arial" w:cs="Arial" w:eastAsia="Arial" w:hAnsi="Arial"/>
          <w:sz w:val="17"/>
          <w:szCs w:val="17"/>
          <w:color w:val="auto"/>
        </w:rPr>
      </w:pPr>
    </w:p>
    <w:p>
      <w:pPr>
        <w:ind w:left="1980" w:right="460" w:hanging="552"/>
        <w:spacing w:after="0" w:line="277" w:lineRule="auto"/>
        <w:tabs>
          <w:tab w:leader="none" w:pos="198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980" w:right="440"/>
        <w:spacing w:after="0" w:line="286"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1(a)(i) and 1(a)(ii) do not apply if the information required to be included in a post-effective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by those paragraphs is contained in reports filed with or furnished to the SEC by the Registrant pursuant to Section 13 or Section 15(d) of the Exchange Act that are incorporated by reference into this Registration Statement.</w:t>
      </w:r>
    </w:p>
    <w:p>
      <w:pPr>
        <w:spacing w:after="0" w:line="71" w:lineRule="exact"/>
        <w:rPr>
          <w:sz w:val="20"/>
          <w:szCs w:val="20"/>
          <w:color w:val="auto"/>
        </w:rPr>
      </w:pPr>
    </w:p>
    <w:p>
      <w:pPr>
        <w:ind w:left="1420" w:right="180" w:hanging="433"/>
        <w:spacing w:after="0" w:line="263" w:lineRule="auto"/>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9" w:lineRule="exact"/>
        <w:rPr>
          <w:rFonts w:ascii="Arial" w:cs="Arial" w:eastAsia="Arial" w:hAnsi="Arial"/>
          <w:sz w:val="18"/>
          <w:szCs w:val="18"/>
          <w:color w:val="auto"/>
        </w:rPr>
      </w:pPr>
    </w:p>
    <w:p>
      <w:pPr>
        <w:ind w:left="1420" w:right="160" w:hanging="433"/>
        <w:spacing w:after="0" w:line="277" w:lineRule="auto"/>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980" w:right="80" w:hanging="544"/>
        <w:spacing w:after="0" w:line="25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93" w:lineRule="exact"/>
        <w:rPr>
          <w:rFonts w:ascii="Arial" w:cs="Arial" w:eastAsia="Arial" w:hAnsi="Arial"/>
          <w:sz w:val="18"/>
          <w:szCs w:val="18"/>
          <w:color w:val="auto"/>
        </w:rPr>
      </w:pPr>
    </w:p>
    <w:p>
      <w:pPr>
        <w:ind w:left="980" w:right="60" w:hanging="544"/>
        <w:spacing w:after="0" w:line="290"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486" w:right="459" w:bottom="1440" w:gutter="0" w:footer="0" w:header="0"/>
        </w:sectPr>
      </w:pPr>
    </w:p>
    <w:bookmarkStart w:id="5" w:name="page6"/>
    <w:bookmarkEnd w:id="5"/>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SIGNATURES</w:t>
      </w:r>
    </w:p>
    <w:p>
      <w:pPr>
        <w:spacing w:after="0" w:line="229"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Detroit, State of Michigan, on July 25, 2023.</w:t>
      </w:r>
    </w:p>
    <w:p>
      <w:pPr>
        <w:spacing w:after="0" w:line="21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600"/>
        <w:spacing w:after="0"/>
        <w:tabs>
          <w:tab w:leader="none" w:pos="8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jc w:val="center"/>
        <w:ind w:left="6960"/>
        <w:spacing w:after="0"/>
        <w:rPr>
          <w:sz w:val="20"/>
          <w:szCs w:val="20"/>
          <w:color w:val="auto"/>
        </w:rPr>
      </w:pPr>
      <w:r>
        <w:rPr>
          <w:rFonts w:ascii="Arial" w:cs="Arial" w:eastAsia="Arial" w:hAnsi="Arial"/>
          <w:sz w:val="18"/>
          <w:szCs w:val="18"/>
          <w:color w:val="auto"/>
        </w:rPr>
        <w:t>John S. Kim</w:t>
      </w:r>
    </w:p>
    <w:p>
      <w:pPr>
        <w:spacing w:after="0" w:line="23" w:lineRule="exact"/>
        <w:rPr>
          <w:sz w:val="20"/>
          <w:szCs w:val="20"/>
          <w:color w:val="auto"/>
        </w:rPr>
      </w:pPr>
    </w:p>
    <w:p>
      <w:pPr>
        <w:jc w:val="center"/>
        <w:ind w:left="6960"/>
        <w:spacing w:after="0"/>
        <w:rPr>
          <w:sz w:val="20"/>
          <w:szCs w:val="20"/>
          <w:color w:val="auto"/>
        </w:rPr>
      </w:pPr>
      <w:r>
        <w:rPr>
          <w:rFonts w:ascii="Arial" w:cs="Arial" w:eastAsia="Arial" w:hAnsi="Arial"/>
          <w:sz w:val="16"/>
          <w:szCs w:val="16"/>
          <w:i w:val="1"/>
          <w:iCs w:val="1"/>
          <w:color w:val="auto"/>
        </w:rPr>
        <w:t>Assistant Corporate Secretary and Lead Counsel –</w:t>
      </w:r>
    </w:p>
    <w:p>
      <w:pPr>
        <w:spacing w:after="0" w:line="32" w:lineRule="exact"/>
        <w:rPr>
          <w:sz w:val="20"/>
          <w:szCs w:val="20"/>
          <w:color w:val="auto"/>
        </w:rPr>
      </w:pPr>
    </w:p>
    <w:p>
      <w:pPr>
        <w:jc w:val="center"/>
        <w:ind w:left="6960"/>
        <w:spacing w:after="0"/>
        <w:rPr>
          <w:sz w:val="20"/>
          <w:szCs w:val="20"/>
          <w:color w:val="auto"/>
        </w:rPr>
      </w:pPr>
      <w:r>
        <w:rPr>
          <w:rFonts w:ascii="Arial" w:cs="Arial" w:eastAsia="Arial" w:hAnsi="Arial"/>
          <w:sz w:val="17"/>
          <w:szCs w:val="17"/>
          <w:i w:val="1"/>
          <w:iCs w:val="1"/>
          <w:color w:val="auto"/>
        </w:rPr>
        <w:t>Corporate Governance, Finance and Securities</w:t>
      </w:r>
    </w:p>
    <w:p>
      <w:pPr>
        <w:sectPr>
          <w:pgSz w:w="11900" w:h="16838" w:orient="portrait"/>
          <w:cols w:equalWidth="0" w:num="1">
            <w:col w:w="10820"/>
          </w:cols>
          <w:pgMar w:left="440" w:top="486" w:right="639" w:bottom="1440" w:gutter="0" w:footer="0" w:header="0"/>
        </w:sectPr>
      </w:pPr>
    </w:p>
    <w:bookmarkStart w:id="6" w:name="page7"/>
    <w:bookmarkEnd w:id="6"/>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Pursuant to the requirements of the Securities Act of 1933, this Registration Statement has been signed by the following persons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60" w:type="dxa"/>
            <w:vAlign w:val="bottom"/>
            <w:tcBorders>
              <w:bottom w:val="single" w:sz="8" w:color="auto"/>
            </w:tcBorders>
          </w:tcPr>
          <w:p>
            <w:pPr>
              <w:ind w:left="1160"/>
              <w:spacing w:after="0"/>
              <w:rPr>
                <w:sz w:val="20"/>
                <w:szCs w:val="20"/>
                <w:color w:val="auto"/>
              </w:rPr>
            </w:pPr>
            <w:r>
              <w:rPr>
                <w:rFonts w:ascii="Arial" w:cs="Arial" w:eastAsia="Arial" w:hAnsi="Arial"/>
                <w:sz w:val="14"/>
                <w:szCs w:val="14"/>
                <w:color w:val="auto"/>
              </w:rPr>
              <w:t>Signature</w:t>
            </w:r>
          </w:p>
        </w:tc>
        <w:tc>
          <w:tcPr>
            <w:tcW w:w="100" w:type="dxa"/>
            <w:vAlign w:val="bottom"/>
          </w:tcPr>
          <w:p>
            <w:pPr>
              <w:spacing w:after="0"/>
              <w:rPr>
                <w:sz w:val="15"/>
                <w:szCs w:val="15"/>
                <w:color w:val="auto"/>
              </w:rPr>
            </w:pPr>
          </w:p>
        </w:tc>
        <w:tc>
          <w:tcPr>
            <w:tcW w:w="6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Title</w:t>
            </w:r>
          </w:p>
        </w:tc>
        <w:tc>
          <w:tcPr>
            <w:tcW w:w="100" w:type="dxa"/>
            <w:vAlign w:val="bottom"/>
          </w:tcPr>
          <w:p>
            <w:pPr>
              <w:spacing w:after="0"/>
              <w:rPr>
                <w:sz w:val="15"/>
                <w:szCs w:val="15"/>
                <w:color w:val="auto"/>
              </w:rPr>
            </w:pPr>
          </w:p>
        </w:tc>
        <w:tc>
          <w:tcPr>
            <w:tcW w:w="178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Date</w:t>
            </w:r>
          </w:p>
        </w:tc>
      </w:tr>
      <w:tr>
        <w:trPr>
          <w:trHeight w:val="426"/>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T. Barra</w:t>
            </w:r>
          </w:p>
        </w:tc>
        <w:tc>
          <w:tcPr>
            <w:tcW w:w="100" w:type="dxa"/>
            <w:vAlign w:val="bottom"/>
          </w:tcPr>
          <w:p>
            <w:pPr>
              <w:spacing w:after="0"/>
              <w:rPr>
                <w:sz w:val="24"/>
                <w:szCs w:val="24"/>
                <w:color w:val="auto"/>
              </w:rPr>
            </w:pPr>
          </w:p>
        </w:tc>
        <w:tc>
          <w:tcPr>
            <w:tcW w:w="6180" w:type="dxa"/>
            <w:vAlign w:val="bottom"/>
          </w:tcPr>
          <w:p>
            <w:pPr>
              <w:jc w:val="center"/>
              <w:spacing w:after="0"/>
              <w:rPr>
                <w:sz w:val="20"/>
                <w:szCs w:val="20"/>
                <w:color w:val="auto"/>
              </w:rPr>
            </w:pPr>
            <w:r>
              <w:rPr>
                <w:rFonts w:ascii="Arial" w:cs="Arial" w:eastAsia="Arial" w:hAnsi="Arial"/>
                <w:sz w:val="18"/>
                <w:szCs w:val="18"/>
                <w:color w:val="auto"/>
                <w:w w:val="93"/>
              </w:rPr>
              <w:t>Chair and Chief Executive Officer</w:t>
            </w:r>
          </w:p>
        </w:tc>
        <w:tc>
          <w:tcPr>
            <w:tcW w:w="10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July 25, 2023</w:t>
            </w:r>
          </w:p>
        </w:tc>
      </w:tr>
      <w:tr>
        <w:trPr>
          <w:trHeight w:val="224"/>
        </w:trPr>
        <w:tc>
          <w:tcPr>
            <w:tcW w:w="2860" w:type="dxa"/>
            <w:vAlign w:val="bottom"/>
          </w:tcPr>
          <w:p>
            <w:pPr>
              <w:spacing w:after="0"/>
              <w:rPr>
                <w:sz w:val="20"/>
                <w:szCs w:val="20"/>
                <w:color w:val="auto"/>
              </w:rPr>
            </w:pPr>
            <w:r>
              <w:rPr>
                <w:rFonts w:ascii="Arial" w:cs="Arial" w:eastAsia="Arial" w:hAnsi="Arial"/>
                <w:sz w:val="18"/>
                <w:szCs w:val="18"/>
                <w:color w:val="auto"/>
              </w:rPr>
              <w:t>Mary T. Barra</w:t>
            </w:r>
          </w:p>
        </w:tc>
        <w:tc>
          <w:tcPr>
            <w:tcW w:w="100" w:type="dxa"/>
            <w:vAlign w:val="bottom"/>
          </w:tcPr>
          <w:p>
            <w:pPr>
              <w:spacing w:after="0"/>
              <w:rPr>
                <w:sz w:val="19"/>
                <w:szCs w:val="19"/>
                <w:color w:val="auto"/>
              </w:rPr>
            </w:pPr>
          </w:p>
        </w:tc>
        <w:tc>
          <w:tcPr>
            <w:tcW w:w="618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1"/>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Jacobson</w:t>
            </w:r>
          </w:p>
        </w:tc>
        <w:tc>
          <w:tcPr>
            <w:tcW w:w="100" w:type="dxa"/>
            <w:vAlign w:val="bottom"/>
          </w:tcPr>
          <w:p>
            <w:pPr>
              <w:spacing w:after="0"/>
              <w:rPr>
                <w:sz w:val="24"/>
                <w:szCs w:val="24"/>
                <w:color w:val="auto"/>
              </w:rPr>
            </w:pPr>
          </w:p>
        </w:tc>
        <w:tc>
          <w:tcPr>
            <w:tcW w:w="6180" w:type="dxa"/>
            <w:vAlign w:val="bottom"/>
          </w:tcPr>
          <w:p>
            <w:pPr>
              <w:jc w:val="center"/>
              <w:spacing w:after="0"/>
              <w:rPr>
                <w:sz w:val="20"/>
                <w:szCs w:val="20"/>
                <w:color w:val="auto"/>
              </w:rPr>
            </w:pPr>
            <w:r>
              <w:rPr>
                <w:rFonts w:ascii="Arial" w:cs="Arial" w:eastAsia="Arial" w:hAnsi="Arial"/>
                <w:sz w:val="18"/>
                <w:szCs w:val="18"/>
                <w:color w:val="auto"/>
                <w:w w:val="91"/>
              </w:rPr>
              <w:t>Executive Vice President and Chief Financial Officer</w:t>
            </w:r>
          </w:p>
        </w:tc>
        <w:tc>
          <w:tcPr>
            <w:tcW w:w="10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July 25, 2023</w:t>
            </w:r>
          </w:p>
        </w:tc>
      </w:tr>
      <w:tr>
        <w:trPr>
          <w:trHeight w:val="224"/>
        </w:trPr>
        <w:tc>
          <w:tcPr>
            <w:tcW w:w="2860" w:type="dxa"/>
            <w:vAlign w:val="bottom"/>
          </w:tcPr>
          <w:p>
            <w:pPr>
              <w:spacing w:after="0"/>
              <w:rPr>
                <w:sz w:val="20"/>
                <w:szCs w:val="20"/>
                <w:color w:val="auto"/>
              </w:rPr>
            </w:pPr>
            <w:r>
              <w:rPr>
                <w:rFonts w:ascii="Arial" w:cs="Arial" w:eastAsia="Arial" w:hAnsi="Arial"/>
                <w:sz w:val="18"/>
                <w:szCs w:val="18"/>
                <w:color w:val="auto"/>
              </w:rPr>
              <w:t>Paul Jacobson</w:t>
            </w:r>
          </w:p>
        </w:tc>
        <w:tc>
          <w:tcPr>
            <w:tcW w:w="100" w:type="dxa"/>
            <w:vAlign w:val="bottom"/>
          </w:tcPr>
          <w:p>
            <w:pPr>
              <w:spacing w:after="0"/>
              <w:rPr>
                <w:sz w:val="19"/>
                <w:szCs w:val="19"/>
                <w:color w:val="auto"/>
              </w:rPr>
            </w:pPr>
          </w:p>
        </w:tc>
        <w:tc>
          <w:tcPr>
            <w:tcW w:w="618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1"/>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T. Hatto</w:t>
            </w:r>
          </w:p>
        </w:tc>
        <w:tc>
          <w:tcPr>
            <w:tcW w:w="100" w:type="dxa"/>
            <w:vAlign w:val="bottom"/>
          </w:tcPr>
          <w:p>
            <w:pPr>
              <w:spacing w:after="0"/>
              <w:rPr>
                <w:sz w:val="24"/>
                <w:szCs w:val="24"/>
                <w:color w:val="auto"/>
              </w:rPr>
            </w:pPr>
          </w:p>
        </w:tc>
        <w:tc>
          <w:tcPr>
            <w:tcW w:w="6180" w:type="dxa"/>
            <w:vAlign w:val="bottom"/>
          </w:tcPr>
          <w:p>
            <w:pPr>
              <w:jc w:val="center"/>
              <w:spacing w:after="0"/>
              <w:rPr>
                <w:sz w:val="20"/>
                <w:szCs w:val="20"/>
                <w:color w:val="auto"/>
              </w:rPr>
            </w:pPr>
            <w:r>
              <w:rPr>
                <w:rFonts w:ascii="Arial" w:cs="Arial" w:eastAsia="Arial" w:hAnsi="Arial"/>
                <w:sz w:val="18"/>
                <w:szCs w:val="18"/>
                <w:color w:val="auto"/>
                <w:w w:val="91"/>
              </w:rPr>
              <w:t>Vice President, Global Business Solutions and Chief Accounting Officer</w:t>
            </w:r>
          </w:p>
        </w:tc>
        <w:tc>
          <w:tcPr>
            <w:tcW w:w="10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July 25, 2023</w:t>
            </w:r>
          </w:p>
        </w:tc>
      </w:tr>
      <w:tr>
        <w:trPr>
          <w:trHeight w:val="237"/>
        </w:trPr>
        <w:tc>
          <w:tcPr>
            <w:tcW w:w="2860" w:type="dxa"/>
            <w:vAlign w:val="bottom"/>
          </w:tcPr>
          <w:p>
            <w:pPr>
              <w:spacing w:after="0"/>
              <w:rPr>
                <w:sz w:val="20"/>
                <w:szCs w:val="20"/>
                <w:color w:val="auto"/>
              </w:rPr>
            </w:pPr>
            <w:r>
              <w:rPr>
                <w:rFonts w:ascii="Arial" w:cs="Arial" w:eastAsia="Arial" w:hAnsi="Arial"/>
                <w:sz w:val="18"/>
                <w:szCs w:val="18"/>
                <w:color w:val="auto"/>
              </w:rPr>
              <w:t>Christopher T. Hatto</w:t>
            </w:r>
          </w:p>
        </w:tc>
        <w:tc>
          <w:tcPr>
            <w:tcW w:w="100" w:type="dxa"/>
            <w:vAlign w:val="bottom"/>
          </w:tcPr>
          <w:p>
            <w:pPr>
              <w:spacing w:after="0"/>
              <w:rPr>
                <w:sz w:val="20"/>
                <w:szCs w:val="20"/>
                <w:color w:val="auto"/>
              </w:rPr>
            </w:pPr>
          </w:p>
        </w:tc>
        <w:tc>
          <w:tcPr>
            <w:tcW w:w="6180" w:type="dxa"/>
            <w:vAlign w:val="bottom"/>
          </w:tcPr>
          <w:p>
            <w:pPr>
              <w:jc w:val="center"/>
              <w:spacing w:after="0"/>
              <w:rPr>
                <w:sz w:val="20"/>
                <w:szCs w:val="20"/>
                <w:color w:val="auto"/>
              </w:rPr>
            </w:pPr>
            <w:r>
              <w:rPr>
                <w:rFonts w:ascii="Arial" w:cs="Arial" w:eastAsia="Arial" w:hAnsi="Arial"/>
                <w:sz w:val="18"/>
                <w:szCs w:val="18"/>
                <w:color w:val="auto"/>
                <w:w w:val="94"/>
              </w:rPr>
              <w:t>(Principal Accounting Officer)</w:t>
            </w: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32"/>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180" w:type="dxa"/>
            <w:vAlign w:val="bottom"/>
          </w:tcPr>
          <w:p>
            <w:pPr>
              <w:jc w:val="center"/>
              <w:spacing w:after="0"/>
              <w:rPr>
                <w:sz w:val="20"/>
                <w:szCs w:val="20"/>
                <w:color w:val="auto"/>
              </w:rPr>
            </w:pPr>
            <w:r>
              <w:rPr>
                <w:rFonts w:ascii="Arial" w:cs="Arial" w:eastAsia="Arial" w:hAnsi="Arial"/>
                <w:sz w:val="18"/>
                <w:szCs w:val="18"/>
                <w:color w:val="auto"/>
                <w:w w:val="91"/>
              </w:rPr>
              <w:t>Independent Lead Director</w:t>
            </w:r>
          </w:p>
        </w:tc>
        <w:tc>
          <w:tcPr>
            <w:tcW w:w="10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July 25, 2023</w:t>
            </w:r>
          </w:p>
        </w:tc>
      </w:tr>
      <w:tr>
        <w:trPr>
          <w:trHeight w:val="224"/>
        </w:trPr>
        <w:tc>
          <w:tcPr>
            <w:tcW w:w="2860" w:type="dxa"/>
            <w:vAlign w:val="bottom"/>
          </w:tcPr>
          <w:p>
            <w:pPr>
              <w:spacing w:after="0"/>
              <w:rPr>
                <w:sz w:val="20"/>
                <w:szCs w:val="20"/>
                <w:color w:val="auto"/>
              </w:rPr>
            </w:pPr>
            <w:r>
              <w:rPr>
                <w:rFonts w:ascii="Arial" w:cs="Arial" w:eastAsia="Arial" w:hAnsi="Arial"/>
                <w:sz w:val="18"/>
                <w:szCs w:val="18"/>
                <w:color w:val="auto"/>
              </w:rPr>
              <w:t>Patricia F. Russo</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1"/>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July 25, 2023</w:t>
            </w:r>
          </w:p>
        </w:tc>
      </w:tr>
      <w:tr>
        <w:trPr>
          <w:trHeight w:val="224"/>
        </w:trPr>
        <w:tc>
          <w:tcPr>
            <w:tcW w:w="2860" w:type="dxa"/>
            <w:vAlign w:val="bottom"/>
          </w:tcPr>
          <w:p>
            <w:pPr>
              <w:spacing w:after="0"/>
              <w:rPr>
                <w:sz w:val="20"/>
                <w:szCs w:val="20"/>
                <w:color w:val="auto"/>
              </w:rPr>
            </w:pPr>
            <w:r>
              <w:rPr>
                <w:rFonts w:ascii="Arial" w:cs="Arial" w:eastAsia="Arial" w:hAnsi="Arial"/>
                <w:sz w:val="18"/>
                <w:szCs w:val="18"/>
                <w:color w:val="auto"/>
              </w:rPr>
              <w:t>Aneel Bhusri</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1"/>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July 25, 2023</w:t>
            </w:r>
          </w:p>
        </w:tc>
      </w:tr>
      <w:tr>
        <w:trPr>
          <w:trHeight w:val="237"/>
        </w:trPr>
        <w:tc>
          <w:tcPr>
            <w:tcW w:w="2860" w:type="dxa"/>
            <w:vAlign w:val="bottom"/>
          </w:tcPr>
          <w:p>
            <w:pPr>
              <w:spacing w:after="0"/>
              <w:rPr>
                <w:sz w:val="20"/>
                <w:szCs w:val="20"/>
                <w:color w:val="auto"/>
              </w:rPr>
            </w:pPr>
            <w:r>
              <w:rPr>
                <w:rFonts w:ascii="Arial" w:cs="Arial" w:eastAsia="Arial" w:hAnsi="Arial"/>
                <w:sz w:val="18"/>
                <w:szCs w:val="18"/>
                <w:color w:val="auto"/>
              </w:rPr>
              <w:t>Wesley G. Bush</w:t>
            </w:r>
          </w:p>
        </w:tc>
        <w:tc>
          <w:tcPr>
            <w:tcW w:w="1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32"/>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July 25, 2023</w:t>
            </w:r>
          </w:p>
        </w:tc>
      </w:tr>
      <w:tr>
        <w:trPr>
          <w:trHeight w:val="224"/>
        </w:trPr>
        <w:tc>
          <w:tcPr>
            <w:tcW w:w="2860" w:type="dxa"/>
            <w:vAlign w:val="bottom"/>
          </w:tcPr>
          <w:p>
            <w:pPr>
              <w:spacing w:after="0"/>
              <w:rPr>
                <w:sz w:val="20"/>
                <w:szCs w:val="20"/>
                <w:color w:val="auto"/>
              </w:rPr>
            </w:pPr>
            <w:r>
              <w:rPr>
                <w:rFonts w:ascii="Arial" w:cs="Arial" w:eastAsia="Arial" w:hAnsi="Arial"/>
                <w:sz w:val="18"/>
                <w:szCs w:val="18"/>
                <w:color w:val="auto"/>
              </w:rPr>
              <w:t>Joanne C. Crevoiserat</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1"/>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July 25, 2023</w:t>
            </w:r>
          </w:p>
        </w:tc>
      </w:tr>
      <w:tr>
        <w:trPr>
          <w:trHeight w:val="224"/>
        </w:trPr>
        <w:tc>
          <w:tcPr>
            <w:tcW w:w="2860" w:type="dxa"/>
            <w:vAlign w:val="bottom"/>
          </w:tcPr>
          <w:p>
            <w:pPr>
              <w:spacing w:after="0"/>
              <w:rPr>
                <w:sz w:val="20"/>
                <w:szCs w:val="20"/>
                <w:color w:val="auto"/>
              </w:rPr>
            </w:pPr>
            <w:r>
              <w:rPr>
                <w:rFonts w:ascii="Arial" w:cs="Arial" w:eastAsia="Arial" w:hAnsi="Arial"/>
                <w:sz w:val="18"/>
                <w:szCs w:val="18"/>
                <w:color w:val="auto"/>
              </w:rPr>
              <w:t>Linda R. Gooden</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1"/>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July 25, 2023</w:t>
            </w:r>
          </w:p>
        </w:tc>
      </w:tr>
      <w:tr>
        <w:trPr>
          <w:trHeight w:val="237"/>
        </w:trPr>
        <w:tc>
          <w:tcPr>
            <w:tcW w:w="2860" w:type="dxa"/>
            <w:vAlign w:val="bottom"/>
          </w:tcPr>
          <w:p>
            <w:pPr>
              <w:spacing w:after="0"/>
              <w:rPr>
                <w:sz w:val="20"/>
                <w:szCs w:val="20"/>
                <w:color w:val="auto"/>
              </w:rPr>
            </w:pPr>
            <w:r>
              <w:rPr>
                <w:rFonts w:ascii="Arial" w:cs="Arial" w:eastAsia="Arial" w:hAnsi="Arial"/>
                <w:sz w:val="18"/>
                <w:szCs w:val="18"/>
                <w:color w:val="auto"/>
              </w:rPr>
              <w:t>Joseph Jimenez</w:t>
            </w:r>
          </w:p>
        </w:tc>
        <w:tc>
          <w:tcPr>
            <w:tcW w:w="1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32"/>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July 25, 2023</w:t>
            </w:r>
          </w:p>
        </w:tc>
      </w:tr>
      <w:tr>
        <w:trPr>
          <w:trHeight w:val="224"/>
        </w:trPr>
        <w:tc>
          <w:tcPr>
            <w:tcW w:w="2860" w:type="dxa"/>
            <w:vAlign w:val="bottom"/>
          </w:tcPr>
          <w:p>
            <w:pPr>
              <w:spacing w:after="0"/>
              <w:rPr>
                <w:sz w:val="20"/>
                <w:szCs w:val="20"/>
                <w:color w:val="auto"/>
              </w:rPr>
            </w:pPr>
            <w:r>
              <w:rPr>
                <w:rFonts w:ascii="Arial" w:cs="Arial" w:eastAsia="Arial" w:hAnsi="Arial"/>
                <w:sz w:val="18"/>
                <w:szCs w:val="18"/>
                <w:color w:val="auto"/>
              </w:rPr>
              <w:t>Jonathan McNeill</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1"/>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July 25, 2023</w:t>
            </w:r>
          </w:p>
        </w:tc>
      </w:tr>
      <w:tr>
        <w:trPr>
          <w:trHeight w:val="224"/>
        </w:trPr>
        <w:tc>
          <w:tcPr>
            <w:tcW w:w="2860" w:type="dxa"/>
            <w:vAlign w:val="bottom"/>
          </w:tcPr>
          <w:p>
            <w:pPr>
              <w:spacing w:after="0"/>
              <w:rPr>
                <w:sz w:val="20"/>
                <w:szCs w:val="20"/>
                <w:color w:val="auto"/>
              </w:rPr>
            </w:pPr>
            <w:r>
              <w:rPr>
                <w:rFonts w:ascii="Arial" w:cs="Arial" w:eastAsia="Arial" w:hAnsi="Arial"/>
                <w:sz w:val="18"/>
                <w:szCs w:val="18"/>
                <w:color w:val="auto"/>
              </w:rPr>
              <w:t>Judith A. Miscik</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1"/>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July 25, 2023</w:t>
            </w:r>
          </w:p>
        </w:tc>
      </w:tr>
      <w:tr>
        <w:trPr>
          <w:trHeight w:val="237"/>
        </w:trPr>
        <w:tc>
          <w:tcPr>
            <w:tcW w:w="2860" w:type="dxa"/>
            <w:vAlign w:val="bottom"/>
          </w:tcPr>
          <w:p>
            <w:pPr>
              <w:spacing w:after="0"/>
              <w:rPr>
                <w:sz w:val="20"/>
                <w:szCs w:val="20"/>
                <w:color w:val="auto"/>
              </w:rPr>
            </w:pPr>
            <w:r>
              <w:rPr>
                <w:rFonts w:ascii="Arial" w:cs="Arial" w:eastAsia="Arial" w:hAnsi="Arial"/>
                <w:sz w:val="18"/>
                <w:szCs w:val="18"/>
                <w:color w:val="auto"/>
              </w:rPr>
              <w:t>Thomas M. Schoewe</w:t>
            </w:r>
          </w:p>
        </w:tc>
        <w:tc>
          <w:tcPr>
            <w:tcW w:w="1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32"/>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July 25, 2023</w:t>
            </w:r>
          </w:p>
        </w:tc>
      </w:tr>
      <w:tr>
        <w:trPr>
          <w:trHeight w:val="224"/>
        </w:trPr>
        <w:tc>
          <w:tcPr>
            <w:tcW w:w="2860" w:type="dxa"/>
            <w:vAlign w:val="bottom"/>
          </w:tcPr>
          <w:p>
            <w:pPr>
              <w:spacing w:after="0"/>
              <w:rPr>
                <w:sz w:val="20"/>
                <w:szCs w:val="20"/>
                <w:color w:val="auto"/>
              </w:rPr>
            </w:pPr>
            <w:r>
              <w:rPr>
                <w:rFonts w:ascii="Arial" w:cs="Arial" w:eastAsia="Arial" w:hAnsi="Arial"/>
                <w:sz w:val="18"/>
                <w:szCs w:val="18"/>
                <w:color w:val="auto"/>
              </w:rPr>
              <w:t>Mark A. Tatum</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1"/>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July 25, 2023</w:t>
            </w:r>
          </w:p>
        </w:tc>
      </w:tr>
      <w:tr>
        <w:trPr>
          <w:trHeight w:val="224"/>
        </w:trPr>
        <w:tc>
          <w:tcPr>
            <w:tcW w:w="2860" w:type="dxa"/>
            <w:vAlign w:val="bottom"/>
          </w:tcPr>
          <w:p>
            <w:pPr>
              <w:spacing w:after="0"/>
              <w:rPr>
                <w:sz w:val="20"/>
                <w:szCs w:val="20"/>
                <w:color w:val="auto"/>
              </w:rPr>
            </w:pPr>
            <w:r>
              <w:rPr>
                <w:rFonts w:ascii="Arial" w:cs="Arial" w:eastAsia="Arial" w:hAnsi="Arial"/>
                <w:sz w:val="18"/>
                <w:szCs w:val="18"/>
                <w:color w:val="auto"/>
              </w:rPr>
              <w:t>Jan E. Tighe</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1"/>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July 25, 2023</w:t>
            </w:r>
          </w:p>
        </w:tc>
      </w:tr>
      <w:tr>
        <w:trPr>
          <w:trHeight w:val="237"/>
        </w:trPr>
        <w:tc>
          <w:tcPr>
            <w:tcW w:w="2860" w:type="dxa"/>
            <w:vAlign w:val="bottom"/>
          </w:tcPr>
          <w:p>
            <w:pPr>
              <w:spacing w:after="0"/>
              <w:rPr>
                <w:sz w:val="20"/>
                <w:szCs w:val="20"/>
                <w:color w:val="auto"/>
              </w:rPr>
            </w:pPr>
            <w:r>
              <w:rPr>
                <w:rFonts w:ascii="Arial" w:cs="Arial" w:eastAsia="Arial" w:hAnsi="Arial"/>
                <w:sz w:val="18"/>
                <w:szCs w:val="18"/>
                <w:color w:val="auto"/>
              </w:rPr>
              <w:t>Devin N. Wenig</w:t>
            </w:r>
          </w:p>
        </w:tc>
        <w:tc>
          <w:tcPr>
            <w:tcW w:w="1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r>
    </w:tbl>
    <w:p>
      <w:pPr>
        <w:sectPr>
          <w:pgSz w:w="11900" w:h="16838" w:orient="portrait"/>
          <w:cols w:equalWidth="0" w:num="1">
            <w:col w:w="11020"/>
          </w:cols>
          <w:pgMar w:left="440" w:top="490" w:right="439" w:bottom="1440" w:gutter="0" w:footer="0" w:header="0"/>
        </w:sectPr>
      </w:pPr>
    </w:p>
    <w:bookmarkStart w:id="7" w:name="page8"/>
    <w:bookmarkEnd w:id="7"/>
    <w:p>
      <w:pPr>
        <w:ind w:left="444" w:hanging="444"/>
        <w:spacing w:after="0" w:line="277" w:lineRule="auto"/>
        <w:tabs>
          <w:tab w:leader="none" w:pos="444"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undersigned, by signing his or her name hereto, does execute this Registration Statement on behalf of the persons identified above pursuant to a power of attorney.</w:t>
      </w:r>
    </w:p>
    <w:p>
      <w:pPr>
        <w:spacing w:after="0" w:line="197" w:lineRule="exact"/>
        <w:rPr>
          <w:sz w:val="20"/>
          <w:szCs w:val="20"/>
          <w:color w:val="auto"/>
        </w:rPr>
      </w:pPr>
    </w:p>
    <w:p>
      <w:pPr>
        <w:ind w:left="6604"/>
        <w:spacing w:after="0"/>
        <w:tabs>
          <w:tab w:leader="none" w:pos="842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14605</wp:posOffset>
            </wp:positionV>
            <wp:extent cx="25717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jc w:val="center"/>
        <w:ind w:left="6960"/>
        <w:spacing w:after="0"/>
        <w:rPr>
          <w:sz w:val="20"/>
          <w:szCs w:val="20"/>
          <w:color w:val="auto"/>
        </w:rPr>
      </w:pPr>
      <w:r>
        <w:rPr>
          <w:rFonts w:ascii="Arial" w:cs="Arial" w:eastAsia="Arial" w:hAnsi="Arial"/>
          <w:sz w:val="18"/>
          <w:szCs w:val="18"/>
          <w:color w:val="auto"/>
        </w:rPr>
        <w:t>John S. Kim</w:t>
      </w:r>
    </w:p>
    <w:p>
      <w:pPr>
        <w:spacing w:after="0" w:line="23" w:lineRule="exact"/>
        <w:rPr>
          <w:sz w:val="20"/>
          <w:szCs w:val="20"/>
          <w:color w:val="auto"/>
        </w:rPr>
      </w:pPr>
    </w:p>
    <w:p>
      <w:pPr>
        <w:jc w:val="center"/>
        <w:ind w:left="6960"/>
        <w:spacing w:after="0"/>
        <w:rPr>
          <w:sz w:val="20"/>
          <w:szCs w:val="20"/>
          <w:color w:val="auto"/>
        </w:rPr>
      </w:pPr>
      <w:r>
        <w:rPr>
          <w:rFonts w:ascii="Arial" w:cs="Arial" w:eastAsia="Arial" w:hAnsi="Arial"/>
          <w:sz w:val="18"/>
          <w:szCs w:val="18"/>
          <w:i w:val="1"/>
          <w:iCs w:val="1"/>
          <w:color w:val="auto"/>
        </w:rPr>
        <w:t>Attorney-in-Fact</w:t>
      </w:r>
    </w:p>
    <w:p>
      <w:pPr>
        <w:sectPr>
          <w:pgSz w:w="11900" w:h="16838" w:orient="portrait"/>
          <w:cols w:equalWidth="0" w:num="1">
            <w:col w:w="10984"/>
          </w:cols>
          <w:pgMar w:left="436" w:top="490" w:right="47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John S. Kim</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Assistant Corporate Secretary and Lead Counsel –</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Corporate Governance, Finance, and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25,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 48265-3000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General Motors Company (the “Company”) has filed a Registration Statement on Form S-8 (the “Registration Statement”) with the Securities and Exchange Commission pursuant to the Securities Act of 1933, as amended, with respect to 27,000,000 shares (the “Shares”) of Common Stock, par value $0.01 per share, of the Company (the “Common Stock”) relating to the General Motors Company 2020 Long-Term Incentive Plan (the “Plan”).</w:t>
      </w:r>
    </w:p>
    <w:p>
      <w:pPr>
        <w:spacing w:after="0" w:line="14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As Assistant Corporate Secretary and Lead Counsel – Corporate Governance, Finance, and Securities, I am familiar with the certificate of incorporation and the bylaws of the Company, each as currently in effect, and with the Company’s affairs, including the actions taken by the Company in connection with the preparation of the Registration Statement. I, or attorneys under my supervision, also examined such other documents and instruments and have made such further investigation as I have deemed necessary or appropriate in connection with this opinion. In connection with such examination, I have assumed the genuineness of all signatures appearing on all documents, the legal capacity of all persons signing such documents, the authenticity of all documents submitted to me as originals, the conformity to original documents of all documents submitted to me as certified, conformed or photostatic copies, the accuracy and completeness of all corporate records made available to me by the Company, and the truth and accuracy of all facts set forth in all certificates provided to or examined by me.</w:t>
      </w:r>
    </w:p>
    <w:p>
      <w:pPr>
        <w:spacing w:after="0" w:line="17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Based upon the foregoing, it is my opinion that the Shares to be registered, when issued and delivered pursuant to the Company’s Restated Certificate of Incorporation and the Plan, and when the Registration Statement shall have become effective, will be legally issued and will be fully paid and non-assessable.</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My opinion expressed above is based exclusively on the General Corporation Law of the State of Delaware (including the statutory provisions thereof, all applicable provisions of the Delaware Constitution and reported judicial decisions interpreting the foregoing).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hereby consent to the use of this opinion as Exhibit 5.1 to the Registration Statement.</w:t>
      </w:r>
    </w:p>
    <w:p>
      <w:pPr>
        <w:sectPr>
          <w:pgSz w:w="11900" w:h="16838" w:orient="portrait"/>
          <w:cols w:equalWidth="0" w:num="1">
            <w:col w:w="11020"/>
          </w:cols>
          <w:pgMar w:left="440" w:top="121" w:right="439" w:bottom="1440" w:gutter="0" w:footer="0" w:header="0"/>
        </w:sectPr>
      </w:pPr>
    </w:p>
    <w:bookmarkStart w:id="9" w:name="page10"/>
    <w:bookmarkEnd w:id="9"/>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Very truly yours,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John 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John S. Kim</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Assistant Corporate Secretary and Lead Counsel – Corporate</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Governance, Finance, and Securities</w:t>
      </w:r>
    </w:p>
    <w:p>
      <w:pPr>
        <w:spacing w:after="0" w:line="21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Mail Code: 482-C24-A68 300 Renaissance Center Detroit, Michigan 48265-3000</w:t>
      </w:r>
    </w:p>
    <w:p>
      <w:pPr>
        <w:sectPr>
          <w:pgSz w:w="11900" w:h="16838" w:orient="portrait"/>
          <w:cols w:equalWidth="0" w:num="1">
            <w:col w:w="10000"/>
          </w:cols>
          <w:pgMar w:left="1440" w:top="490" w:right="45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General Motors Company 2020 Long-Term Incentive Plan of our reports dated January 31, 2023, with respect to the consolidated financial statements of General Motors Company and subsidiaries and the effectiveness of internal control over financial reporting of General Motors Company and subsidiaries included in its Annual Report (Form 10-K) for the year ended December 31, 2022,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25, 2023</w:t>
      </w:r>
    </w:p>
    <w:p>
      <w:pPr>
        <w:sectPr>
          <w:pgSz w:w="11900" w:h="16838" w:orient="portrait"/>
          <w:cols w:equalWidth="0" w:num="1">
            <w:col w:w="11020"/>
          </w:cols>
          <w:pgMar w:left="440" w:top="121" w:right="4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undersigned, a director of General Motors Company (“GM”), hereby constitutes and appoints Craig B. Glidden, Christopher T. Hatto,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SEC Registration Statement on</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Covering</w:t>
            </w:r>
          </w:p>
        </w:tc>
        <w:tc>
          <w:tcPr>
            <w:tcW w:w="6380" w:type="dxa"/>
            <w:vAlign w:val="bottom"/>
          </w:tcPr>
          <w:p>
            <w:pPr>
              <w:spacing w:after="0"/>
              <w:rPr>
                <w:sz w:val="14"/>
                <w:szCs w:val="14"/>
                <w:color w:val="auto"/>
              </w:rPr>
            </w:pPr>
          </w:p>
        </w:tc>
      </w:tr>
      <w:tr>
        <w:trPr>
          <w:trHeight w:val="195"/>
        </w:trPr>
        <w:tc>
          <w:tcPr>
            <w:tcW w:w="1920" w:type="dxa"/>
            <w:vAlign w:val="bottom"/>
          </w:tcPr>
          <w:p>
            <w:pPr>
              <w:spacing w:after="0" w:line="195" w:lineRule="exact"/>
              <w:rPr>
                <w:sz w:val="20"/>
                <w:szCs w:val="20"/>
                <w:color w:val="auto"/>
              </w:rPr>
            </w:pPr>
            <w:r>
              <w:rPr>
                <w:rFonts w:ascii="Arial" w:cs="Arial" w:eastAsia="Arial" w:hAnsi="Arial"/>
                <w:sz w:val="18"/>
                <w:szCs w:val="18"/>
                <w:color w:val="auto"/>
              </w:rPr>
              <w:t>Form S-8</w:t>
            </w: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960" w:type="dxa"/>
            <w:vAlign w:val="bottom"/>
            <w:gridSpan w:val="2"/>
          </w:tcPr>
          <w:p>
            <w:pPr>
              <w:spacing w:after="0" w:line="195" w:lineRule="exact"/>
              <w:rPr>
                <w:sz w:val="20"/>
                <w:szCs w:val="20"/>
                <w:color w:val="auto"/>
              </w:rPr>
            </w:pPr>
            <w:r>
              <w:rPr>
                <w:rFonts w:ascii="Arial" w:cs="Arial" w:eastAsia="Arial" w:hAnsi="Arial"/>
                <w:sz w:val="18"/>
                <w:szCs w:val="18"/>
                <w:color w:val="auto"/>
                <w:w w:val="90"/>
              </w:rPr>
              <w:t>Registration of shares of General Motors Company common stock, par value $0.01, for the 2020</w:t>
            </w:r>
          </w:p>
        </w:tc>
      </w:tr>
      <w:tr>
        <w:trPr>
          <w:trHeight w:val="230"/>
        </w:trPr>
        <w:tc>
          <w:tcPr>
            <w:tcW w:w="1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980" w:type="dxa"/>
            <w:vAlign w:val="bottom"/>
            <w:gridSpan w:val="3"/>
          </w:tcPr>
          <w:p>
            <w:pPr>
              <w:ind w:left="1020"/>
              <w:spacing w:after="0"/>
              <w:rPr>
                <w:sz w:val="20"/>
                <w:szCs w:val="20"/>
                <w:color w:val="auto"/>
              </w:rPr>
            </w:pPr>
            <w:r>
              <w:rPr>
                <w:rFonts w:ascii="Arial" w:cs="Arial" w:eastAsia="Arial" w:hAnsi="Arial"/>
                <w:sz w:val="18"/>
                <w:szCs w:val="18"/>
                <w:color w:val="auto"/>
              </w:rPr>
              <w:t>General Motors Company Long-Term Incentive Plan</w:t>
            </w:r>
          </w:p>
        </w:tc>
      </w:tr>
    </w:tbl>
    <w:p>
      <w:pPr>
        <w:spacing w:after="0" w:line="202"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and any or all amendments (including post-effective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my substitute or substitutes, may lawfully do or cause to be done by virtue hereof.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5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Aneel Bhusri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Aneel Bhusri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06/20/2023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020"/>
          </w:cols>
          <w:pgMar w:left="440" w:top="121" w:right="439" w:bottom="1440" w:gutter="0" w:footer="0" w:header="0"/>
        </w:sectPr>
      </w:pPr>
    </w:p>
    <w:bookmarkStart w:id="12" w:name="page13"/>
    <w:bookmarkEnd w:id="1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POWER OF ATTORNEY</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undersigned, a director of General Motors Company (“GM”), hereby constitutes and appoints Craig B. Glidden, Christopher T. Hatto,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SEC Registration Statement on</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Covering</w:t>
            </w:r>
          </w:p>
        </w:tc>
        <w:tc>
          <w:tcPr>
            <w:tcW w:w="6380" w:type="dxa"/>
            <w:vAlign w:val="bottom"/>
          </w:tcPr>
          <w:p>
            <w:pPr>
              <w:spacing w:after="0"/>
              <w:rPr>
                <w:sz w:val="14"/>
                <w:szCs w:val="14"/>
                <w:color w:val="auto"/>
              </w:rPr>
            </w:pPr>
          </w:p>
        </w:tc>
      </w:tr>
      <w:tr>
        <w:trPr>
          <w:trHeight w:val="195"/>
        </w:trPr>
        <w:tc>
          <w:tcPr>
            <w:tcW w:w="1920" w:type="dxa"/>
            <w:vAlign w:val="bottom"/>
          </w:tcPr>
          <w:p>
            <w:pPr>
              <w:spacing w:after="0" w:line="195" w:lineRule="exact"/>
              <w:rPr>
                <w:sz w:val="20"/>
                <w:szCs w:val="20"/>
                <w:color w:val="auto"/>
              </w:rPr>
            </w:pPr>
            <w:r>
              <w:rPr>
                <w:rFonts w:ascii="Arial" w:cs="Arial" w:eastAsia="Arial" w:hAnsi="Arial"/>
                <w:sz w:val="18"/>
                <w:szCs w:val="18"/>
                <w:color w:val="auto"/>
              </w:rPr>
              <w:t>Form S-8</w:t>
            </w: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960" w:type="dxa"/>
            <w:vAlign w:val="bottom"/>
            <w:gridSpan w:val="2"/>
          </w:tcPr>
          <w:p>
            <w:pPr>
              <w:spacing w:after="0" w:line="195" w:lineRule="exact"/>
              <w:rPr>
                <w:sz w:val="20"/>
                <w:szCs w:val="20"/>
                <w:color w:val="auto"/>
              </w:rPr>
            </w:pPr>
            <w:r>
              <w:rPr>
                <w:rFonts w:ascii="Arial" w:cs="Arial" w:eastAsia="Arial" w:hAnsi="Arial"/>
                <w:sz w:val="18"/>
                <w:szCs w:val="18"/>
                <w:color w:val="auto"/>
                <w:w w:val="90"/>
              </w:rPr>
              <w:t>Registration of shares of General Motors Company common stock, par value $0.01, for the 2020</w:t>
            </w:r>
          </w:p>
        </w:tc>
      </w:tr>
      <w:tr>
        <w:trPr>
          <w:trHeight w:val="230"/>
        </w:trPr>
        <w:tc>
          <w:tcPr>
            <w:tcW w:w="1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980" w:type="dxa"/>
            <w:vAlign w:val="bottom"/>
            <w:gridSpan w:val="3"/>
          </w:tcPr>
          <w:p>
            <w:pPr>
              <w:ind w:left="1020"/>
              <w:spacing w:after="0"/>
              <w:rPr>
                <w:sz w:val="20"/>
                <w:szCs w:val="20"/>
                <w:color w:val="auto"/>
              </w:rPr>
            </w:pPr>
            <w:r>
              <w:rPr>
                <w:rFonts w:ascii="Arial" w:cs="Arial" w:eastAsia="Arial" w:hAnsi="Arial"/>
                <w:sz w:val="18"/>
                <w:szCs w:val="18"/>
                <w:color w:val="auto"/>
              </w:rPr>
              <w:t>General Motors Company Long-Term Incentive Plan</w:t>
            </w:r>
          </w:p>
        </w:tc>
      </w:tr>
    </w:tbl>
    <w:p>
      <w:pPr>
        <w:spacing w:after="0" w:line="20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and any or all amendments (including post-effective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my substitute or substitutes, may lawfully do or cause to be done by virtue hereof.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5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Wesley G.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Wesley G.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06/20/2023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920"/>
          </w:cols>
          <w:pgMar w:left="440" w:top="486" w:right="539" w:bottom="1440" w:gutter="0" w:footer="0" w:header="0"/>
        </w:sectPr>
      </w:pPr>
    </w:p>
    <w:bookmarkStart w:id="13" w:name="page14"/>
    <w:bookmarkEnd w:id="1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POWER OF ATTORNEY</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undersigned, a director of General Motors Company (“GM”), hereby constitutes and appoints Craig B. Glidden, Christopher T. Hatto,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SEC Registration Statement on</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Covering</w:t>
            </w:r>
          </w:p>
        </w:tc>
        <w:tc>
          <w:tcPr>
            <w:tcW w:w="6380" w:type="dxa"/>
            <w:vAlign w:val="bottom"/>
          </w:tcPr>
          <w:p>
            <w:pPr>
              <w:spacing w:after="0"/>
              <w:rPr>
                <w:sz w:val="14"/>
                <w:szCs w:val="14"/>
                <w:color w:val="auto"/>
              </w:rPr>
            </w:pPr>
          </w:p>
        </w:tc>
      </w:tr>
      <w:tr>
        <w:trPr>
          <w:trHeight w:val="195"/>
        </w:trPr>
        <w:tc>
          <w:tcPr>
            <w:tcW w:w="1920" w:type="dxa"/>
            <w:vAlign w:val="bottom"/>
          </w:tcPr>
          <w:p>
            <w:pPr>
              <w:spacing w:after="0" w:line="195" w:lineRule="exact"/>
              <w:rPr>
                <w:sz w:val="20"/>
                <w:szCs w:val="20"/>
                <w:color w:val="auto"/>
              </w:rPr>
            </w:pPr>
            <w:r>
              <w:rPr>
                <w:rFonts w:ascii="Arial" w:cs="Arial" w:eastAsia="Arial" w:hAnsi="Arial"/>
                <w:sz w:val="18"/>
                <w:szCs w:val="18"/>
                <w:color w:val="auto"/>
              </w:rPr>
              <w:t>Form S-8</w:t>
            </w: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960" w:type="dxa"/>
            <w:vAlign w:val="bottom"/>
            <w:gridSpan w:val="2"/>
          </w:tcPr>
          <w:p>
            <w:pPr>
              <w:spacing w:after="0" w:line="195" w:lineRule="exact"/>
              <w:rPr>
                <w:sz w:val="20"/>
                <w:szCs w:val="20"/>
                <w:color w:val="auto"/>
              </w:rPr>
            </w:pPr>
            <w:r>
              <w:rPr>
                <w:rFonts w:ascii="Arial" w:cs="Arial" w:eastAsia="Arial" w:hAnsi="Arial"/>
                <w:sz w:val="18"/>
                <w:szCs w:val="18"/>
                <w:color w:val="auto"/>
                <w:w w:val="90"/>
              </w:rPr>
              <w:t>Registration of shares of General Motors Company common stock, par value $0.01, for the 2020</w:t>
            </w:r>
          </w:p>
        </w:tc>
      </w:tr>
      <w:tr>
        <w:trPr>
          <w:trHeight w:val="230"/>
        </w:trPr>
        <w:tc>
          <w:tcPr>
            <w:tcW w:w="1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980" w:type="dxa"/>
            <w:vAlign w:val="bottom"/>
            <w:gridSpan w:val="3"/>
          </w:tcPr>
          <w:p>
            <w:pPr>
              <w:ind w:left="1020"/>
              <w:spacing w:after="0"/>
              <w:rPr>
                <w:sz w:val="20"/>
                <w:szCs w:val="20"/>
                <w:color w:val="auto"/>
              </w:rPr>
            </w:pPr>
            <w:r>
              <w:rPr>
                <w:rFonts w:ascii="Arial" w:cs="Arial" w:eastAsia="Arial" w:hAnsi="Arial"/>
                <w:sz w:val="18"/>
                <w:szCs w:val="18"/>
                <w:color w:val="auto"/>
              </w:rPr>
              <w:t>General Motors Company Long-Term Incentive Plan</w:t>
            </w:r>
          </w:p>
        </w:tc>
      </w:tr>
    </w:tbl>
    <w:p>
      <w:pPr>
        <w:spacing w:after="0" w:line="20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and any or all amendments (including post-effective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my substitute or substitutes, may lawfully do or cause to be done by virtue hereof.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5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Joanne C. Crevoiserat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Joanne C. Crevoiserat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06/20/2023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920"/>
          </w:cols>
          <w:pgMar w:left="440" w:top="486" w:right="539" w:bottom="1440" w:gutter="0" w:footer="0" w:header="0"/>
        </w:sectPr>
      </w:pPr>
    </w:p>
    <w:bookmarkStart w:id="14" w:name="page15"/>
    <w:bookmarkEnd w:id="1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POWER OF ATTORNEY</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undersigned, a director of General Motors Company (“GM”), hereby constitutes and appoints Craig B. Glidden, Christopher T. Hatto,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SEC Registration Statement on</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Covering</w:t>
            </w:r>
          </w:p>
        </w:tc>
        <w:tc>
          <w:tcPr>
            <w:tcW w:w="6380" w:type="dxa"/>
            <w:vAlign w:val="bottom"/>
          </w:tcPr>
          <w:p>
            <w:pPr>
              <w:spacing w:after="0"/>
              <w:rPr>
                <w:sz w:val="14"/>
                <w:szCs w:val="14"/>
                <w:color w:val="auto"/>
              </w:rPr>
            </w:pPr>
          </w:p>
        </w:tc>
      </w:tr>
      <w:tr>
        <w:trPr>
          <w:trHeight w:val="195"/>
        </w:trPr>
        <w:tc>
          <w:tcPr>
            <w:tcW w:w="1920" w:type="dxa"/>
            <w:vAlign w:val="bottom"/>
          </w:tcPr>
          <w:p>
            <w:pPr>
              <w:spacing w:after="0" w:line="195" w:lineRule="exact"/>
              <w:rPr>
                <w:sz w:val="20"/>
                <w:szCs w:val="20"/>
                <w:color w:val="auto"/>
              </w:rPr>
            </w:pPr>
            <w:r>
              <w:rPr>
                <w:rFonts w:ascii="Arial" w:cs="Arial" w:eastAsia="Arial" w:hAnsi="Arial"/>
                <w:sz w:val="18"/>
                <w:szCs w:val="18"/>
                <w:color w:val="auto"/>
              </w:rPr>
              <w:t>Form S-8</w:t>
            </w: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960" w:type="dxa"/>
            <w:vAlign w:val="bottom"/>
            <w:gridSpan w:val="2"/>
          </w:tcPr>
          <w:p>
            <w:pPr>
              <w:spacing w:after="0" w:line="195" w:lineRule="exact"/>
              <w:rPr>
                <w:sz w:val="20"/>
                <w:szCs w:val="20"/>
                <w:color w:val="auto"/>
              </w:rPr>
            </w:pPr>
            <w:r>
              <w:rPr>
                <w:rFonts w:ascii="Arial" w:cs="Arial" w:eastAsia="Arial" w:hAnsi="Arial"/>
                <w:sz w:val="18"/>
                <w:szCs w:val="18"/>
                <w:color w:val="auto"/>
                <w:w w:val="90"/>
              </w:rPr>
              <w:t>Registration of shares of General Motors Company common stock, par value $0.01, for the 2020</w:t>
            </w:r>
          </w:p>
        </w:tc>
      </w:tr>
      <w:tr>
        <w:trPr>
          <w:trHeight w:val="230"/>
        </w:trPr>
        <w:tc>
          <w:tcPr>
            <w:tcW w:w="1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980" w:type="dxa"/>
            <w:vAlign w:val="bottom"/>
            <w:gridSpan w:val="3"/>
          </w:tcPr>
          <w:p>
            <w:pPr>
              <w:ind w:left="1020"/>
              <w:spacing w:after="0"/>
              <w:rPr>
                <w:sz w:val="20"/>
                <w:szCs w:val="20"/>
                <w:color w:val="auto"/>
              </w:rPr>
            </w:pPr>
            <w:r>
              <w:rPr>
                <w:rFonts w:ascii="Arial" w:cs="Arial" w:eastAsia="Arial" w:hAnsi="Arial"/>
                <w:sz w:val="18"/>
                <w:szCs w:val="18"/>
                <w:color w:val="auto"/>
              </w:rPr>
              <w:t>General Motors Company Long-Term Incentive Plan</w:t>
            </w:r>
          </w:p>
        </w:tc>
      </w:tr>
    </w:tbl>
    <w:p>
      <w:pPr>
        <w:spacing w:after="0" w:line="20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and any or all amendments (including post-effective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my substitute or substitutes, may lawfully do or cause to be done by virtue hereof.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5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Linda R. Gooden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Linda R. Gooden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06/20/2023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920"/>
          </w:cols>
          <w:pgMar w:left="440" w:top="486" w:right="539" w:bottom="1440" w:gutter="0" w:footer="0" w:header="0"/>
        </w:sectPr>
      </w:pPr>
    </w:p>
    <w:bookmarkStart w:id="15" w:name="page16"/>
    <w:bookmarkEnd w:id="1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POWER OF ATTORNEY</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undersigned, a director of General Motors Company (“GM”), hereby constitutes and appoints Craig B. Glidden, Christopher T. Hatto,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SEC Registration Statement on</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Covering</w:t>
            </w:r>
          </w:p>
        </w:tc>
        <w:tc>
          <w:tcPr>
            <w:tcW w:w="6380" w:type="dxa"/>
            <w:vAlign w:val="bottom"/>
          </w:tcPr>
          <w:p>
            <w:pPr>
              <w:spacing w:after="0"/>
              <w:rPr>
                <w:sz w:val="14"/>
                <w:szCs w:val="14"/>
                <w:color w:val="auto"/>
              </w:rPr>
            </w:pPr>
          </w:p>
        </w:tc>
      </w:tr>
      <w:tr>
        <w:trPr>
          <w:trHeight w:val="195"/>
        </w:trPr>
        <w:tc>
          <w:tcPr>
            <w:tcW w:w="1920" w:type="dxa"/>
            <w:vAlign w:val="bottom"/>
          </w:tcPr>
          <w:p>
            <w:pPr>
              <w:spacing w:after="0" w:line="195" w:lineRule="exact"/>
              <w:rPr>
                <w:sz w:val="20"/>
                <w:szCs w:val="20"/>
                <w:color w:val="auto"/>
              </w:rPr>
            </w:pPr>
            <w:r>
              <w:rPr>
                <w:rFonts w:ascii="Arial" w:cs="Arial" w:eastAsia="Arial" w:hAnsi="Arial"/>
                <w:sz w:val="18"/>
                <w:szCs w:val="18"/>
                <w:color w:val="auto"/>
              </w:rPr>
              <w:t>Form S-8</w:t>
            </w: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960" w:type="dxa"/>
            <w:vAlign w:val="bottom"/>
            <w:gridSpan w:val="2"/>
          </w:tcPr>
          <w:p>
            <w:pPr>
              <w:spacing w:after="0" w:line="195" w:lineRule="exact"/>
              <w:rPr>
                <w:sz w:val="20"/>
                <w:szCs w:val="20"/>
                <w:color w:val="auto"/>
              </w:rPr>
            </w:pPr>
            <w:r>
              <w:rPr>
                <w:rFonts w:ascii="Arial" w:cs="Arial" w:eastAsia="Arial" w:hAnsi="Arial"/>
                <w:sz w:val="18"/>
                <w:szCs w:val="18"/>
                <w:color w:val="auto"/>
                <w:w w:val="90"/>
              </w:rPr>
              <w:t>Registration of shares of General Motors Company common stock, par value $0.01, for the 2020</w:t>
            </w:r>
          </w:p>
        </w:tc>
      </w:tr>
      <w:tr>
        <w:trPr>
          <w:trHeight w:val="230"/>
        </w:trPr>
        <w:tc>
          <w:tcPr>
            <w:tcW w:w="1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980" w:type="dxa"/>
            <w:vAlign w:val="bottom"/>
            <w:gridSpan w:val="3"/>
          </w:tcPr>
          <w:p>
            <w:pPr>
              <w:ind w:left="1020"/>
              <w:spacing w:after="0"/>
              <w:rPr>
                <w:sz w:val="20"/>
                <w:szCs w:val="20"/>
                <w:color w:val="auto"/>
              </w:rPr>
            </w:pPr>
            <w:r>
              <w:rPr>
                <w:rFonts w:ascii="Arial" w:cs="Arial" w:eastAsia="Arial" w:hAnsi="Arial"/>
                <w:sz w:val="18"/>
                <w:szCs w:val="18"/>
                <w:color w:val="auto"/>
              </w:rPr>
              <w:t>General Motors Company Long-Term Incentive Plan</w:t>
            </w:r>
          </w:p>
        </w:tc>
      </w:tr>
    </w:tbl>
    <w:p>
      <w:pPr>
        <w:spacing w:after="0" w:line="20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and any or all amendments (including post-effective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my substitute or substitutes, may lawfully do or cause to be done by virtue hereof.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5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06/20/2023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920"/>
          </w:cols>
          <w:pgMar w:left="440" w:top="486" w:right="539" w:bottom="1440" w:gutter="0" w:footer="0" w:header="0"/>
        </w:sectPr>
      </w:pPr>
    </w:p>
    <w:bookmarkStart w:id="16" w:name="page17"/>
    <w:bookmarkEnd w:id="1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POWER OF ATTORNEY</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undersigned, a director of General Motors Company (“GM”), hereby constitutes and appoints Craig B. Glidden, Christopher T. Hatto,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SEC Registration Statement on</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Covering</w:t>
            </w:r>
          </w:p>
        </w:tc>
        <w:tc>
          <w:tcPr>
            <w:tcW w:w="6380" w:type="dxa"/>
            <w:vAlign w:val="bottom"/>
          </w:tcPr>
          <w:p>
            <w:pPr>
              <w:spacing w:after="0"/>
              <w:rPr>
                <w:sz w:val="14"/>
                <w:szCs w:val="14"/>
                <w:color w:val="auto"/>
              </w:rPr>
            </w:pPr>
          </w:p>
        </w:tc>
      </w:tr>
      <w:tr>
        <w:trPr>
          <w:trHeight w:val="195"/>
        </w:trPr>
        <w:tc>
          <w:tcPr>
            <w:tcW w:w="1920" w:type="dxa"/>
            <w:vAlign w:val="bottom"/>
          </w:tcPr>
          <w:p>
            <w:pPr>
              <w:spacing w:after="0" w:line="195" w:lineRule="exact"/>
              <w:rPr>
                <w:sz w:val="20"/>
                <w:szCs w:val="20"/>
                <w:color w:val="auto"/>
              </w:rPr>
            </w:pPr>
            <w:r>
              <w:rPr>
                <w:rFonts w:ascii="Arial" w:cs="Arial" w:eastAsia="Arial" w:hAnsi="Arial"/>
                <w:sz w:val="18"/>
                <w:szCs w:val="18"/>
                <w:color w:val="auto"/>
              </w:rPr>
              <w:t>Form S-8</w:t>
            </w: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960" w:type="dxa"/>
            <w:vAlign w:val="bottom"/>
            <w:gridSpan w:val="2"/>
          </w:tcPr>
          <w:p>
            <w:pPr>
              <w:spacing w:after="0" w:line="195" w:lineRule="exact"/>
              <w:rPr>
                <w:sz w:val="20"/>
                <w:szCs w:val="20"/>
                <w:color w:val="auto"/>
              </w:rPr>
            </w:pPr>
            <w:r>
              <w:rPr>
                <w:rFonts w:ascii="Arial" w:cs="Arial" w:eastAsia="Arial" w:hAnsi="Arial"/>
                <w:sz w:val="18"/>
                <w:szCs w:val="18"/>
                <w:color w:val="auto"/>
                <w:w w:val="90"/>
              </w:rPr>
              <w:t>Registration of shares of General Motors Company common stock, par value $0.01, for the 2020</w:t>
            </w:r>
          </w:p>
        </w:tc>
      </w:tr>
      <w:tr>
        <w:trPr>
          <w:trHeight w:val="230"/>
        </w:trPr>
        <w:tc>
          <w:tcPr>
            <w:tcW w:w="1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980" w:type="dxa"/>
            <w:vAlign w:val="bottom"/>
            <w:gridSpan w:val="3"/>
          </w:tcPr>
          <w:p>
            <w:pPr>
              <w:ind w:left="1020"/>
              <w:spacing w:after="0"/>
              <w:rPr>
                <w:sz w:val="20"/>
                <w:szCs w:val="20"/>
                <w:color w:val="auto"/>
              </w:rPr>
            </w:pPr>
            <w:r>
              <w:rPr>
                <w:rFonts w:ascii="Arial" w:cs="Arial" w:eastAsia="Arial" w:hAnsi="Arial"/>
                <w:sz w:val="18"/>
                <w:szCs w:val="18"/>
                <w:color w:val="auto"/>
              </w:rPr>
              <w:t>General Motors Company Long-Term Incentive Plan</w:t>
            </w:r>
          </w:p>
        </w:tc>
      </w:tr>
    </w:tbl>
    <w:p>
      <w:pPr>
        <w:spacing w:after="0" w:line="20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and any or all amendments (including post-effective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my substitute or substitutes, may lawfully do or cause to be done by virtue hereof.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5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Jonathan McNeill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Jonathan McNeill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06/20/2023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920"/>
          </w:cols>
          <w:pgMar w:left="440" w:top="486" w:right="539" w:bottom="1440" w:gutter="0" w:footer="0" w:header="0"/>
        </w:sectPr>
      </w:pPr>
    </w:p>
    <w:bookmarkStart w:id="17" w:name="page18"/>
    <w:bookmarkEnd w:id="1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POWER OF ATTORNEY</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undersigned, a director of General Motors Company (“GM”), hereby constitutes and appoints Craig B. Glidden, Christopher T. Hatto,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SEC Registration Statement on</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Covering</w:t>
            </w:r>
          </w:p>
        </w:tc>
        <w:tc>
          <w:tcPr>
            <w:tcW w:w="6380" w:type="dxa"/>
            <w:vAlign w:val="bottom"/>
          </w:tcPr>
          <w:p>
            <w:pPr>
              <w:spacing w:after="0"/>
              <w:rPr>
                <w:sz w:val="14"/>
                <w:szCs w:val="14"/>
                <w:color w:val="auto"/>
              </w:rPr>
            </w:pPr>
          </w:p>
        </w:tc>
      </w:tr>
      <w:tr>
        <w:trPr>
          <w:trHeight w:val="195"/>
        </w:trPr>
        <w:tc>
          <w:tcPr>
            <w:tcW w:w="1920" w:type="dxa"/>
            <w:vAlign w:val="bottom"/>
          </w:tcPr>
          <w:p>
            <w:pPr>
              <w:spacing w:after="0" w:line="195" w:lineRule="exact"/>
              <w:rPr>
                <w:sz w:val="20"/>
                <w:szCs w:val="20"/>
                <w:color w:val="auto"/>
              </w:rPr>
            </w:pPr>
            <w:r>
              <w:rPr>
                <w:rFonts w:ascii="Arial" w:cs="Arial" w:eastAsia="Arial" w:hAnsi="Arial"/>
                <w:sz w:val="18"/>
                <w:szCs w:val="18"/>
                <w:color w:val="auto"/>
              </w:rPr>
              <w:t>Form S-8</w:t>
            </w: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960" w:type="dxa"/>
            <w:vAlign w:val="bottom"/>
            <w:gridSpan w:val="2"/>
          </w:tcPr>
          <w:p>
            <w:pPr>
              <w:spacing w:after="0" w:line="195" w:lineRule="exact"/>
              <w:rPr>
                <w:sz w:val="20"/>
                <w:szCs w:val="20"/>
                <w:color w:val="auto"/>
              </w:rPr>
            </w:pPr>
            <w:r>
              <w:rPr>
                <w:rFonts w:ascii="Arial" w:cs="Arial" w:eastAsia="Arial" w:hAnsi="Arial"/>
                <w:sz w:val="18"/>
                <w:szCs w:val="18"/>
                <w:color w:val="auto"/>
                <w:w w:val="90"/>
              </w:rPr>
              <w:t>Registration of shares of General Motors Company common stock, par value $0.01, for the 2020</w:t>
            </w:r>
          </w:p>
        </w:tc>
      </w:tr>
      <w:tr>
        <w:trPr>
          <w:trHeight w:val="230"/>
        </w:trPr>
        <w:tc>
          <w:tcPr>
            <w:tcW w:w="1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980" w:type="dxa"/>
            <w:vAlign w:val="bottom"/>
            <w:gridSpan w:val="3"/>
          </w:tcPr>
          <w:p>
            <w:pPr>
              <w:ind w:left="1020"/>
              <w:spacing w:after="0"/>
              <w:rPr>
                <w:sz w:val="20"/>
                <w:szCs w:val="20"/>
                <w:color w:val="auto"/>
              </w:rPr>
            </w:pPr>
            <w:r>
              <w:rPr>
                <w:rFonts w:ascii="Arial" w:cs="Arial" w:eastAsia="Arial" w:hAnsi="Arial"/>
                <w:sz w:val="18"/>
                <w:szCs w:val="18"/>
                <w:color w:val="auto"/>
              </w:rPr>
              <w:t>General Motors Company Long-Term Incentive Plan</w:t>
            </w:r>
          </w:p>
        </w:tc>
      </w:tr>
    </w:tbl>
    <w:p>
      <w:pPr>
        <w:spacing w:after="0" w:line="20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and any or all amendments (including post-effective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my substitute or substitutes, may lawfully do or cause to be done by virtue hereof.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5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Judith A. Miscik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Judith A. Miscik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06/20/2023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920"/>
          </w:cols>
          <w:pgMar w:left="440" w:top="486" w:right="539" w:bottom="1440" w:gutter="0" w:footer="0" w:header="0"/>
        </w:sectPr>
      </w:pPr>
    </w:p>
    <w:bookmarkStart w:id="18" w:name="page19"/>
    <w:bookmarkEnd w:id="1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POWER OF ATTORNEY</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undersigned, a director of General Motors Company (“GM”), hereby constitutes and appoints Craig B. Glidden, Christopher T. Hatto,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SEC Registration Statement on</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Covering</w:t>
            </w:r>
          </w:p>
        </w:tc>
        <w:tc>
          <w:tcPr>
            <w:tcW w:w="6380" w:type="dxa"/>
            <w:vAlign w:val="bottom"/>
          </w:tcPr>
          <w:p>
            <w:pPr>
              <w:spacing w:after="0"/>
              <w:rPr>
                <w:sz w:val="14"/>
                <w:szCs w:val="14"/>
                <w:color w:val="auto"/>
              </w:rPr>
            </w:pPr>
          </w:p>
        </w:tc>
      </w:tr>
      <w:tr>
        <w:trPr>
          <w:trHeight w:val="195"/>
        </w:trPr>
        <w:tc>
          <w:tcPr>
            <w:tcW w:w="1920" w:type="dxa"/>
            <w:vAlign w:val="bottom"/>
          </w:tcPr>
          <w:p>
            <w:pPr>
              <w:spacing w:after="0" w:line="195" w:lineRule="exact"/>
              <w:rPr>
                <w:sz w:val="20"/>
                <w:szCs w:val="20"/>
                <w:color w:val="auto"/>
              </w:rPr>
            </w:pPr>
            <w:r>
              <w:rPr>
                <w:rFonts w:ascii="Arial" w:cs="Arial" w:eastAsia="Arial" w:hAnsi="Arial"/>
                <w:sz w:val="18"/>
                <w:szCs w:val="18"/>
                <w:color w:val="auto"/>
              </w:rPr>
              <w:t>Form S-8</w:t>
            </w: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960" w:type="dxa"/>
            <w:vAlign w:val="bottom"/>
            <w:gridSpan w:val="2"/>
          </w:tcPr>
          <w:p>
            <w:pPr>
              <w:spacing w:after="0" w:line="195" w:lineRule="exact"/>
              <w:rPr>
                <w:sz w:val="20"/>
                <w:szCs w:val="20"/>
                <w:color w:val="auto"/>
              </w:rPr>
            </w:pPr>
            <w:r>
              <w:rPr>
                <w:rFonts w:ascii="Arial" w:cs="Arial" w:eastAsia="Arial" w:hAnsi="Arial"/>
                <w:sz w:val="18"/>
                <w:szCs w:val="18"/>
                <w:color w:val="auto"/>
                <w:w w:val="90"/>
              </w:rPr>
              <w:t>Registration of shares of General Motors Company common stock, par value $0.01, for the 2020</w:t>
            </w:r>
          </w:p>
        </w:tc>
      </w:tr>
      <w:tr>
        <w:trPr>
          <w:trHeight w:val="230"/>
        </w:trPr>
        <w:tc>
          <w:tcPr>
            <w:tcW w:w="1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980" w:type="dxa"/>
            <w:vAlign w:val="bottom"/>
            <w:gridSpan w:val="3"/>
          </w:tcPr>
          <w:p>
            <w:pPr>
              <w:ind w:left="1020"/>
              <w:spacing w:after="0"/>
              <w:rPr>
                <w:sz w:val="20"/>
                <w:szCs w:val="20"/>
                <w:color w:val="auto"/>
              </w:rPr>
            </w:pPr>
            <w:r>
              <w:rPr>
                <w:rFonts w:ascii="Arial" w:cs="Arial" w:eastAsia="Arial" w:hAnsi="Arial"/>
                <w:sz w:val="18"/>
                <w:szCs w:val="18"/>
                <w:color w:val="auto"/>
              </w:rPr>
              <w:t>General Motors Company Long-Term Incentive Plan</w:t>
            </w:r>
          </w:p>
        </w:tc>
      </w:tr>
    </w:tbl>
    <w:p>
      <w:pPr>
        <w:spacing w:after="0" w:line="20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and any or all amendments (including post-effective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my substitute or substitutes, may lawfully do or cause to be done by virtue hereof.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5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06/20/2023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920"/>
          </w:cols>
          <w:pgMar w:left="440" w:top="486" w:right="539" w:bottom="1440" w:gutter="0" w:footer="0" w:header="0"/>
        </w:sectPr>
      </w:pPr>
    </w:p>
    <w:bookmarkStart w:id="19" w:name="page20"/>
    <w:bookmarkEnd w:id="1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POWER OF ATTORNEY</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undersigned, a director of General Motors Company (“GM”), hereby constitutes and appoints Craig B. Glidden, Christopher T. Hatto,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SEC Registration Statement on</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Covering</w:t>
            </w:r>
          </w:p>
        </w:tc>
        <w:tc>
          <w:tcPr>
            <w:tcW w:w="6380" w:type="dxa"/>
            <w:vAlign w:val="bottom"/>
          </w:tcPr>
          <w:p>
            <w:pPr>
              <w:spacing w:after="0"/>
              <w:rPr>
                <w:sz w:val="14"/>
                <w:szCs w:val="14"/>
                <w:color w:val="auto"/>
              </w:rPr>
            </w:pPr>
          </w:p>
        </w:tc>
      </w:tr>
      <w:tr>
        <w:trPr>
          <w:trHeight w:val="195"/>
        </w:trPr>
        <w:tc>
          <w:tcPr>
            <w:tcW w:w="1920" w:type="dxa"/>
            <w:vAlign w:val="bottom"/>
          </w:tcPr>
          <w:p>
            <w:pPr>
              <w:spacing w:after="0" w:line="195" w:lineRule="exact"/>
              <w:rPr>
                <w:sz w:val="20"/>
                <w:szCs w:val="20"/>
                <w:color w:val="auto"/>
              </w:rPr>
            </w:pPr>
            <w:r>
              <w:rPr>
                <w:rFonts w:ascii="Arial" w:cs="Arial" w:eastAsia="Arial" w:hAnsi="Arial"/>
                <w:sz w:val="18"/>
                <w:szCs w:val="18"/>
                <w:color w:val="auto"/>
              </w:rPr>
              <w:t>Form S-8</w:t>
            </w: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960" w:type="dxa"/>
            <w:vAlign w:val="bottom"/>
            <w:gridSpan w:val="2"/>
          </w:tcPr>
          <w:p>
            <w:pPr>
              <w:spacing w:after="0" w:line="195" w:lineRule="exact"/>
              <w:rPr>
                <w:sz w:val="20"/>
                <w:szCs w:val="20"/>
                <w:color w:val="auto"/>
              </w:rPr>
            </w:pPr>
            <w:r>
              <w:rPr>
                <w:rFonts w:ascii="Arial" w:cs="Arial" w:eastAsia="Arial" w:hAnsi="Arial"/>
                <w:sz w:val="18"/>
                <w:szCs w:val="18"/>
                <w:color w:val="auto"/>
                <w:w w:val="90"/>
              </w:rPr>
              <w:t>Registration of shares of General Motors Company common stock, par value $0.01, for the 2020</w:t>
            </w:r>
          </w:p>
        </w:tc>
      </w:tr>
      <w:tr>
        <w:trPr>
          <w:trHeight w:val="230"/>
        </w:trPr>
        <w:tc>
          <w:tcPr>
            <w:tcW w:w="1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980" w:type="dxa"/>
            <w:vAlign w:val="bottom"/>
            <w:gridSpan w:val="3"/>
          </w:tcPr>
          <w:p>
            <w:pPr>
              <w:ind w:left="1020"/>
              <w:spacing w:after="0"/>
              <w:rPr>
                <w:sz w:val="20"/>
                <w:szCs w:val="20"/>
                <w:color w:val="auto"/>
              </w:rPr>
            </w:pPr>
            <w:r>
              <w:rPr>
                <w:rFonts w:ascii="Arial" w:cs="Arial" w:eastAsia="Arial" w:hAnsi="Arial"/>
                <w:sz w:val="18"/>
                <w:szCs w:val="18"/>
                <w:color w:val="auto"/>
              </w:rPr>
              <w:t>General Motors Company Long-Term Incentive Plan</w:t>
            </w:r>
          </w:p>
        </w:tc>
      </w:tr>
    </w:tbl>
    <w:p>
      <w:pPr>
        <w:spacing w:after="0" w:line="20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and any or all amendments (including post-effective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my substitute or substitutes, may lawfully do or cause to be done by virtue hereof.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5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06/20/2023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920"/>
          </w:cols>
          <w:pgMar w:left="440" w:top="486" w:right="539" w:bottom="1440" w:gutter="0" w:footer="0" w:header="0"/>
        </w:sectPr>
      </w:pPr>
    </w:p>
    <w:bookmarkStart w:id="20" w:name="page21"/>
    <w:bookmarkEnd w:id="2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POWER OF ATTORNEY</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undersigned, a director of General Motors Company (“GM”), hereby constitutes and appoints Craig B. Glidden, Christopher T. Hatto,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SEC Registration Statement on</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Covering</w:t>
            </w:r>
          </w:p>
        </w:tc>
        <w:tc>
          <w:tcPr>
            <w:tcW w:w="6380" w:type="dxa"/>
            <w:vAlign w:val="bottom"/>
          </w:tcPr>
          <w:p>
            <w:pPr>
              <w:spacing w:after="0"/>
              <w:rPr>
                <w:sz w:val="14"/>
                <w:szCs w:val="14"/>
                <w:color w:val="auto"/>
              </w:rPr>
            </w:pPr>
          </w:p>
        </w:tc>
      </w:tr>
      <w:tr>
        <w:trPr>
          <w:trHeight w:val="195"/>
        </w:trPr>
        <w:tc>
          <w:tcPr>
            <w:tcW w:w="1920" w:type="dxa"/>
            <w:vAlign w:val="bottom"/>
          </w:tcPr>
          <w:p>
            <w:pPr>
              <w:spacing w:after="0" w:line="195" w:lineRule="exact"/>
              <w:rPr>
                <w:sz w:val="20"/>
                <w:szCs w:val="20"/>
                <w:color w:val="auto"/>
              </w:rPr>
            </w:pPr>
            <w:r>
              <w:rPr>
                <w:rFonts w:ascii="Arial" w:cs="Arial" w:eastAsia="Arial" w:hAnsi="Arial"/>
                <w:sz w:val="18"/>
                <w:szCs w:val="18"/>
                <w:color w:val="auto"/>
              </w:rPr>
              <w:t>Form S-8</w:t>
            </w: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960" w:type="dxa"/>
            <w:vAlign w:val="bottom"/>
            <w:gridSpan w:val="2"/>
          </w:tcPr>
          <w:p>
            <w:pPr>
              <w:spacing w:after="0" w:line="195" w:lineRule="exact"/>
              <w:rPr>
                <w:sz w:val="20"/>
                <w:szCs w:val="20"/>
                <w:color w:val="auto"/>
              </w:rPr>
            </w:pPr>
            <w:r>
              <w:rPr>
                <w:rFonts w:ascii="Arial" w:cs="Arial" w:eastAsia="Arial" w:hAnsi="Arial"/>
                <w:sz w:val="18"/>
                <w:szCs w:val="18"/>
                <w:color w:val="auto"/>
                <w:w w:val="90"/>
              </w:rPr>
              <w:t>Registration of shares of General Motors Company common stock, par value $0.01, for the 2020</w:t>
            </w:r>
          </w:p>
        </w:tc>
      </w:tr>
      <w:tr>
        <w:trPr>
          <w:trHeight w:val="230"/>
        </w:trPr>
        <w:tc>
          <w:tcPr>
            <w:tcW w:w="1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980" w:type="dxa"/>
            <w:vAlign w:val="bottom"/>
            <w:gridSpan w:val="3"/>
          </w:tcPr>
          <w:p>
            <w:pPr>
              <w:ind w:left="1020"/>
              <w:spacing w:after="0"/>
              <w:rPr>
                <w:sz w:val="20"/>
                <w:szCs w:val="20"/>
                <w:color w:val="auto"/>
              </w:rPr>
            </w:pPr>
            <w:r>
              <w:rPr>
                <w:rFonts w:ascii="Arial" w:cs="Arial" w:eastAsia="Arial" w:hAnsi="Arial"/>
                <w:sz w:val="18"/>
                <w:szCs w:val="18"/>
                <w:color w:val="auto"/>
              </w:rPr>
              <w:t>General Motors Company Long-Term Incentive Plan</w:t>
            </w:r>
          </w:p>
        </w:tc>
      </w:tr>
    </w:tbl>
    <w:p>
      <w:pPr>
        <w:spacing w:after="0" w:line="20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and any or all amendments (including post-effective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my substitute or substitutes, may lawfully do or cause to be done by virtue hereof.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5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Mark A. Tatum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Mark A. Tatum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06/20/2023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920"/>
          </w:cols>
          <w:pgMar w:left="440" w:top="486" w:right="539" w:bottom="1440" w:gutter="0" w:footer="0" w:header="0"/>
        </w:sectPr>
      </w:pPr>
    </w:p>
    <w:bookmarkStart w:id="21" w:name="page22"/>
    <w:bookmarkEnd w:id="2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POWER OF ATTORNEY</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undersigned, a director of General Motors Company (“GM”), hereby constitutes and appoints Craig B. Glidden, Christopher T. Hatto,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SEC Registration Statement on</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Covering</w:t>
            </w:r>
          </w:p>
        </w:tc>
        <w:tc>
          <w:tcPr>
            <w:tcW w:w="6380" w:type="dxa"/>
            <w:vAlign w:val="bottom"/>
          </w:tcPr>
          <w:p>
            <w:pPr>
              <w:spacing w:after="0"/>
              <w:rPr>
                <w:sz w:val="14"/>
                <w:szCs w:val="14"/>
                <w:color w:val="auto"/>
              </w:rPr>
            </w:pPr>
          </w:p>
        </w:tc>
      </w:tr>
      <w:tr>
        <w:trPr>
          <w:trHeight w:val="195"/>
        </w:trPr>
        <w:tc>
          <w:tcPr>
            <w:tcW w:w="1920" w:type="dxa"/>
            <w:vAlign w:val="bottom"/>
          </w:tcPr>
          <w:p>
            <w:pPr>
              <w:spacing w:after="0" w:line="195" w:lineRule="exact"/>
              <w:rPr>
                <w:sz w:val="20"/>
                <w:szCs w:val="20"/>
                <w:color w:val="auto"/>
              </w:rPr>
            </w:pPr>
            <w:r>
              <w:rPr>
                <w:rFonts w:ascii="Arial" w:cs="Arial" w:eastAsia="Arial" w:hAnsi="Arial"/>
                <w:sz w:val="18"/>
                <w:szCs w:val="18"/>
                <w:color w:val="auto"/>
              </w:rPr>
              <w:t>Form S-8</w:t>
            </w: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960" w:type="dxa"/>
            <w:vAlign w:val="bottom"/>
            <w:gridSpan w:val="2"/>
          </w:tcPr>
          <w:p>
            <w:pPr>
              <w:spacing w:after="0" w:line="195" w:lineRule="exact"/>
              <w:rPr>
                <w:sz w:val="20"/>
                <w:szCs w:val="20"/>
                <w:color w:val="auto"/>
              </w:rPr>
            </w:pPr>
            <w:r>
              <w:rPr>
                <w:rFonts w:ascii="Arial" w:cs="Arial" w:eastAsia="Arial" w:hAnsi="Arial"/>
                <w:sz w:val="18"/>
                <w:szCs w:val="18"/>
                <w:color w:val="auto"/>
                <w:w w:val="90"/>
              </w:rPr>
              <w:t>Registration of shares of General Motors Company common stock, par value $0.01, for the 2020</w:t>
            </w:r>
          </w:p>
        </w:tc>
      </w:tr>
      <w:tr>
        <w:trPr>
          <w:trHeight w:val="230"/>
        </w:trPr>
        <w:tc>
          <w:tcPr>
            <w:tcW w:w="1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980" w:type="dxa"/>
            <w:vAlign w:val="bottom"/>
            <w:gridSpan w:val="3"/>
          </w:tcPr>
          <w:p>
            <w:pPr>
              <w:ind w:left="1020"/>
              <w:spacing w:after="0"/>
              <w:rPr>
                <w:sz w:val="20"/>
                <w:szCs w:val="20"/>
                <w:color w:val="auto"/>
              </w:rPr>
            </w:pPr>
            <w:r>
              <w:rPr>
                <w:rFonts w:ascii="Arial" w:cs="Arial" w:eastAsia="Arial" w:hAnsi="Arial"/>
                <w:sz w:val="18"/>
                <w:szCs w:val="18"/>
                <w:color w:val="auto"/>
              </w:rPr>
              <w:t>General Motors Company Long-Term Incentive Plan</w:t>
            </w:r>
          </w:p>
        </w:tc>
      </w:tr>
    </w:tbl>
    <w:p>
      <w:pPr>
        <w:spacing w:after="0" w:line="20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and any or all amendments (including post-effective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my substitute or substitutes, may lawfully do or cause to be done by virtue hereof.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5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Jan E. Tighe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Jan E. Tighe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06/20/2023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920"/>
          </w:cols>
          <w:pgMar w:left="440" w:top="486" w:right="539" w:bottom="1440" w:gutter="0" w:footer="0" w:header="0"/>
        </w:sectPr>
      </w:pPr>
    </w:p>
    <w:bookmarkStart w:id="22" w:name="page23"/>
    <w:bookmarkEnd w:id="2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POWER OF ATTORNEY</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undersigned, a director of General Motors Company (“GM”), hereby constitutes and appoints Craig B. Glidden, Christopher T. Hatto,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SEC Registration Statement on</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Covering</w:t>
            </w:r>
          </w:p>
        </w:tc>
        <w:tc>
          <w:tcPr>
            <w:tcW w:w="6380" w:type="dxa"/>
            <w:vAlign w:val="bottom"/>
          </w:tcPr>
          <w:p>
            <w:pPr>
              <w:spacing w:after="0"/>
              <w:rPr>
                <w:sz w:val="14"/>
                <w:szCs w:val="14"/>
                <w:color w:val="auto"/>
              </w:rPr>
            </w:pPr>
          </w:p>
        </w:tc>
      </w:tr>
      <w:tr>
        <w:trPr>
          <w:trHeight w:val="195"/>
        </w:trPr>
        <w:tc>
          <w:tcPr>
            <w:tcW w:w="1920" w:type="dxa"/>
            <w:vAlign w:val="bottom"/>
          </w:tcPr>
          <w:p>
            <w:pPr>
              <w:spacing w:after="0" w:line="195" w:lineRule="exact"/>
              <w:rPr>
                <w:sz w:val="20"/>
                <w:szCs w:val="20"/>
                <w:color w:val="auto"/>
              </w:rPr>
            </w:pPr>
            <w:r>
              <w:rPr>
                <w:rFonts w:ascii="Arial" w:cs="Arial" w:eastAsia="Arial" w:hAnsi="Arial"/>
                <w:sz w:val="18"/>
                <w:szCs w:val="18"/>
                <w:color w:val="auto"/>
              </w:rPr>
              <w:t>Form S-8</w:t>
            </w: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960" w:type="dxa"/>
            <w:vAlign w:val="bottom"/>
            <w:gridSpan w:val="2"/>
          </w:tcPr>
          <w:p>
            <w:pPr>
              <w:spacing w:after="0" w:line="195" w:lineRule="exact"/>
              <w:rPr>
                <w:sz w:val="20"/>
                <w:szCs w:val="20"/>
                <w:color w:val="auto"/>
              </w:rPr>
            </w:pPr>
            <w:r>
              <w:rPr>
                <w:rFonts w:ascii="Arial" w:cs="Arial" w:eastAsia="Arial" w:hAnsi="Arial"/>
                <w:sz w:val="18"/>
                <w:szCs w:val="18"/>
                <w:color w:val="auto"/>
                <w:w w:val="90"/>
              </w:rPr>
              <w:t>Registration of shares of General Motors Company common stock, par value $0.01, for the 2020</w:t>
            </w:r>
          </w:p>
        </w:tc>
      </w:tr>
      <w:tr>
        <w:trPr>
          <w:trHeight w:val="230"/>
        </w:trPr>
        <w:tc>
          <w:tcPr>
            <w:tcW w:w="1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980" w:type="dxa"/>
            <w:vAlign w:val="bottom"/>
            <w:gridSpan w:val="3"/>
          </w:tcPr>
          <w:p>
            <w:pPr>
              <w:ind w:left="1020"/>
              <w:spacing w:after="0"/>
              <w:rPr>
                <w:sz w:val="20"/>
                <w:szCs w:val="20"/>
                <w:color w:val="auto"/>
              </w:rPr>
            </w:pPr>
            <w:r>
              <w:rPr>
                <w:rFonts w:ascii="Arial" w:cs="Arial" w:eastAsia="Arial" w:hAnsi="Arial"/>
                <w:sz w:val="18"/>
                <w:szCs w:val="18"/>
                <w:color w:val="auto"/>
              </w:rPr>
              <w:t>General Motors Company Long-Term Incentive Plan</w:t>
            </w:r>
          </w:p>
        </w:tc>
      </w:tr>
    </w:tbl>
    <w:p>
      <w:pPr>
        <w:spacing w:after="0" w:line="20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and any or all amendments (including post-effective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my substitute or substitutes, may lawfully do or cause to be done by virtue hereof.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5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Devin N. Wenig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Devin N. Wenig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06/20/2023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920"/>
          </w:cols>
          <w:pgMar w:left="440" w:top="486" w:right="5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FEES TABLE</w:t>
      </w:r>
    </w:p>
    <w:p>
      <w:pPr>
        <w:spacing w:after="0" w:line="229" w:lineRule="exact"/>
        <w:rPr>
          <w:sz w:val="20"/>
          <w:szCs w:val="20"/>
          <w:color w:val="auto"/>
        </w:rPr>
      </w:pPr>
    </w:p>
    <w:p>
      <w:pPr>
        <w:ind w:left="5104"/>
        <w:spacing w:after="0"/>
        <w:rPr>
          <w:sz w:val="20"/>
          <w:szCs w:val="20"/>
          <w:color w:val="auto"/>
        </w:rPr>
      </w:pPr>
      <w:r>
        <w:rPr>
          <w:rFonts w:ascii="Arial" w:cs="Arial" w:eastAsia="Arial" w:hAnsi="Arial"/>
          <w:sz w:val="18"/>
          <w:szCs w:val="18"/>
          <w:color w:val="auto"/>
        </w:rPr>
        <w:t>FORM S-8</w:t>
      </w:r>
    </w:p>
    <w:p>
      <w:pPr>
        <w:spacing w:after="0" w:line="23" w:lineRule="exact"/>
        <w:rPr>
          <w:sz w:val="20"/>
          <w:szCs w:val="20"/>
          <w:color w:val="auto"/>
        </w:rPr>
      </w:pPr>
    </w:p>
    <w:p>
      <w:pPr>
        <w:ind w:left="5044"/>
        <w:spacing w:after="0"/>
        <w:rPr>
          <w:sz w:val="20"/>
          <w:szCs w:val="20"/>
          <w:color w:val="auto"/>
        </w:rPr>
      </w:pPr>
      <w:r>
        <w:rPr>
          <w:rFonts w:ascii="Arial" w:cs="Arial" w:eastAsia="Arial" w:hAnsi="Arial"/>
          <w:sz w:val="18"/>
          <w:szCs w:val="18"/>
          <w:color w:val="auto"/>
        </w:rPr>
        <w:t>(Form Type)</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Table 1: Newly Registered Securities</w:t>
      </w:r>
    </w:p>
    <w:p>
      <w:pPr>
        <w:spacing w:after="0" w:line="246" w:lineRule="exact"/>
        <w:rPr>
          <w:sz w:val="20"/>
          <w:szCs w:val="20"/>
          <w:color w:val="auto"/>
        </w:rPr>
      </w:pPr>
    </w:p>
    <w:tbl>
      <w:tblPr>
        <w:tblLayout w:type="fixed"/>
        <w:tblInd w:w="114" w:type="dxa"/>
        <w:tblCellMar>
          <w:top w:w="0" w:type="dxa"/>
          <w:left w:w="0" w:type="dxa"/>
          <w:bottom w:w="0" w:type="dxa"/>
          <w:right w:w="0" w:type="dxa"/>
        </w:tblCellMar>
      </w:tblPr>
      <w:tr>
        <w:trPr>
          <w:trHeight w:val="148"/>
        </w:trPr>
        <w:tc>
          <w:tcPr>
            <w:tcW w:w="2240" w:type="dxa"/>
            <w:vAlign w:val="bottom"/>
            <w:tcBorders>
              <w:top w:val="single" w:sz="8" w:color="auto"/>
              <w:lef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136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jc w:val="center"/>
              <w:ind w:left="73"/>
              <w:spacing w:after="0" w:line="148" w:lineRule="exact"/>
              <w:rPr>
                <w:sz w:val="20"/>
                <w:szCs w:val="20"/>
                <w:color w:val="auto"/>
              </w:rPr>
            </w:pPr>
            <w:r>
              <w:rPr>
                <w:rFonts w:ascii="Arial" w:cs="Arial" w:eastAsia="Arial" w:hAnsi="Arial"/>
                <w:sz w:val="13"/>
                <w:szCs w:val="13"/>
                <w:color w:val="auto"/>
                <w:w w:val="82"/>
              </w:rPr>
              <w:t>Proposed</w:t>
            </w:r>
          </w:p>
        </w:tc>
        <w:tc>
          <w:tcPr>
            <w:tcW w:w="1300" w:type="dxa"/>
            <w:vAlign w:val="bottom"/>
            <w:tcBorders>
              <w:top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r>
      <w:tr>
        <w:trPr>
          <w:trHeight w:val="135"/>
        </w:trPr>
        <w:tc>
          <w:tcPr>
            <w:tcW w:w="2240" w:type="dxa"/>
            <w:vAlign w:val="bottom"/>
            <w:tcBorders>
              <w:lef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ind w:left="73"/>
              <w:spacing w:after="0" w:line="135" w:lineRule="exact"/>
              <w:rPr>
                <w:sz w:val="20"/>
                <w:szCs w:val="20"/>
                <w:color w:val="auto"/>
              </w:rPr>
            </w:pPr>
            <w:r>
              <w:rPr>
                <w:rFonts w:ascii="Arial" w:cs="Arial" w:eastAsia="Arial" w:hAnsi="Arial"/>
                <w:sz w:val="13"/>
                <w:szCs w:val="13"/>
                <w:color w:val="auto"/>
                <w:w w:val="95"/>
              </w:rPr>
              <w:t>Maximum</w:t>
            </w:r>
          </w:p>
        </w:tc>
        <w:tc>
          <w:tcPr>
            <w:tcW w:w="1300" w:type="dxa"/>
            <w:vAlign w:val="bottom"/>
            <w:tcBorders>
              <w:right w:val="single" w:sz="8" w:color="auto"/>
            </w:tcBorders>
          </w:tcPr>
          <w:p>
            <w:pPr>
              <w:jc w:val="center"/>
              <w:ind w:left="68"/>
              <w:spacing w:after="0" w:line="135" w:lineRule="exact"/>
              <w:rPr>
                <w:sz w:val="20"/>
                <w:szCs w:val="20"/>
                <w:color w:val="auto"/>
              </w:rPr>
            </w:pPr>
            <w:r>
              <w:rPr>
                <w:rFonts w:ascii="Arial" w:cs="Arial" w:eastAsia="Arial" w:hAnsi="Arial"/>
                <w:sz w:val="13"/>
                <w:szCs w:val="13"/>
                <w:color w:val="auto"/>
                <w:w w:val="92"/>
              </w:rPr>
              <w:t>Maximum</w:t>
            </w:r>
          </w:p>
        </w:tc>
        <w:tc>
          <w:tcPr>
            <w:tcW w:w="104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r>
      <w:tr>
        <w:trPr>
          <w:trHeight w:val="135"/>
        </w:trPr>
        <w:tc>
          <w:tcPr>
            <w:tcW w:w="2240" w:type="dxa"/>
            <w:vAlign w:val="bottom"/>
            <w:tcBorders>
              <w:lef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ind w:left="84"/>
              <w:spacing w:after="0" w:line="135" w:lineRule="exact"/>
              <w:rPr>
                <w:sz w:val="20"/>
                <w:szCs w:val="20"/>
                <w:color w:val="auto"/>
              </w:rPr>
            </w:pPr>
            <w:r>
              <w:rPr>
                <w:rFonts w:ascii="Arial" w:cs="Arial" w:eastAsia="Arial" w:hAnsi="Arial"/>
                <w:sz w:val="13"/>
                <w:szCs w:val="13"/>
                <w:color w:val="auto"/>
                <w:w w:val="80"/>
              </w:rPr>
              <w:t>Fee</w:t>
            </w:r>
          </w:p>
        </w:tc>
        <w:tc>
          <w:tcPr>
            <w:tcW w:w="11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ind w:left="73"/>
              <w:spacing w:after="0" w:line="135" w:lineRule="exact"/>
              <w:rPr>
                <w:sz w:val="20"/>
                <w:szCs w:val="20"/>
                <w:color w:val="auto"/>
              </w:rPr>
            </w:pPr>
            <w:r>
              <w:rPr>
                <w:rFonts w:ascii="Arial" w:cs="Arial" w:eastAsia="Arial" w:hAnsi="Arial"/>
                <w:sz w:val="13"/>
                <w:szCs w:val="13"/>
                <w:color w:val="auto"/>
                <w:w w:val="90"/>
              </w:rPr>
              <w:t>Offering</w:t>
            </w:r>
          </w:p>
        </w:tc>
        <w:tc>
          <w:tcPr>
            <w:tcW w:w="1300" w:type="dxa"/>
            <w:vAlign w:val="bottom"/>
            <w:tcBorders>
              <w:right w:val="single" w:sz="8" w:color="auto"/>
            </w:tcBorders>
          </w:tcPr>
          <w:p>
            <w:pPr>
              <w:jc w:val="center"/>
              <w:ind w:left="68"/>
              <w:spacing w:after="0" w:line="135" w:lineRule="exact"/>
              <w:rPr>
                <w:sz w:val="20"/>
                <w:szCs w:val="20"/>
                <w:color w:val="auto"/>
              </w:rPr>
            </w:pPr>
            <w:r>
              <w:rPr>
                <w:rFonts w:ascii="Arial" w:cs="Arial" w:eastAsia="Arial" w:hAnsi="Arial"/>
                <w:sz w:val="13"/>
                <w:szCs w:val="13"/>
                <w:color w:val="auto"/>
                <w:w w:val="86"/>
              </w:rPr>
              <w:t>Aggregate</w:t>
            </w:r>
          </w:p>
        </w:tc>
        <w:tc>
          <w:tcPr>
            <w:tcW w:w="104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r>
      <w:tr>
        <w:trPr>
          <w:trHeight w:val="135"/>
        </w:trPr>
        <w:tc>
          <w:tcPr>
            <w:tcW w:w="2240" w:type="dxa"/>
            <w:vAlign w:val="bottom"/>
            <w:tcBorders>
              <w:lef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ind w:left="84"/>
              <w:spacing w:after="0" w:line="135" w:lineRule="exact"/>
              <w:rPr>
                <w:sz w:val="20"/>
                <w:szCs w:val="20"/>
                <w:color w:val="auto"/>
              </w:rPr>
            </w:pPr>
            <w:r>
              <w:rPr>
                <w:rFonts w:ascii="Arial" w:cs="Arial" w:eastAsia="Arial" w:hAnsi="Arial"/>
                <w:sz w:val="13"/>
                <w:szCs w:val="13"/>
                <w:color w:val="auto"/>
                <w:w w:val="90"/>
              </w:rPr>
              <w:t>Calculation</w:t>
            </w:r>
          </w:p>
        </w:tc>
        <w:tc>
          <w:tcPr>
            <w:tcW w:w="1140" w:type="dxa"/>
            <w:vAlign w:val="bottom"/>
            <w:tcBorders>
              <w:right w:val="single" w:sz="8" w:color="auto"/>
            </w:tcBorders>
          </w:tcPr>
          <w:p>
            <w:pPr>
              <w:jc w:val="center"/>
              <w:ind w:left="68"/>
              <w:spacing w:after="0" w:line="135" w:lineRule="exact"/>
              <w:rPr>
                <w:sz w:val="20"/>
                <w:szCs w:val="20"/>
                <w:color w:val="auto"/>
              </w:rPr>
            </w:pPr>
            <w:r>
              <w:rPr>
                <w:rFonts w:ascii="Arial" w:cs="Arial" w:eastAsia="Arial" w:hAnsi="Arial"/>
                <w:sz w:val="13"/>
                <w:szCs w:val="13"/>
                <w:color w:val="auto"/>
                <w:w w:val="89"/>
              </w:rPr>
              <w:t>Amount</w:t>
            </w:r>
          </w:p>
        </w:tc>
        <w:tc>
          <w:tcPr>
            <w:tcW w:w="840" w:type="dxa"/>
            <w:vAlign w:val="bottom"/>
            <w:tcBorders>
              <w:right w:val="single" w:sz="8" w:color="auto"/>
            </w:tcBorders>
          </w:tcPr>
          <w:p>
            <w:pPr>
              <w:jc w:val="center"/>
              <w:ind w:left="73"/>
              <w:spacing w:after="0" w:line="135" w:lineRule="exact"/>
              <w:rPr>
                <w:sz w:val="20"/>
                <w:szCs w:val="20"/>
                <w:color w:val="auto"/>
              </w:rPr>
            </w:pPr>
            <w:r>
              <w:rPr>
                <w:rFonts w:ascii="Arial" w:cs="Arial" w:eastAsia="Arial" w:hAnsi="Arial"/>
                <w:sz w:val="13"/>
                <w:szCs w:val="13"/>
                <w:color w:val="auto"/>
                <w:w w:val="85"/>
              </w:rPr>
              <w:t>Price Per</w:t>
            </w:r>
          </w:p>
        </w:tc>
        <w:tc>
          <w:tcPr>
            <w:tcW w:w="1300" w:type="dxa"/>
            <w:vAlign w:val="bottom"/>
            <w:tcBorders>
              <w:right w:val="single" w:sz="8" w:color="auto"/>
            </w:tcBorders>
          </w:tcPr>
          <w:p>
            <w:pPr>
              <w:jc w:val="center"/>
              <w:ind w:left="68"/>
              <w:spacing w:after="0" w:line="135" w:lineRule="exact"/>
              <w:rPr>
                <w:sz w:val="20"/>
                <w:szCs w:val="20"/>
                <w:color w:val="auto"/>
              </w:rPr>
            </w:pPr>
            <w:r>
              <w:rPr>
                <w:rFonts w:ascii="Arial" w:cs="Arial" w:eastAsia="Arial" w:hAnsi="Arial"/>
                <w:sz w:val="13"/>
                <w:szCs w:val="13"/>
                <w:color w:val="auto"/>
                <w:w w:val="95"/>
              </w:rPr>
              <w:t>Offering</w:t>
            </w:r>
          </w:p>
        </w:tc>
        <w:tc>
          <w:tcPr>
            <w:tcW w:w="1040" w:type="dxa"/>
            <w:vAlign w:val="bottom"/>
            <w:tcBorders>
              <w:right w:val="single" w:sz="8" w:color="auto"/>
            </w:tcBorders>
          </w:tcPr>
          <w:p>
            <w:pPr>
              <w:jc w:val="center"/>
              <w:ind w:left="64"/>
              <w:spacing w:after="0" w:line="135" w:lineRule="exact"/>
              <w:rPr>
                <w:sz w:val="20"/>
                <w:szCs w:val="20"/>
                <w:color w:val="auto"/>
              </w:rPr>
            </w:pPr>
            <w:r>
              <w:rPr>
                <w:rFonts w:ascii="Arial" w:cs="Arial" w:eastAsia="Arial" w:hAnsi="Arial"/>
                <w:sz w:val="13"/>
                <w:szCs w:val="13"/>
                <w:color w:val="auto"/>
                <w:w w:val="80"/>
              </w:rPr>
              <w:t>Fee</w:t>
            </w:r>
          </w:p>
        </w:tc>
        <w:tc>
          <w:tcPr>
            <w:tcW w:w="1100" w:type="dxa"/>
            <w:vAlign w:val="bottom"/>
            <w:tcBorders>
              <w:right w:val="single" w:sz="8" w:color="auto"/>
            </w:tcBorders>
          </w:tcPr>
          <w:p>
            <w:pPr>
              <w:jc w:val="center"/>
              <w:ind w:left="19"/>
              <w:spacing w:after="0" w:line="135" w:lineRule="exact"/>
              <w:rPr>
                <w:sz w:val="20"/>
                <w:szCs w:val="20"/>
                <w:color w:val="auto"/>
              </w:rPr>
            </w:pPr>
            <w:r>
              <w:rPr>
                <w:rFonts w:ascii="Arial" w:cs="Arial" w:eastAsia="Arial" w:hAnsi="Arial"/>
                <w:sz w:val="13"/>
                <w:szCs w:val="13"/>
                <w:color w:val="auto"/>
                <w:w w:val="94"/>
              </w:rPr>
              <w:t>Amount of</w:t>
            </w:r>
          </w:p>
        </w:tc>
      </w:tr>
      <w:tr>
        <w:trPr>
          <w:trHeight w:val="163"/>
        </w:trPr>
        <w:tc>
          <w:tcPr>
            <w:tcW w:w="2240" w:type="dxa"/>
            <w:vAlign w:val="bottom"/>
            <w:tcBorders>
              <w:left w:val="single" w:sz="8" w:color="auto"/>
              <w:bottom w:val="single" w:sz="8" w:color="auto"/>
            </w:tcBorders>
          </w:tcPr>
          <w:p>
            <w:pPr>
              <w:jc w:val="center"/>
              <w:ind w:left="1104"/>
              <w:spacing w:after="0"/>
              <w:rPr>
                <w:sz w:val="20"/>
                <w:szCs w:val="20"/>
                <w:color w:val="auto"/>
              </w:rPr>
            </w:pPr>
            <w:r>
              <w:rPr>
                <w:rFonts w:ascii="Arial" w:cs="Arial" w:eastAsia="Arial" w:hAnsi="Arial"/>
                <w:sz w:val="13"/>
                <w:szCs w:val="13"/>
                <w:color w:val="auto"/>
                <w:w w:val="88"/>
              </w:rPr>
              <w:t>Security Type</w:t>
            </w:r>
          </w:p>
        </w:tc>
        <w:tc>
          <w:tcPr>
            <w:tcW w:w="102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jc w:val="center"/>
              <w:ind w:left="77"/>
              <w:spacing w:after="0"/>
              <w:rPr>
                <w:sz w:val="20"/>
                <w:szCs w:val="20"/>
                <w:color w:val="auto"/>
              </w:rPr>
            </w:pPr>
            <w:r>
              <w:rPr>
                <w:rFonts w:ascii="Arial" w:cs="Arial" w:eastAsia="Arial" w:hAnsi="Arial"/>
                <w:sz w:val="13"/>
                <w:szCs w:val="13"/>
                <w:color w:val="auto"/>
                <w:w w:val="89"/>
              </w:rPr>
              <w:t>Security Class Title</w:t>
            </w:r>
          </w:p>
        </w:tc>
        <w:tc>
          <w:tcPr>
            <w:tcW w:w="780" w:type="dxa"/>
            <w:vAlign w:val="bottom"/>
            <w:tcBorders>
              <w:bottom w:val="single" w:sz="8" w:color="auto"/>
              <w:right w:val="single" w:sz="8" w:color="auto"/>
            </w:tcBorders>
          </w:tcPr>
          <w:p>
            <w:pPr>
              <w:jc w:val="center"/>
              <w:ind w:left="64"/>
              <w:spacing w:after="0"/>
              <w:rPr>
                <w:sz w:val="20"/>
                <w:szCs w:val="20"/>
                <w:color w:val="auto"/>
              </w:rPr>
            </w:pPr>
            <w:r>
              <w:rPr>
                <w:rFonts w:ascii="Arial" w:cs="Arial" w:eastAsia="Arial" w:hAnsi="Arial"/>
                <w:sz w:val="13"/>
                <w:szCs w:val="13"/>
                <w:color w:val="auto"/>
                <w:w w:val="89"/>
              </w:rPr>
              <w:t>Rule</w:t>
            </w:r>
          </w:p>
        </w:tc>
        <w:tc>
          <w:tcPr>
            <w:tcW w:w="1140" w:type="dxa"/>
            <w:vAlign w:val="bottom"/>
            <w:tcBorders>
              <w:bottom w:val="single" w:sz="8" w:color="auto"/>
              <w:right w:val="single" w:sz="8" w:color="auto"/>
            </w:tcBorders>
          </w:tcPr>
          <w:p>
            <w:pPr>
              <w:jc w:val="center"/>
              <w:ind w:left="68"/>
              <w:spacing w:after="0" w:line="163" w:lineRule="exact"/>
              <w:rPr>
                <w:sz w:val="20"/>
                <w:szCs w:val="20"/>
                <w:color w:val="auto"/>
              </w:rPr>
            </w:pPr>
            <w:r>
              <w:rPr>
                <w:rFonts w:ascii="Arial" w:cs="Arial" w:eastAsia="Arial" w:hAnsi="Arial"/>
                <w:sz w:val="13"/>
                <w:szCs w:val="13"/>
                <w:color w:val="auto"/>
                <w:w w:val="82"/>
              </w:rPr>
              <w:t>Registered</w:t>
            </w:r>
            <w:r>
              <w:rPr>
                <w:rFonts w:ascii="Arial" w:cs="Arial" w:eastAsia="Arial" w:hAnsi="Arial"/>
                <w:sz w:val="18"/>
                <w:szCs w:val="18"/>
                <w:color w:val="auto"/>
                <w:w w:val="82"/>
                <w:vertAlign w:val="superscript"/>
              </w:rPr>
              <w:t>(1)</w:t>
            </w:r>
          </w:p>
        </w:tc>
        <w:tc>
          <w:tcPr>
            <w:tcW w:w="840" w:type="dxa"/>
            <w:vAlign w:val="bottom"/>
            <w:tcBorders>
              <w:bottom w:val="single" w:sz="8" w:color="auto"/>
              <w:right w:val="single" w:sz="8" w:color="auto"/>
            </w:tcBorders>
          </w:tcPr>
          <w:p>
            <w:pPr>
              <w:jc w:val="center"/>
              <w:ind w:left="73"/>
              <w:spacing w:after="0"/>
              <w:rPr>
                <w:sz w:val="20"/>
                <w:szCs w:val="20"/>
                <w:color w:val="auto"/>
              </w:rPr>
            </w:pPr>
            <w:r>
              <w:rPr>
                <w:rFonts w:ascii="Arial" w:cs="Arial" w:eastAsia="Arial" w:hAnsi="Arial"/>
                <w:sz w:val="13"/>
                <w:szCs w:val="13"/>
                <w:color w:val="auto"/>
                <w:w w:val="86"/>
              </w:rPr>
              <w:t>Share</w:t>
            </w:r>
          </w:p>
        </w:tc>
        <w:tc>
          <w:tcPr>
            <w:tcW w:w="1300" w:type="dxa"/>
            <w:vAlign w:val="bottom"/>
            <w:tcBorders>
              <w:bottom w:val="single" w:sz="8" w:color="auto"/>
              <w:right w:val="single" w:sz="8" w:color="auto"/>
            </w:tcBorders>
          </w:tcPr>
          <w:p>
            <w:pPr>
              <w:jc w:val="center"/>
              <w:ind w:left="48"/>
              <w:spacing w:after="0"/>
              <w:rPr>
                <w:sz w:val="20"/>
                <w:szCs w:val="20"/>
                <w:color w:val="auto"/>
              </w:rPr>
            </w:pPr>
            <w:r>
              <w:rPr>
                <w:rFonts w:ascii="Arial" w:cs="Arial" w:eastAsia="Arial" w:hAnsi="Arial"/>
                <w:sz w:val="13"/>
                <w:szCs w:val="13"/>
                <w:color w:val="auto"/>
                <w:w w:val="87"/>
              </w:rPr>
              <w:t>Price</w:t>
            </w:r>
          </w:p>
        </w:tc>
        <w:tc>
          <w:tcPr>
            <w:tcW w:w="1040" w:type="dxa"/>
            <w:vAlign w:val="bottom"/>
            <w:tcBorders>
              <w:bottom w:val="single" w:sz="8" w:color="auto"/>
              <w:right w:val="single" w:sz="8" w:color="auto"/>
            </w:tcBorders>
          </w:tcPr>
          <w:p>
            <w:pPr>
              <w:jc w:val="center"/>
              <w:ind w:left="84"/>
              <w:spacing w:after="0"/>
              <w:rPr>
                <w:sz w:val="20"/>
                <w:szCs w:val="20"/>
                <w:color w:val="auto"/>
              </w:rPr>
            </w:pPr>
            <w:r>
              <w:rPr>
                <w:rFonts w:ascii="Arial" w:cs="Arial" w:eastAsia="Arial" w:hAnsi="Arial"/>
                <w:sz w:val="13"/>
                <w:szCs w:val="13"/>
                <w:color w:val="auto"/>
                <w:w w:val="87"/>
              </w:rPr>
              <w:t>Rate</w:t>
            </w:r>
          </w:p>
        </w:tc>
        <w:tc>
          <w:tcPr>
            <w:tcW w:w="1100" w:type="dxa"/>
            <w:vAlign w:val="bottom"/>
            <w:tcBorders>
              <w:bottom w:val="single" w:sz="8" w:color="auto"/>
              <w:right w:val="single" w:sz="8" w:color="auto"/>
            </w:tcBorders>
          </w:tcPr>
          <w:p>
            <w:pPr>
              <w:jc w:val="center"/>
              <w:ind w:left="19"/>
              <w:spacing w:after="0"/>
              <w:rPr>
                <w:sz w:val="20"/>
                <w:szCs w:val="20"/>
                <w:color w:val="auto"/>
              </w:rPr>
            </w:pPr>
            <w:r>
              <w:rPr>
                <w:rFonts w:ascii="Arial" w:cs="Arial" w:eastAsia="Arial" w:hAnsi="Arial"/>
                <w:sz w:val="13"/>
                <w:szCs w:val="13"/>
                <w:color w:val="auto"/>
                <w:w w:val="88"/>
              </w:rPr>
              <w:t>Registration Fee</w:t>
            </w:r>
          </w:p>
        </w:tc>
      </w:tr>
      <w:tr>
        <w:trPr>
          <w:trHeight w:val="209"/>
        </w:trPr>
        <w:tc>
          <w:tcPr>
            <w:tcW w:w="2240" w:type="dxa"/>
            <w:vAlign w:val="bottom"/>
            <w:tcBorders>
              <w:left w:val="single" w:sz="8" w:color="auto"/>
            </w:tcBorders>
          </w:tcPr>
          <w:p>
            <w:pPr>
              <w:jc w:val="center"/>
              <w:ind w:left="1084"/>
              <w:spacing w:after="0"/>
              <w:rPr>
                <w:sz w:val="20"/>
                <w:szCs w:val="20"/>
                <w:color w:val="auto"/>
              </w:rPr>
            </w:pPr>
            <w:r>
              <w:rPr>
                <w:rFonts w:ascii="Arial" w:cs="Arial" w:eastAsia="Arial" w:hAnsi="Arial"/>
                <w:sz w:val="18"/>
                <w:szCs w:val="18"/>
                <w:color w:val="auto"/>
                <w:w w:val="95"/>
              </w:rPr>
              <w:t>Equity</w:t>
            </w:r>
          </w:p>
        </w:tc>
        <w:tc>
          <w:tcPr>
            <w:tcW w:w="10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ind w:left="77"/>
              <w:spacing w:after="0"/>
              <w:rPr>
                <w:sz w:val="20"/>
                <w:szCs w:val="20"/>
                <w:color w:val="auto"/>
              </w:rPr>
            </w:pPr>
            <w:r>
              <w:rPr>
                <w:rFonts w:ascii="Arial" w:cs="Arial" w:eastAsia="Arial" w:hAnsi="Arial"/>
                <w:sz w:val="18"/>
                <w:szCs w:val="18"/>
                <w:color w:val="auto"/>
                <w:w w:val="90"/>
              </w:rPr>
              <w:t>Common Stock,</w:t>
            </w:r>
          </w:p>
        </w:tc>
        <w:tc>
          <w:tcPr>
            <w:tcW w:w="780" w:type="dxa"/>
            <w:vAlign w:val="bottom"/>
            <w:tcBorders>
              <w:right w:val="single" w:sz="8" w:color="auto"/>
            </w:tcBorders>
          </w:tcPr>
          <w:p>
            <w:pPr>
              <w:jc w:val="center"/>
              <w:ind w:left="84"/>
              <w:spacing w:after="0"/>
              <w:rPr>
                <w:sz w:val="20"/>
                <w:szCs w:val="20"/>
                <w:color w:val="auto"/>
              </w:rPr>
            </w:pPr>
            <w:r>
              <w:rPr>
                <w:rFonts w:ascii="Arial" w:cs="Arial" w:eastAsia="Arial" w:hAnsi="Arial"/>
                <w:sz w:val="18"/>
                <w:szCs w:val="18"/>
                <w:color w:val="auto"/>
                <w:w w:val="90"/>
              </w:rPr>
              <w:t>457(c)</w:t>
            </w:r>
          </w:p>
        </w:tc>
        <w:tc>
          <w:tcPr>
            <w:tcW w:w="11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224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ind w:left="77"/>
              <w:spacing w:after="0"/>
              <w:rPr>
                <w:sz w:val="20"/>
                <w:szCs w:val="20"/>
                <w:color w:val="auto"/>
              </w:rPr>
            </w:pPr>
            <w:r>
              <w:rPr>
                <w:rFonts w:ascii="Arial" w:cs="Arial" w:eastAsia="Arial" w:hAnsi="Arial"/>
                <w:sz w:val="18"/>
                <w:szCs w:val="18"/>
                <w:color w:val="auto"/>
                <w:w w:val="90"/>
              </w:rPr>
              <w:t>par value $0.01</w:t>
            </w:r>
          </w:p>
        </w:tc>
        <w:tc>
          <w:tcPr>
            <w:tcW w:w="780" w:type="dxa"/>
            <w:vAlign w:val="bottom"/>
            <w:tcBorders>
              <w:right w:val="single" w:sz="8" w:color="auto"/>
            </w:tcBorders>
          </w:tcPr>
          <w:p>
            <w:pPr>
              <w:jc w:val="center"/>
              <w:ind w:left="84"/>
              <w:spacing w:after="0"/>
              <w:rPr>
                <w:sz w:val="20"/>
                <w:szCs w:val="20"/>
                <w:color w:val="auto"/>
              </w:rPr>
            </w:pPr>
            <w:r>
              <w:rPr>
                <w:rFonts w:ascii="Arial" w:cs="Arial" w:eastAsia="Arial" w:hAnsi="Arial"/>
                <w:sz w:val="18"/>
                <w:szCs w:val="18"/>
                <w:color w:val="auto"/>
                <w:w w:val="86"/>
              </w:rPr>
              <w:t>and</w:t>
            </w:r>
          </w:p>
        </w:tc>
        <w:tc>
          <w:tcPr>
            <w:tcW w:w="11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ind w:left="84"/>
              <w:spacing w:after="0"/>
              <w:rPr>
                <w:sz w:val="20"/>
                <w:szCs w:val="20"/>
                <w:color w:val="auto"/>
              </w:rPr>
            </w:pPr>
            <w:r>
              <w:rPr>
                <w:rFonts w:ascii="Arial" w:cs="Arial" w:eastAsia="Arial" w:hAnsi="Arial"/>
                <w:sz w:val="18"/>
                <w:szCs w:val="18"/>
                <w:color w:val="auto"/>
                <w:w w:val="87"/>
              </w:rPr>
              <w:t>$110.20 per</w:t>
            </w:r>
          </w:p>
        </w:tc>
        <w:tc>
          <w:tcPr>
            <w:tcW w:w="1100" w:type="dxa"/>
            <w:vAlign w:val="bottom"/>
            <w:tcBorders>
              <w:right w:val="single" w:sz="8" w:color="auto"/>
            </w:tcBorders>
          </w:tcPr>
          <w:p>
            <w:pPr>
              <w:spacing w:after="0"/>
              <w:rPr>
                <w:sz w:val="18"/>
                <w:szCs w:val="18"/>
                <w:color w:val="auto"/>
              </w:rPr>
            </w:pPr>
          </w:p>
        </w:tc>
      </w:tr>
      <w:tr>
        <w:trPr>
          <w:trHeight w:val="257"/>
        </w:trPr>
        <w:tc>
          <w:tcPr>
            <w:tcW w:w="2240" w:type="dxa"/>
            <w:vAlign w:val="bottom"/>
            <w:tcBorders>
              <w:left w:val="single" w:sz="8" w:color="auto"/>
              <w:bottom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jc w:val="center"/>
              <w:ind w:left="77"/>
              <w:spacing w:after="0"/>
              <w:rPr>
                <w:sz w:val="20"/>
                <w:szCs w:val="20"/>
                <w:color w:val="auto"/>
              </w:rPr>
            </w:pPr>
            <w:r>
              <w:rPr>
                <w:rFonts w:ascii="Arial" w:cs="Arial" w:eastAsia="Arial" w:hAnsi="Arial"/>
                <w:sz w:val="18"/>
                <w:szCs w:val="18"/>
                <w:color w:val="auto"/>
                <w:w w:val="84"/>
              </w:rPr>
              <w:t>per share</w:t>
            </w:r>
          </w:p>
        </w:tc>
        <w:tc>
          <w:tcPr>
            <w:tcW w:w="780" w:type="dxa"/>
            <w:vAlign w:val="bottom"/>
            <w:tcBorders>
              <w:bottom w:val="single" w:sz="8" w:color="auto"/>
              <w:right w:val="single" w:sz="8" w:color="auto"/>
            </w:tcBorders>
          </w:tcPr>
          <w:p>
            <w:pPr>
              <w:jc w:val="center"/>
              <w:ind w:left="64"/>
              <w:spacing w:after="0"/>
              <w:rPr>
                <w:sz w:val="20"/>
                <w:szCs w:val="20"/>
                <w:color w:val="auto"/>
              </w:rPr>
            </w:pPr>
            <w:r>
              <w:rPr>
                <w:rFonts w:ascii="Arial" w:cs="Arial" w:eastAsia="Arial" w:hAnsi="Arial"/>
                <w:sz w:val="18"/>
                <w:szCs w:val="18"/>
                <w:color w:val="auto"/>
                <w:w w:val="92"/>
              </w:rPr>
              <w:t>457(h)</w:t>
            </w:r>
          </w:p>
        </w:tc>
        <w:tc>
          <w:tcPr>
            <w:tcW w:w="1140" w:type="dxa"/>
            <w:vAlign w:val="bottom"/>
            <w:tcBorders>
              <w:bottom w:val="single" w:sz="8" w:color="auto"/>
              <w:right w:val="single" w:sz="8" w:color="auto"/>
            </w:tcBorders>
          </w:tcPr>
          <w:p>
            <w:pPr>
              <w:jc w:val="center"/>
              <w:ind w:left="68"/>
              <w:spacing w:after="0" w:line="257" w:lineRule="exact"/>
              <w:rPr>
                <w:sz w:val="20"/>
                <w:szCs w:val="20"/>
                <w:color w:val="auto"/>
              </w:rPr>
            </w:pPr>
            <w:r>
              <w:rPr>
                <w:rFonts w:ascii="Arial" w:cs="Arial" w:eastAsia="Arial" w:hAnsi="Arial"/>
                <w:sz w:val="18"/>
                <w:szCs w:val="18"/>
                <w:color w:val="auto"/>
                <w:w w:val="86"/>
              </w:rPr>
              <w:t>27,000,000</w:t>
            </w:r>
            <w:r>
              <w:rPr>
                <w:rFonts w:ascii="Arial" w:cs="Arial" w:eastAsia="Arial" w:hAnsi="Arial"/>
                <w:sz w:val="26"/>
                <w:szCs w:val="26"/>
                <w:color w:val="auto"/>
                <w:w w:val="86"/>
                <w:vertAlign w:val="superscript"/>
              </w:rPr>
              <w:t>(2)</w:t>
            </w:r>
          </w:p>
        </w:tc>
        <w:tc>
          <w:tcPr>
            <w:tcW w:w="840" w:type="dxa"/>
            <w:vAlign w:val="bottom"/>
            <w:tcBorders>
              <w:bottom w:val="single" w:sz="8" w:color="auto"/>
              <w:right w:val="single" w:sz="8" w:color="auto"/>
            </w:tcBorders>
          </w:tcPr>
          <w:p>
            <w:pPr>
              <w:jc w:val="center"/>
              <w:ind w:left="73"/>
              <w:spacing w:after="0" w:line="257" w:lineRule="exact"/>
              <w:rPr>
                <w:sz w:val="20"/>
                <w:szCs w:val="20"/>
                <w:color w:val="auto"/>
              </w:rPr>
            </w:pPr>
            <w:r>
              <w:rPr>
                <w:rFonts w:ascii="Arial" w:cs="Arial" w:eastAsia="Arial" w:hAnsi="Arial"/>
                <w:sz w:val="18"/>
                <w:szCs w:val="18"/>
                <w:color w:val="auto"/>
                <w:w w:val="86"/>
              </w:rPr>
              <w:t>$38.87</w:t>
            </w:r>
            <w:r>
              <w:rPr>
                <w:rFonts w:ascii="Arial" w:cs="Arial" w:eastAsia="Arial" w:hAnsi="Arial"/>
                <w:sz w:val="26"/>
                <w:szCs w:val="26"/>
                <w:color w:val="auto"/>
                <w:w w:val="86"/>
                <w:vertAlign w:val="superscript"/>
              </w:rPr>
              <w:t>(3)</w:t>
            </w:r>
          </w:p>
        </w:tc>
        <w:tc>
          <w:tcPr>
            <w:tcW w:w="1300" w:type="dxa"/>
            <w:vAlign w:val="bottom"/>
            <w:tcBorders>
              <w:bottom w:val="single" w:sz="8" w:color="auto"/>
              <w:right w:val="single" w:sz="8" w:color="auto"/>
            </w:tcBorders>
          </w:tcPr>
          <w:p>
            <w:pPr>
              <w:jc w:val="center"/>
              <w:ind w:left="68"/>
              <w:spacing w:after="0"/>
              <w:rPr>
                <w:sz w:val="20"/>
                <w:szCs w:val="20"/>
                <w:color w:val="auto"/>
              </w:rPr>
            </w:pPr>
            <w:r>
              <w:rPr>
                <w:rFonts w:ascii="Arial" w:cs="Arial" w:eastAsia="Arial" w:hAnsi="Arial"/>
                <w:sz w:val="18"/>
                <w:szCs w:val="18"/>
                <w:color w:val="auto"/>
                <w:w w:val="89"/>
              </w:rPr>
              <w:t>$1,049,490,000</w:t>
            </w:r>
          </w:p>
        </w:tc>
        <w:tc>
          <w:tcPr>
            <w:tcW w:w="1040" w:type="dxa"/>
            <w:vAlign w:val="bottom"/>
            <w:tcBorders>
              <w:bottom w:val="single" w:sz="8" w:color="auto"/>
              <w:right w:val="single" w:sz="8" w:color="auto"/>
            </w:tcBorders>
          </w:tcPr>
          <w:p>
            <w:pPr>
              <w:jc w:val="center"/>
              <w:ind w:left="84"/>
              <w:spacing w:after="0"/>
              <w:rPr>
                <w:sz w:val="20"/>
                <w:szCs w:val="20"/>
                <w:color w:val="auto"/>
              </w:rPr>
            </w:pPr>
            <w:r>
              <w:rPr>
                <w:rFonts w:ascii="Arial" w:cs="Arial" w:eastAsia="Arial" w:hAnsi="Arial"/>
                <w:sz w:val="18"/>
                <w:szCs w:val="18"/>
                <w:color w:val="auto"/>
                <w:w w:val="88"/>
              </w:rPr>
              <w:t>$1,000,000</w:t>
            </w:r>
          </w:p>
        </w:tc>
        <w:tc>
          <w:tcPr>
            <w:tcW w:w="1100" w:type="dxa"/>
            <w:vAlign w:val="bottom"/>
            <w:tcBorders>
              <w:bottom w:val="single" w:sz="8" w:color="auto"/>
              <w:right w:val="single" w:sz="8" w:color="auto"/>
            </w:tcBorders>
          </w:tcPr>
          <w:p>
            <w:pPr>
              <w:jc w:val="center"/>
              <w:ind w:left="59"/>
              <w:spacing w:after="0"/>
              <w:rPr>
                <w:sz w:val="20"/>
                <w:szCs w:val="20"/>
                <w:color w:val="auto"/>
              </w:rPr>
            </w:pPr>
            <w:r>
              <w:rPr>
                <w:rFonts w:ascii="Arial" w:cs="Arial" w:eastAsia="Arial" w:hAnsi="Arial"/>
                <w:sz w:val="18"/>
                <w:szCs w:val="18"/>
                <w:color w:val="auto"/>
                <w:w w:val="87"/>
              </w:rPr>
              <w:t>$115,653.80</w:t>
            </w:r>
          </w:p>
        </w:tc>
      </w:tr>
      <w:tr>
        <w:trPr>
          <w:trHeight w:val="232"/>
        </w:trPr>
        <w:tc>
          <w:tcPr>
            <w:tcW w:w="2240" w:type="dxa"/>
            <w:vAlign w:val="bottom"/>
            <w:tcBorders>
              <w:left w:val="single" w:sz="8" w:color="auto"/>
              <w:bottom w:val="single" w:sz="8" w:color="auto"/>
            </w:tcBorders>
          </w:tcPr>
          <w:p>
            <w:pPr>
              <w:spacing w:after="0"/>
              <w:rPr>
                <w:sz w:val="20"/>
                <w:szCs w:val="20"/>
                <w:color w:val="auto"/>
              </w:rPr>
            </w:pPr>
          </w:p>
        </w:tc>
        <w:tc>
          <w:tcPr>
            <w:tcW w:w="2380" w:type="dxa"/>
            <w:vAlign w:val="bottom"/>
            <w:tcBorders>
              <w:bottom w:val="single" w:sz="8" w:color="auto"/>
            </w:tcBorders>
            <w:gridSpan w:val="2"/>
          </w:tcPr>
          <w:p>
            <w:pPr>
              <w:jc w:val="center"/>
              <w:ind w:right="97"/>
              <w:spacing w:after="0"/>
              <w:rPr>
                <w:sz w:val="20"/>
                <w:szCs w:val="20"/>
                <w:color w:val="auto"/>
              </w:rPr>
            </w:pPr>
            <w:r>
              <w:rPr>
                <w:rFonts w:ascii="Arial" w:cs="Arial" w:eastAsia="Arial" w:hAnsi="Arial"/>
                <w:sz w:val="18"/>
                <w:szCs w:val="18"/>
                <w:b w:val="1"/>
                <w:bCs w:val="1"/>
                <w:color w:val="auto"/>
                <w:w w:val="91"/>
              </w:rPr>
              <w:t>Total Offering Amounts</w:t>
            </w:r>
          </w:p>
        </w:tc>
        <w:tc>
          <w:tcPr>
            <w:tcW w:w="78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center"/>
              <w:ind w:left="68"/>
              <w:spacing w:after="0"/>
              <w:rPr>
                <w:sz w:val="20"/>
                <w:szCs w:val="20"/>
                <w:color w:val="auto"/>
              </w:rPr>
            </w:pPr>
            <w:r>
              <w:rPr>
                <w:rFonts w:ascii="Arial" w:cs="Arial" w:eastAsia="Arial" w:hAnsi="Arial"/>
                <w:sz w:val="18"/>
                <w:szCs w:val="18"/>
                <w:color w:val="auto"/>
                <w:w w:val="89"/>
              </w:rPr>
              <w:t>$1,049,490,000</w:t>
            </w:r>
          </w:p>
        </w:tc>
        <w:tc>
          <w:tcPr>
            <w:tcW w:w="10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ind w:left="59"/>
              <w:spacing w:after="0"/>
              <w:rPr>
                <w:sz w:val="20"/>
                <w:szCs w:val="20"/>
                <w:color w:val="auto"/>
              </w:rPr>
            </w:pPr>
            <w:r>
              <w:rPr>
                <w:rFonts w:ascii="Arial" w:cs="Arial" w:eastAsia="Arial" w:hAnsi="Arial"/>
                <w:sz w:val="18"/>
                <w:szCs w:val="18"/>
                <w:color w:val="auto"/>
                <w:w w:val="87"/>
              </w:rPr>
              <w:t>$115,653.80</w:t>
            </w:r>
          </w:p>
        </w:tc>
      </w:tr>
      <w:tr>
        <w:trPr>
          <w:trHeight w:val="237"/>
        </w:trPr>
        <w:tc>
          <w:tcPr>
            <w:tcW w:w="2240" w:type="dxa"/>
            <w:vAlign w:val="bottom"/>
            <w:tcBorders>
              <w:left w:val="single" w:sz="8" w:color="auto"/>
              <w:bottom w:val="single" w:sz="8" w:color="auto"/>
            </w:tcBorders>
          </w:tcPr>
          <w:p>
            <w:pPr>
              <w:spacing w:after="0"/>
              <w:rPr>
                <w:sz w:val="20"/>
                <w:szCs w:val="20"/>
                <w:color w:val="auto"/>
              </w:rPr>
            </w:pPr>
          </w:p>
        </w:tc>
        <w:tc>
          <w:tcPr>
            <w:tcW w:w="2380" w:type="dxa"/>
            <w:vAlign w:val="bottom"/>
            <w:tcBorders>
              <w:bottom w:val="single" w:sz="8" w:color="auto"/>
            </w:tcBorders>
            <w:gridSpan w:val="2"/>
          </w:tcPr>
          <w:p>
            <w:pPr>
              <w:jc w:val="center"/>
              <w:ind w:right="77"/>
              <w:spacing w:after="0"/>
              <w:rPr>
                <w:sz w:val="20"/>
                <w:szCs w:val="20"/>
                <w:color w:val="auto"/>
              </w:rPr>
            </w:pPr>
            <w:r>
              <w:rPr>
                <w:rFonts w:ascii="Arial" w:cs="Arial" w:eastAsia="Arial" w:hAnsi="Arial"/>
                <w:sz w:val="18"/>
                <w:szCs w:val="18"/>
                <w:b w:val="1"/>
                <w:bCs w:val="1"/>
                <w:color w:val="auto"/>
                <w:w w:val="88"/>
              </w:rPr>
              <w:t>Total Fee Offsets</w:t>
            </w:r>
          </w:p>
        </w:tc>
        <w:tc>
          <w:tcPr>
            <w:tcW w:w="78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ind w:left="59"/>
              <w:spacing w:after="0"/>
              <w:rPr>
                <w:sz w:val="20"/>
                <w:szCs w:val="20"/>
                <w:color w:val="auto"/>
              </w:rPr>
            </w:pPr>
            <w:r>
              <w:rPr>
                <w:rFonts w:ascii="Arial" w:cs="Arial" w:eastAsia="Arial" w:hAnsi="Arial"/>
                <w:sz w:val="18"/>
                <w:szCs w:val="18"/>
                <w:color w:val="auto"/>
                <w:w w:val="88"/>
              </w:rPr>
              <w:t>$0.00</w:t>
            </w:r>
          </w:p>
        </w:tc>
      </w:tr>
      <w:tr>
        <w:trPr>
          <w:trHeight w:val="232"/>
        </w:trPr>
        <w:tc>
          <w:tcPr>
            <w:tcW w:w="2240" w:type="dxa"/>
            <w:vAlign w:val="bottom"/>
            <w:tcBorders>
              <w:left w:val="single" w:sz="8" w:color="auto"/>
            </w:tcBorders>
          </w:tcPr>
          <w:p>
            <w:pPr>
              <w:spacing w:after="0"/>
              <w:rPr>
                <w:sz w:val="20"/>
                <w:szCs w:val="20"/>
                <w:color w:val="auto"/>
              </w:rPr>
            </w:pPr>
          </w:p>
        </w:tc>
        <w:tc>
          <w:tcPr>
            <w:tcW w:w="2380" w:type="dxa"/>
            <w:vAlign w:val="bottom"/>
            <w:gridSpan w:val="2"/>
          </w:tcPr>
          <w:p>
            <w:pPr>
              <w:jc w:val="center"/>
              <w:ind w:right="77"/>
              <w:spacing w:after="0"/>
              <w:rPr>
                <w:sz w:val="20"/>
                <w:szCs w:val="20"/>
                <w:color w:val="auto"/>
              </w:rPr>
            </w:pPr>
            <w:r>
              <w:rPr>
                <w:rFonts w:ascii="Arial" w:cs="Arial" w:eastAsia="Arial" w:hAnsi="Arial"/>
                <w:sz w:val="18"/>
                <w:szCs w:val="18"/>
                <w:b w:val="1"/>
                <w:bCs w:val="1"/>
                <w:color w:val="auto"/>
                <w:w w:val="90"/>
              </w:rPr>
              <w:t>Net Fee Due</w:t>
            </w:r>
          </w:p>
        </w:tc>
        <w:tc>
          <w:tcPr>
            <w:tcW w:w="7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jc w:val="center"/>
              <w:ind w:left="59"/>
              <w:spacing w:after="0"/>
              <w:rPr>
                <w:sz w:val="20"/>
                <w:szCs w:val="20"/>
                <w:color w:val="auto"/>
              </w:rPr>
            </w:pPr>
            <w:r>
              <w:rPr>
                <w:rFonts w:ascii="Arial" w:cs="Arial" w:eastAsia="Arial" w:hAnsi="Arial"/>
                <w:sz w:val="18"/>
                <w:szCs w:val="18"/>
                <w:color w:val="auto"/>
                <w:w w:val="87"/>
              </w:rPr>
              <w:t>$115,653.80</w:t>
            </w:r>
          </w:p>
        </w:tc>
      </w:tr>
      <w:tr>
        <w:trPr>
          <w:trHeight w:val="22"/>
        </w:trPr>
        <w:tc>
          <w:tcPr>
            <w:tcW w:w="2240" w:type="dxa"/>
            <w:vAlign w:val="bottom"/>
            <w:tcBorders>
              <w:left w:val="single" w:sz="8" w:color="auto"/>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444" w:right="40" w:hanging="444"/>
        <w:spacing w:after="0" w:line="225" w:lineRule="auto"/>
        <w:tabs>
          <w:tab w:leader="none" w:pos="444" w:val="left"/>
        </w:tabs>
        <w:numPr>
          <w:ilvl w:val="0"/>
          <w:numId w:val="7"/>
        </w:numPr>
        <w:rPr>
          <w:rFonts w:ascii="Arial" w:cs="Arial" w:eastAsia="Arial" w:hAnsi="Arial"/>
          <w:sz w:val="14"/>
          <w:szCs w:val="14"/>
          <w:color w:val="auto"/>
        </w:rPr>
      </w:pPr>
      <w:r>
        <w:rPr>
          <w:rFonts w:ascii="Arial" w:cs="Arial" w:eastAsia="Arial" w:hAnsi="Arial"/>
          <w:sz w:val="14"/>
          <w:szCs w:val="14"/>
          <w:color w:val="auto"/>
        </w:rPr>
        <w:t>Pursuant to Rule 416(a) of the Securities Act of 1933, as amended (the “Securities Act”), this Registration Statement shall be deemed to cover any additional shares of Common Stock, par value $0.01 per share (the “Common Stock”), of the Registrant that may become issuable pursuant to the General Motors Company 2020 Long-Term Incentive Plan (the “Plan”) by reason of any stock dividend, stock split, recapitalization or other similar transaction effected without receipt of consideration that increases the number of outstanding shares of Common Stock.</w:t>
      </w:r>
    </w:p>
    <w:p>
      <w:pPr>
        <w:spacing w:after="0" w:line="2" w:lineRule="exact"/>
        <w:rPr>
          <w:rFonts w:ascii="Arial" w:cs="Arial" w:eastAsia="Arial" w:hAnsi="Arial"/>
          <w:sz w:val="14"/>
          <w:szCs w:val="14"/>
          <w:color w:val="auto"/>
        </w:rPr>
      </w:pPr>
    </w:p>
    <w:p>
      <w:pPr>
        <w:ind w:left="444" w:hanging="444"/>
        <w:spacing w:after="0" w:line="221" w:lineRule="auto"/>
        <w:tabs>
          <w:tab w:leader="none" w:pos="444"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27,000,000 additional shares of Common Stock that were added to the shares authorized for issuance to eligible persons under the Plan.</w:t>
      </w:r>
    </w:p>
    <w:p>
      <w:pPr>
        <w:ind w:left="444" w:right="400" w:hanging="444"/>
        <w:spacing w:after="0" w:line="237" w:lineRule="auto"/>
        <w:tabs>
          <w:tab w:leader="none" w:pos="444" w:val="left"/>
        </w:tabs>
        <w:numPr>
          <w:ilvl w:val="0"/>
          <w:numId w:val="7"/>
        </w:numPr>
        <w:rPr>
          <w:rFonts w:ascii="Arial" w:cs="Arial" w:eastAsia="Arial" w:hAnsi="Arial"/>
          <w:sz w:val="14"/>
          <w:szCs w:val="14"/>
          <w:color w:val="auto"/>
        </w:rPr>
      </w:pPr>
      <w:r>
        <w:rPr>
          <w:rFonts w:ascii="Arial" w:cs="Arial" w:eastAsia="Arial" w:hAnsi="Arial"/>
          <w:sz w:val="14"/>
          <w:szCs w:val="14"/>
          <w:color w:val="auto"/>
        </w:rPr>
        <w:t>Estimated in accordance with Rules 457(c) and 457(h) under the Securities Act, based upon the average of the high and low prices of the Common Stock on the New York Stock Exchange on July 18, 2023.</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
    <w:nsid w:val="3D1B58BA"/>
    <w:multiLevelType w:val="hybridMultilevel"/>
    <w:lvl w:ilvl="0">
      <w:lvlJc w:val="left"/>
      <w:lvlText w:val="%1"/>
      <w:numFmt w:val="decimal"/>
      <w:start w:val="1"/>
    </w:lvl>
    <w:lvl w:ilvl="1">
      <w:lvlJc w:val="left"/>
      <w:lvlText w:val="(%2)"/>
      <w:numFmt w:val="lowerLetter"/>
      <w:start w:val="2"/>
    </w:lvl>
  </w:abstractNum>
  <w:abstractNum w:abstractNumId="4">
    <w:nsid w:val="507ED7AB"/>
    <w:multiLevelType w:val="hybridMultilevel"/>
    <w:lvl w:ilvl="0">
      <w:lvlJc w:val="left"/>
      <w:lvlText w:val="%1."/>
      <w:numFmt w:val="decimal"/>
      <w:start w:val="2"/>
    </w:lvl>
    <w:lvl w:ilvl="1">
      <w:lvlJc w:val="left"/>
      <w:lvlText w:val="%2"/>
      <w:numFmt w:val="lowerLetter"/>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png"/><Relationship Id="rId39" Type="http://schemas.openxmlformats.org/officeDocument/2006/relationships/image" Target="media/image19.png"/><Relationship Id="rId40" Type="http://schemas.openxmlformats.org/officeDocument/2006/relationships/image" Target="media/image20.png"/><Relationship Id="rId41"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18" Type="http://schemas.openxmlformats.org/officeDocument/2006/relationships/hyperlink" Target="http://www.sec.gov/ix?doc=/Archives/edgar/data/1467858/000146785823000029/gm-20221231.htm" TargetMode="External"/><Relationship Id="rId19" Type="http://schemas.openxmlformats.org/officeDocument/2006/relationships/hyperlink" Target="http://www.sec.gov/ix?doc=/Archives/edgar/data/0001467858/000146785823000098/gm-20230630.htm" TargetMode="External"/><Relationship Id="rId20" Type="http://schemas.openxmlformats.org/officeDocument/2006/relationships/hyperlink" Target="http://www.sec.gov/ix?doc=/Archives/edgar/data/1467858/000119312523044894/d469271d8ka.htm" TargetMode="External"/><Relationship Id="rId21" Type="http://schemas.openxmlformats.org/officeDocument/2006/relationships/hyperlink" Target="http://www.sec.gov/ix?doc=/Archives/edgar/data/1467858/000119312523044903/d467205d8ka.htm" TargetMode="External"/><Relationship Id="rId22" Type="http://schemas.openxmlformats.org/officeDocument/2006/relationships/hyperlink" Target="http://www.sec.gov/ix?doc=/Archives/edgar/data/0001467858/000119312523065457/d366924d8k.htm" TargetMode="External"/><Relationship Id="rId23" Type="http://schemas.openxmlformats.org/officeDocument/2006/relationships/hyperlink" Target="http://www.sec.gov/ix?doc=/Archives/edgar/data/0001467858/000119312523086956/d826843d8k.htm" TargetMode="External"/><Relationship Id="rId24" Type="http://schemas.openxmlformats.org/officeDocument/2006/relationships/hyperlink" Target="http://www.sec.gov/ix?doc=/Archives/edgar/data/0001467858/000119312523110552/d415489d8k.htm" TargetMode="External"/><Relationship Id="rId25" Type="http://schemas.openxmlformats.org/officeDocument/2006/relationships/hyperlink" Target="http://www.sec.gov/ix?doc=/Archives/edgar/data/0001467858/000119312523134493/d273876d8k.htm" TargetMode="External"/><Relationship Id="rId26" Type="http://schemas.openxmlformats.org/officeDocument/2006/relationships/hyperlink" Target="http://www.sec.gov/ix?doc=/Archives/edgar/data/1467858/000119312523172567/d521009d8k.htm" TargetMode="External"/><Relationship Id="rId27" Type="http://schemas.openxmlformats.org/officeDocument/2006/relationships/hyperlink" Target="http://www.sec.gov/ix?doc=/Archives/edgar/data/1467858/000119312523172577/d473512d8ka.htm" TargetMode="External"/><Relationship Id="rId28" Type="http://schemas.openxmlformats.org/officeDocument/2006/relationships/hyperlink" Target="http://www.sec.gov/Archives/edgar/data/1467858/000119312510255289/d8a12b.htm" TargetMode="External"/><Relationship Id="rId29" Type="http://schemas.openxmlformats.org/officeDocument/2006/relationships/hyperlink" Target="http://www.sec.gov/Archives/edgar/data/1467858/000146785820000028/ex-41xdescriptionofsec.htm" TargetMode="External"/><Relationship Id="rId32" Type="http://schemas.openxmlformats.org/officeDocument/2006/relationships/hyperlink" Target="http://www.sec.gov/ix?doc=/Archives/edgar/data/0001467858/000119312523126270/d333787ddef14a.htm#toc333787_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2023-07-25T16:10:49Z</dcterms:created>
  <dcterms:modified xsi:type="dcterms:W3CDTF">2023-07-25T16:10:49Z</dcterms:modified>
</cp:coreProperties>
</file>