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Quattrone John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Senior Vice President</w:t>
      </w:r>
    </w:p>
    <w:p>
      <w:pPr>
        <w:spacing w:after="0" w:line="448"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9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5" w:lineRule="exact"/>
              <w:rPr>
                <w:sz w:val="20"/>
                <w:szCs w:val="20"/>
                <w:color w:val="auto"/>
              </w:rPr>
            </w:pPr>
            <w:r>
              <w:rPr>
                <w:rFonts w:ascii="Arial" w:cs="Arial" w:eastAsia="Arial" w:hAnsi="Arial"/>
                <w:sz w:val="12"/>
                <w:szCs w:val="12"/>
                <w:b w:val="1"/>
                <w:bCs w:val="1"/>
                <w:color w:val="auto"/>
                <w:w w:val="99"/>
              </w:rPr>
              <w:t>(A) or</w:t>
            </w:r>
          </w:p>
        </w:tc>
        <w:tc>
          <w:tcPr>
            <w:tcW w:w="7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12/31/2016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rPr>
              <w:t>M</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130"/>
              <w:spacing w:after="0"/>
              <w:rPr>
                <w:sz w:val="20"/>
                <w:szCs w:val="20"/>
                <w:color w:val="auto"/>
              </w:rPr>
            </w:pPr>
            <w:r>
              <w:rPr>
                <w:rFonts w:ascii="Arial" w:cs="Arial" w:eastAsia="Arial" w:hAnsi="Arial"/>
                <w:sz w:val="18"/>
                <w:szCs w:val="18"/>
                <w:color w:val="0000FF"/>
                <w:w w:val="86"/>
              </w:rPr>
              <w:t>124</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ind w:left="27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30,878</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12/31/2016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center"/>
              <w:ind w:right="16"/>
              <w:spacing w:after="0"/>
              <w:rPr>
                <w:sz w:val="20"/>
                <w:szCs w:val="20"/>
                <w:color w:val="auto"/>
              </w:rPr>
            </w:pPr>
            <w:r>
              <w:rPr>
                <w:rFonts w:ascii="Arial" w:cs="Arial" w:eastAsia="Arial" w:hAnsi="Arial"/>
                <w:sz w:val="14"/>
                <w:szCs w:val="14"/>
                <w:color w:val="0000FF"/>
                <w:w w:val="98"/>
              </w:rPr>
              <w:t>D</w:t>
            </w:r>
          </w:p>
        </w:tc>
        <w:tc>
          <w:tcPr>
            <w:tcW w:w="320" w:type="dxa"/>
            <w:vAlign w:val="bottom"/>
          </w:tcPr>
          <w:p>
            <w:pPr>
              <w:spacing w:after="0"/>
              <w:rPr>
                <w:sz w:val="23"/>
                <w:szCs w:val="23"/>
                <w:color w:val="auto"/>
              </w:rPr>
            </w:pPr>
          </w:p>
        </w:tc>
        <w:tc>
          <w:tcPr>
            <w:tcW w:w="540" w:type="dxa"/>
            <w:vAlign w:val="bottom"/>
          </w:tcPr>
          <w:p>
            <w:pPr>
              <w:jc w:val="center"/>
              <w:ind w:left="130"/>
              <w:spacing w:after="0"/>
              <w:rPr>
                <w:sz w:val="20"/>
                <w:szCs w:val="20"/>
                <w:color w:val="auto"/>
              </w:rPr>
            </w:pPr>
            <w:r>
              <w:rPr>
                <w:rFonts w:ascii="Arial" w:cs="Arial" w:eastAsia="Arial" w:hAnsi="Arial"/>
                <w:sz w:val="18"/>
                <w:szCs w:val="18"/>
                <w:color w:val="0000FF"/>
                <w:w w:val="89"/>
              </w:rPr>
              <w:t>77</w:t>
            </w:r>
          </w:p>
        </w:tc>
        <w:tc>
          <w:tcPr>
            <w:tcW w:w="66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34.99</w:t>
            </w: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30,801</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12/31/2016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0000FF"/>
                <w:w w:val="92"/>
              </w:rPr>
              <w:t>F</w:t>
            </w:r>
          </w:p>
        </w:tc>
        <w:tc>
          <w:tcPr>
            <w:tcW w:w="320" w:type="dxa"/>
            <w:vAlign w:val="bottom"/>
          </w:tcPr>
          <w:p>
            <w:pPr>
              <w:spacing w:after="0"/>
              <w:rPr>
                <w:sz w:val="23"/>
                <w:szCs w:val="23"/>
                <w:color w:val="auto"/>
              </w:rPr>
            </w:pPr>
          </w:p>
        </w:tc>
        <w:tc>
          <w:tcPr>
            <w:tcW w:w="540" w:type="dxa"/>
            <w:vAlign w:val="bottom"/>
          </w:tcPr>
          <w:p>
            <w:pPr>
              <w:jc w:val="center"/>
              <w:ind w:left="130"/>
              <w:spacing w:after="0"/>
              <w:rPr>
                <w:sz w:val="20"/>
                <w:szCs w:val="20"/>
                <w:color w:val="auto"/>
              </w:rPr>
            </w:pPr>
            <w:r>
              <w:rPr>
                <w:rFonts w:ascii="Arial" w:cs="Arial" w:eastAsia="Arial" w:hAnsi="Arial"/>
                <w:sz w:val="18"/>
                <w:szCs w:val="18"/>
                <w:color w:val="0000FF"/>
                <w:w w:val="89"/>
              </w:rPr>
              <w:t>47</w:t>
            </w:r>
          </w:p>
        </w:tc>
        <w:tc>
          <w:tcPr>
            <w:tcW w:w="66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34.99</w:t>
            </w: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30,754</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6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124</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12/31/2016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124</w:t>
            </w: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restart"/>
          </w:tcPr>
          <w:p>
            <w:pPr>
              <w:ind w:left="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December 31, 2013 pursuant to the Company's Salary Stock Plan (the "GMSSP") and vested upon grant. The portion of this award currently payable was settled on December 31, 2016 in cash, less a portion withheld for taxes.</w:t>
      </w:r>
    </w:p>
    <w:p>
      <w:pPr>
        <w:jc w:val="both"/>
        <w:ind w:left="40" w:right="24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Company's Common Stock. Grants of SSUs are fully vested when made and settled in three equal, annual installments beginning one year after the date of grant. The GMSSP gave the Reporting Person the option of having a settlement made by delivery of shares of the Common Stock or by the delivery of cash in an amount equal to the fair market value of the Stock as of the applicable anniversary date of the SSU's grant. Under the GMSSP, the fair value of the Common Stock is the average of the high and low trading prices for the Stock as reported on the New York Stock Exchange, on which it is listed, on December 30, 2016, which was $34.99.</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01/04/2017</w:t>
            </w:r>
          </w:p>
        </w:tc>
        <w:tc>
          <w:tcPr>
            <w:tcW w:w="0" w:type="dxa"/>
            <w:vAlign w:val="bottom"/>
          </w:tcPr>
          <w:p>
            <w:pPr>
              <w:spacing w:after="0"/>
              <w:rPr>
                <w:sz w:val="1"/>
                <w:szCs w:val="1"/>
                <w:color w:val="auto"/>
              </w:rPr>
            </w:pPr>
          </w:p>
        </w:tc>
      </w:tr>
      <w:tr>
        <w:trPr>
          <w:trHeight w:val="88"/>
        </w:trPr>
        <w:tc>
          <w:tcPr>
            <w:tcW w:w="160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 for Mr. Quattrone</w:t>
            </w:r>
          </w:p>
        </w:tc>
        <w:tc>
          <w:tcPr>
            <w:tcW w:w="54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00" w:type="dxa"/>
            <w:vAlign w:val="bottom"/>
            <w:tcBorders>
              <w:bottom w:val="single" w:sz="8" w:color="auto"/>
            </w:tcBorders>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12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2019-12-24T07:24:48Z</dcterms:created>
  <dcterms:modified xsi:type="dcterms:W3CDTF">2019-12-24T07:24:48Z</dcterms:modified>
</cp:coreProperties>
</file>