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44,415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03/15/2012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44,415</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44,415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March 15, 2012, pursuant to the Company's 2009 Long-Term Incentive Plan (the "GMLTP"). Two-thirds of the RSUs will vest on March 15, 2014, and the remaining one-third will vest on March 15, 2015, provided that the reporting person remains continuously employed through the vesting date. Each RSU represents a right to receive one share of the Company's common stock upon settlement. RSUs will be settled when they vest except that until all the Company's obligations under Treasury Regulation 31 CFR 30.1 (Q-1) (the "TARP Obligations") have been repaid, awards will be settled in increments of 25% for each 25% of the TARP Obligations that have been repaid.</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03/19/2012</w:t>
            </w:r>
          </w:p>
        </w:tc>
        <w:tc>
          <w:tcPr>
            <w:tcW w:w="0" w:type="dxa"/>
            <w:vAlign w:val="bottom"/>
          </w:tcPr>
          <w:p>
            <w:pPr>
              <w:spacing w:after="0"/>
              <w:rPr>
                <w:sz w:val="1"/>
                <w:szCs w:val="1"/>
                <w:color w:val="auto"/>
              </w:rPr>
            </w:pPr>
          </w:p>
        </w:tc>
      </w:tr>
      <w:tr>
        <w:trPr>
          <w:trHeight w:val="92"/>
        </w:trPr>
        <w:tc>
          <w:tcPr>
            <w:tcW w:w="11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6"/>
              </w:rPr>
              <w:t>fact for Mr. Lee</w:t>
            </w:r>
          </w:p>
        </w:tc>
        <w:tc>
          <w:tcPr>
            <w:tcW w:w="98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auto"/>
            </w:tcBorders>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2019-12-17T01:22:41Z</dcterms:created>
  <dcterms:modified xsi:type="dcterms:W3CDTF">2019-12-17T01:22:41Z</dcterms:modified>
</cp:coreProperties>
</file>