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-235585</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9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480" w:type="dxa"/>
            <w:vAlign w:val="bottom"/>
            <w:vMerge w:val="restart"/>
          </w:tcPr>
          <w:p>
            <w:pPr>
              <w:jc w:val="center"/>
              <w:ind w:right="275"/>
              <w:spacing w:after="0" w:line="192"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-635000</wp:posOffset>
            </wp:positionV>
            <wp:extent cx="58420" cy="648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8335"/>
                    </a:xfrm>
                    <a:prstGeom prst="rect">
                      <a:avLst/>
                    </a:prstGeom>
                    <a:noFill/>
                  </pic:spPr>
                </pic:pic>
              </a:graphicData>
            </a:graphic>
          </wp:anchor>
        </w:drawing>
        <w:drawing>
          <wp:anchor simplePos="0" relativeHeight="251657728" behindDoc="1" locked="0" layoutInCell="0" allowOverlap="1">
            <wp:simplePos x="0" y="0"/>
            <wp:positionH relativeFrom="column">
              <wp:posOffset>4097655</wp:posOffset>
            </wp:positionH>
            <wp:positionV relativeFrom="paragraph">
              <wp:posOffset>-635000</wp:posOffset>
            </wp:positionV>
            <wp:extent cx="58420" cy="648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833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5316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31622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Reuss Mark L</w:t>
        </w:r>
      </w:hyperlink>
    </w:p>
    <w:p>
      <w:pPr>
        <w:spacing w:after="0" w:line="31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right="1040"/>
        <w:spacing w:after="0" w:line="309" w:lineRule="auto"/>
        <w:rPr>
          <w:sz w:val="20"/>
          <w:szCs w:val="20"/>
          <w:color w:val="auto"/>
        </w:rPr>
      </w:pPr>
      <w:r>
        <w:rPr>
          <w:rFonts w:ascii="Arial" w:cs="Arial" w:eastAsia="Arial" w:hAnsi="Arial"/>
          <w:sz w:val="17"/>
          <w:szCs w:val="17"/>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08/02/2019</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4" w:right="720" w:hanging="4"/>
        <w:spacing w:after="0" w:line="242"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4"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6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1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6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40" w:type="dxa"/>
            <w:vAlign w:val="bottom"/>
          </w:tcPr>
          <w:p>
            <w:pPr>
              <w:spacing w:after="0"/>
              <w:rPr>
                <w:sz w:val="21"/>
                <w:szCs w:val="21"/>
                <w:color w:val="auto"/>
              </w:rPr>
            </w:pPr>
          </w:p>
        </w:tc>
        <w:tc>
          <w:tcPr>
            <w:tcW w:w="1640" w:type="dxa"/>
            <w:vAlign w:val="bottom"/>
          </w:tcPr>
          <w:p>
            <w:pPr>
              <w:ind w:left="90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419" w:lineRule="exact"/>
        <w:rPr>
          <w:sz w:val="24"/>
          <w:szCs w:val="24"/>
          <w:color w:val="auto"/>
        </w:rPr>
      </w:pPr>
    </w:p>
    <w:p>
      <w:pPr>
        <w:sectPr>
          <w:pgSz w:w="11900" w:h="16838" w:orient="portrait"/>
          <w:cols w:equalWidth="0" w:num="3">
            <w:col w:w="3340" w:space="720"/>
            <w:col w:w="3256" w:space="720"/>
            <w:col w:w="3484"/>
          </w:cols>
          <w:pgMar w:left="240" w:top="223" w:right="13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840" w:type="dxa"/>
            <w:vAlign w:val="bottom"/>
            <w:gridSpan w:val="5"/>
          </w:tcPr>
          <w:p>
            <w:pPr>
              <w:jc w:val="center"/>
              <w:ind w:right="134"/>
              <w:spacing w:after="0" w:line="100"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0"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0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vMerge w:val="restart"/>
          </w:tcPr>
          <w:p>
            <w:pPr>
              <w:spacing w:after="0"/>
              <w:rPr>
                <w:sz w:val="5"/>
                <w:szCs w:val="5"/>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400" w:type="dxa"/>
            <w:vAlign w:val="bottom"/>
            <w:tcBorders>
              <w:bottom w:val="single" w:sz="8" w:color="2C2C2C"/>
            </w:tcBorders>
            <w:gridSpan w:val="3"/>
          </w:tcPr>
          <w:p>
            <w:pPr>
              <w:spacing w:after="0"/>
              <w:rPr>
                <w:sz w:val="10"/>
                <w:szCs w:val="10"/>
                <w:color w:val="auto"/>
              </w:rPr>
            </w:pPr>
          </w:p>
        </w:tc>
        <w:tc>
          <w:tcPr>
            <w:tcW w:w="4480" w:type="dxa"/>
            <w:vAlign w:val="bottom"/>
            <w:tcBorders>
              <w:bottom w:val="single" w:sz="8" w:color="2C2C2C"/>
            </w:tcBorders>
            <w:gridSpan w:val="6"/>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620" w:type="dxa"/>
            <w:vAlign w:val="bottom"/>
            <w:tcBorders>
              <w:top w:val="single" w:sz="8" w:color="2C2C2C"/>
            </w:tcBorders>
            <w:gridSpan w:val="12"/>
          </w:tcPr>
          <w:p>
            <w:pPr>
              <w:jc w:val="center"/>
              <w:ind w:left="735"/>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860" w:type="dxa"/>
            <w:vAlign w:val="bottom"/>
            <w:gridSpan w:val="3"/>
          </w:tcPr>
          <w:p>
            <w:pPr>
              <w:ind w:left="800"/>
              <w:spacing w:after="0" w:line="131"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2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08/02/2019</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rPr>
              <w:t>M</w:t>
            </w:r>
          </w:p>
        </w:tc>
        <w:tc>
          <w:tcPr>
            <w:tcW w:w="8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w w:val="96"/>
              </w:rPr>
              <w:t>165,944</w:t>
            </w:r>
            <w:r>
              <w:rPr>
                <w:rFonts w:ascii="Arial" w:cs="Arial" w:eastAsia="Arial" w:hAnsi="Arial"/>
                <w:sz w:val="21"/>
                <w:szCs w:val="21"/>
                <w:color w:val="008000"/>
                <w:w w:val="96"/>
                <w:vertAlign w:val="superscript"/>
              </w:rPr>
              <w:t>(1)</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ind w:left="10"/>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31.32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479,413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08/02/2019</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w w:val="96"/>
              </w:rPr>
              <w:t>165,944</w:t>
            </w:r>
            <w:r>
              <w:rPr>
                <w:rFonts w:ascii="Arial" w:cs="Arial" w:eastAsia="Arial" w:hAnsi="Arial"/>
                <w:sz w:val="21"/>
                <w:szCs w:val="21"/>
                <w:color w:val="008000"/>
                <w:w w:val="96"/>
                <w:vertAlign w:val="superscript"/>
              </w:rPr>
              <w:t>(1)</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40.03</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313,469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08/02/2019</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9"/>
              <w:spacing w:after="0"/>
              <w:rPr>
                <w:sz w:val="20"/>
                <w:szCs w:val="20"/>
                <w:color w:val="auto"/>
              </w:rPr>
            </w:pPr>
            <w:r>
              <w:rPr>
                <w:rFonts w:ascii="Arial" w:cs="Arial" w:eastAsia="Arial" w:hAnsi="Arial"/>
                <w:sz w:val="13"/>
                <w:szCs w:val="13"/>
                <w:color w:val="0000FF"/>
                <w:w w:val="91"/>
              </w:rPr>
              <w:t>S</w:t>
            </w:r>
          </w:p>
        </w:tc>
        <w:tc>
          <w:tcPr>
            <w:tcW w:w="8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w w:val="96"/>
              </w:rPr>
              <w:t>110,000</w:t>
            </w:r>
            <w:r>
              <w:rPr>
                <w:rFonts w:ascii="Arial" w:cs="Arial" w:eastAsia="Arial" w:hAnsi="Arial"/>
                <w:sz w:val="21"/>
                <w:szCs w:val="21"/>
                <w:color w:val="008000"/>
                <w:w w:val="96"/>
                <w:vertAlign w:val="superscript"/>
              </w:rPr>
              <w:t>(1)</w:t>
            </w:r>
          </w:p>
        </w:tc>
        <w:tc>
          <w:tcPr>
            <w:tcW w:w="6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40.03</w:t>
            </w:r>
            <w:r>
              <w:rPr>
                <w:rFonts w:ascii="Arial" w:cs="Arial" w:eastAsia="Arial" w:hAnsi="Arial"/>
                <w:sz w:val="21"/>
                <w:szCs w:val="21"/>
                <w:color w:val="008000"/>
                <w:w w:val="86"/>
                <w:vertAlign w:val="superscript"/>
              </w:rPr>
              <w:t>(2)</w:t>
            </w:r>
          </w:p>
        </w:tc>
        <w:tc>
          <w:tcPr>
            <w:tcW w:w="1300" w:type="dxa"/>
            <w:vAlign w:val="bottom"/>
            <w:tcBorders>
              <w:bottom w:val="single" w:sz="8" w:color="2C2C2C"/>
            </w:tcBorders>
            <w:gridSpan w:val="3"/>
          </w:tcPr>
          <w:p>
            <w:pPr>
              <w:ind w:left="360"/>
              <w:spacing w:after="0"/>
              <w:rPr>
                <w:sz w:val="20"/>
                <w:szCs w:val="20"/>
                <w:color w:val="auto"/>
              </w:rPr>
            </w:pPr>
            <w:r>
              <w:rPr>
                <w:rFonts w:ascii="Arial" w:cs="Arial" w:eastAsia="Arial" w:hAnsi="Arial"/>
                <w:sz w:val="17"/>
                <w:szCs w:val="17"/>
                <w:color w:val="0000FF"/>
              </w:rPr>
              <w:t>203,469</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100" w:type="dxa"/>
            <w:vAlign w:val="bottom"/>
            <w:tcBorders>
              <w:top w:val="single" w:sz="8" w:color="2C2C2C"/>
            </w:tcBorders>
          </w:tcPr>
          <w:p>
            <w:pPr>
              <w:spacing w:after="0"/>
              <w:rPr>
                <w:sz w:val="18"/>
                <w:szCs w:val="18"/>
                <w:color w:val="auto"/>
              </w:rPr>
            </w:pPr>
          </w:p>
        </w:tc>
        <w:tc>
          <w:tcPr>
            <w:tcW w:w="6520" w:type="dxa"/>
            <w:vAlign w:val="bottom"/>
            <w:tcBorders>
              <w:top w:val="single" w:sz="8" w:color="2C2C2C"/>
            </w:tcBorders>
            <w:gridSpan w:val="11"/>
          </w:tcPr>
          <w:p>
            <w:pPr>
              <w:jc w:val="center"/>
              <w:ind w:right="14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20" w:type="dxa"/>
            <w:vAlign w:val="bottom"/>
            <w:gridSpan w:val="9"/>
          </w:tcPr>
          <w:p>
            <w:pPr>
              <w:jc w:val="center"/>
              <w:ind w:left="44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00" w:type="dxa"/>
            <w:vAlign w:val="bottom"/>
          </w:tcPr>
          <w:p>
            <w:pPr>
              <w:ind w:left="80"/>
              <w:spacing w:after="0"/>
              <w:rPr>
                <w:sz w:val="20"/>
                <w:szCs w:val="20"/>
                <w:color w:val="auto"/>
              </w:rPr>
            </w:pPr>
            <w:r>
              <w:rPr>
                <w:rFonts w:ascii="Arial" w:cs="Arial" w:eastAsia="Arial" w:hAnsi="Arial"/>
                <w:sz w:val="12"/>
                <w:szCs w:val="12"/>
                <w:b w:val="1"/>
                <w:bCs w:val="1"/>
                <w:color w:val="auto"/>
                <w:w w:val="99"/>
              </w:rPr>
              <w:t>4.</w:t>
            </w:r>
          </w:p>
        </w:tc>
        <w:tc>
          <w:tcPr>
            <w:tcW w:w="560" w:type="dxa"/>
            <w:vAlign w:val="bottom"/>
          </w:tcPr>
          <w:p>
            <w:pPr>
              <w:spacing w:after="0"/>
              <w:rPr>
                <w:sz w:val="14"/>
                <w:szCs w:val="14"/>
                <w:color w:val="auto"/>
              </w:rPr>
            </w:pPr>
          </w:p>
        </w:tc>
        <w:tc>
          <w:tcPr>
            <w:tcW w:w="1080" w:type="dxa"/>
            <w:vAlign w:val="bottom"/>
          </w:tcPr>
          <w:p>
            <w:pPr>
              <w:ind w:left="140"/>
              <w:spacing w:after="0"/>
              <w:rPr>
                <w:sz w:val="20"/>
                <w:szCs w:val="20"/>
                <w:color w:val="auto"/>
              </w:rPr>
            </w:pPr>
            <w:r>
              <w:rPr>
                <w:rFonts w:ascii="Arial" w:cs="Arial" w:eastAsia="Arial" w:hAnsi="Arial"/>
                <w:sz w:val="12"/>
                <w:szCs w:val="12"/>
                <w:b w:val="1"/>
                <w:bCs w:val="1"/>
                <w:color w:val="auto"/>
              </w:rPr>
              <w:t>5. Number of</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10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w w:val="98"/>
              </w:rPr>
              <w:t>Code (Instr.</w:t>
            </w:r>
          </w:p>
        </w:tc>
        <w:tc>
          <w:tcPr>
            <w:tcW w:w="10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Securities</w:t>
            </w:r>
          </w:p>
        </w:tc>
        <w:tc>
          <w:tcPr>
            <w:tcW w:w="15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spacing w:after="0" w:line="131"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3"/>
              </w:rPr>
              <w:t>8)</w:t>
            </w:r>
          </w:p>
        </w:tc>
        <w:tc>
          <w:tcPr>
            <w:tcW w:w="560" w:type="dxa"/>
            <w:vAlign w:val="bottom"/>
          </w:tcPr>
          <w:p>
            <w:pPr>
              <w:spacing w:after="0"/>
              <w:rPr>
                <w:sz w:val="11"/>
                <w:szCs w:val="11"/>
                <w:color w:val="auto"/>
              </w:rPr>
            </w:pPr>
          </w:p>
        </w:tc>
        <w:tc>
          <w:tcPr>
            <w:tcW w:w="10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Acquired (A) or</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Disposed of</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 (Instr. 3, 4</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152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gridSpan w:val="2"/>
            <w:vMerge w:val="restart"/>
          </w:tcPr>
          <w:p>
            <w:pPr>
              <w:ind w:left="20"/>
              <w:spacing w:after="0" w:line="131"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8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108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0" w:type="dxa"/>
            <w:vAlign w:val="bottom"/>
            <w:gridSpan w:val="2"/>
          </w:tcPr>
          <w:p>
            <w:pPr>
              <w:ind w:left="60"/>
              <w:spacing w:after="0" w:line="144"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80" w:type="dxa"/>
            <w:vAlign w:val="bottom"/>
            <w:vMerge w:val="restart"/>
          </w:tcPr>
          <w:p>
            <w:pPr>
              <w:ind w:left="440"/>
              <w:spacing w:after="0"/>
              <w:rPr>
                <w:sz w:val="20"/>
                <w:szCs w:val="20"/>
                <w:color w:val="auto"/>
              </w:rPr>
            </w:pPr>
            <w:r>
              <w:rPr>
                <w:rFonts w:ascii="Arial" w:cs="Arial" w:eastAsia="Arial" w:hAnsi="Arial"/>
                <w:sz w:val="13"/>
                <w:szCs w:val="13"/>
                <w:color w:val="0000FF"/>
                <w:w w:val="96"/>
              </w:rPr>
              <w:t>165,944</w:t>
            </w:r>
            <w:r>
              <w:rPr>
                <w:rFonts w:ascii="Arial" w:cs="Arial" w:eastAsia="Arial" w:hAnsi="Arial"/>
                <w:sz w:val="21"/>
                <w:szCs w:val="21"/>
                <w:color w:val="008000"/>
                <w:w w:val="96"/>
                <w:vertAlign w:val="superscript"/>
              </w:rPr>
              <w:t>(1)</w:t>
            </w:r>
          </w:p>
        </w:tc>
        <w:tc>
          <w:tcPr>
            <w:tcW w:w="7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Common</w:t>
            </w:r>
          </w:p>
        </w:tc>
        <w:tc>
          <w:tcPr>
            <w:tcW w:w="640" w:type="dxa"/>
            <w:vAlign w:val="bottom"/>
            <w:vMerge w:val="restart"/>
          </w:tcPr>
          <w:p>
            <w:pPr>
              <w:ind w:left="20"/>
              <w:spacing w:after="0"/>
              <w:rPr>
                <w:sz w:val="20"/>
                <w:szCs w:val="20"/>
                <w:color w:val="auto"/>
              </w:rPr>
            </w:pPr>
            <w:r>
              <w:rPr>
                <w:rFonts w:ascii="Arial" w:cs="Arial" w:eastAsia="Arial" w:hAnsi="Arial"/>
                <w:sz w:val="17"/>
                <w:szCs w:val="17"/>
                <w:color w:val="0000FF"/>
                <w:w w:val="97"/>
              </w:rPr>
              <w:t>165,944</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31.32</w:t>
            </w:r>
          </w:p>
        </w:tc>
        <w:tc>
          <w:tcPr>
            <w:tcW w:w="120" w:type="dxa"/>
            <w:vAlign w:val="bottom"/>
          </w:tcPr>
          <w:p>
            <w:pPr>
              <w:spacing w:after="0"/>
              <w:rPr>
                <w:sz w:val="13"/>
                <w:szCs w:val="13"/>
                <w:color w:val="auto"/>
              </w:rPr>
            </w:pPr>
          </w:p>
        </w:tc>
        <w:tc>
          <w:tcPr>
            <w:tcW w:w="1100" w:type="dxa"/>
            <w:vAlign w:val="bottom"/>
          </w:tcPr>
          <w:p>
            <w:pPr>
              <w:jc w:val="right"/>
              <w:ind w:right="175"/>
              <w:spacing w:after="0"/>
              <w:rPr>
                <w:sz w:val="20"/>
                <w:szCs w:val="20"/>
                <w:color w:val="auto"/>
              </w:rPr>
            </w:pPr>
            <w:r>
              <w:rPr>
                <w:rFonts w:ascii="Arial" w:cs="Arial" w:eastAsia="Arial" w:hAnsi="Arial"/>
                <w:sz w:val="13"/>
                <w:szCs w:val="13"/>
                <w:color w:val="0000FF"/>
              </w:rPr>
              <w:t>08/02/2019</w:t>
            </w:r>
          </w:p>
        </w:tc>
        <w:tc>
          <w:tcPr>
            <w:tcW w:w="1100" w:type="dxa"/>
            <w:vAlign w:val="bottom"/>
          </w:tcPr>
          <w:p>
            <w:pPr>
              <w:spacing w:after="0"/>
              <w:rPr>
                <w:sz w:val="13"/>
                <w:szCs w:val="13"/>
                <w:color w:val="auto"/>
              </w:rPr>
            </w:pPr>
          </w:p>
        </w:tc>
        <w:tc>
          <w:tcPr>
            <w:tcW w:w="76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1080" w:type="dxa"/>
            <w:vAlign w:val="bottom"/>
            <w:vMerge w:val="continue"/>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3"/>
                <w:szCs w:val="13"/>
                <w:color w:val="0000FF"/>
              </w:rPr>
              <w:t>02/15/2019</w:t>
            </w:r>
          </w:p>
        </w:tc>
        <w:tc>
          <w:tcPr>
            <w:tcW w:w="800" w:type="dxa"/>
            <w:vAlign w:val="bottom"/>
          </w:tcPr>
          <w:p>
            <w:pPr>
              <w:jc w:val="right"/>
              <w:ind w:right="72"/>
              <w:spacing w:after="0"/>
              <w:rPr>
                <w:sz w:val="20"/>
                <w:szCs w:val="20"/>
                <w:color w:val="auto"/>
              </w:rPr>
            </w:pPr>
            <w:r>
              <w:rPr>
                <w:rFonts w:ascii="Arial" w:cs="Arial" w:eastAsia="Arial" w:hAnsi="Arial"/>
                <w:sz w:val="13"/>
                <w:szCs w:val="13"/>
                <w:color w:val="0000FF"/>
                <w:w w:val="98"/>
              </w:rPr>
              <w:t>07/28/2025</w:t>
            </w:r>
          </w:p>
        </w:tc>
        <w:tc>
          <w:tcPr>
            <w:tcW w:w="62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40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3"/>
                <w:szCs w:val="13"/>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700" w:type="dxa"/>
            <w:vAlign w:val="bottom"/>
            <w:gridSpan w:val="2"/>
            <w:vMerge w:val="restart"/>
          </w:tcPr>
          <w:p>
            <w:pPr>
              <w:ind w:left="60"/>
              <w:spacing w:after="0" w:line="139"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20" w:type="dxa"/>
            <w:vAlign w:val="bottom"/>
          </w:tcPr>
          <w:p>
            <w:pPr>
              <w:ind w:left="100"/>
              <w:spacing w:after="0" w:line="118"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1"/>
          <w:szCs w:val="21"/>
          <w:color w:val="008000"/>
          <w:vertAlign w:val="superscript"/>
        </w:rPr>
        <w:t>(3)</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transactions reported in this Form 4 were effected pursuant to a Rule 10b5-1 trading plan.</w:t>
      </w:r>
    </w:p>
    <w:p>
      <w:pPr>
        <w:spacing w:after="0" w:line="46" w:lineRule="exact"/>
        <w:rPr>
          <w:rFonts w:ascii="Arial" w:cs="Arial" w:eastAsia="Arial" w:hAnsi="Arial"/>
          <w:sz w:val="13"/>
          <w:szCs w:val="13"/>
          <w:color w:val="008000"/>
        </w:rPr>
      </w:pPr>
    </w:p>
    <w:p>
      <w:pPr>
        <w:ind w:left="40" w:right="180" w:firstLine="4"/>
        <w:spacing w:after="0" w:line="255"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the weighted average selling price of the shares. The shares were sold in multiple transactions at prices from $40.00 to $40.19, inclusive. The Reporting Person undertakes to provide to the SEC, GM and any security holder, upon request, full information regarding the number of shares sold at each price point within the ranges set forth in this footnote.</w:t>
      </w:r>
    </w:p>
    <w:p>
      <w:pPr>
        <w:spacing w:after="0" w:line="22"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Stock Options granted July 28, 2015, of which 20% vested on February 15, 2019.</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860"/>
        <w:spacing w:after="0" w:line="222" w:lineRule="auto"/>
        <w:rPr>
          <w:sz w:val="20"/>
          <w:szCs w:val="20"/>
          <w:color w:val="auto"/>
        </w:rPr>
      </w:pPr>
      <w:r>
        <w:rPr>
          <w:rFonts w:ascii="Arial" w:cs="Arial" w:eastAsia="Arial" w:hAnsi="Arial"/>
          <w:sz w:val="17"/>
          <w:szCs w:val="17"/>
          <w:color w:val="0000FF"/>
        </w:rPr>
        <w:t xml:space="preserve">/s/ Tia Y. Turk, Attorney-In-Fact </w:t>
      </w:r>
      <w:r>
        <w:rPr>
          <w:rFonts w:ascii="Arial" w:cs="Arial" w:eastAsia="Arial" w:hAnsi="Arial"/>
          <w:sz w:val="34"/>
          <w:szCs w:val="34"/>
          <w:color w:val="0000FF"/>
          <w:vertAlign w:val="subscript"/>
        </w:rPr>
        <w:t>08/06/2019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-26670</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for Mr. Reuss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4354830</wp:posOffset>
            </wp:positionH>
            <wp:positionV relativeFrom="paragraph">
              <wp:posOffset>-19050</wp:posOffset>
            </wp:positionV>
            <wp:extent cx="5905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9055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-85725</wp:posOffset>
            </wp:positionV>
            <wp:extent cx="4921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92125" cy="8255"/>
                    </a:xfrm>
                    <a:prstGeom prst="rect">
                      <a:avLst/>
                    </a:prstGeom>
                    <a:noFill/>
                  </pic:spPr>
                </pic:pic>
              </a:graphicData>
            </a:graphic>
          </wp:anchor>
        </w:drawing>
      </w:r>
    </w:p>
    <w:p>
      <w:pPr>
        <w:spacing w:after="0" w:line="40" w:lineRule="exact"/>
        <w:rPr>
          <w:sz w:val="24"/>
          <w:szCs w:val="24"/>
          <w:color w:val="auto"/>
        </w:rPr>
      </w:pPr>
    </w:p>
    <w:p>
      <w:pPr>
        <w:ind w:left="6860"/>
        <w:spacing w:after="0"/>
        <w:tabs>
          <w:tab w:leader="none" w:pos="91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4"/>
          <w:szCs w:val="24"/>
          <w:color w:val="auto"/>
        </w:rPr>
      </w:pPr>
    </w:p>
    <w:p>
      <w:pPr>
        <w:jc w:val="both"/>
        <w:ind w:left="40" w:right="392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92362"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2019-12-24T07:37:59Z</dcterms:created>
  <dcterms:modified xsi:type="dcterms:W3CDTF">2019-12-24T07:37:59Z</dcterms:modified>
</cp:coreProperties>
</file>