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37045V100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2010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040" w:hanging="406"/>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jc w:val="both"/>
        <w:ind w:left="640" w:right="9340" w:hanging="6"/>
        <w:spacing w:after="0" w:line="323" w:lineRule="auto"/>
        <w:tabs>
          <w:tab w:leader="none" w:pos="105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spacing w:after="0" w:line="13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2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on the reminder of this cover page shall not be deemed to be “filed” for the purpose of Section 18 of the Securities Exchange Act of 1934 (the “</w:t>
      </w:r>
      <w:r>
        <w:rPr>
          <w:rFonts w:ascii="Arial" w:cs="Arial" w:eastAsia="Arial" w:hAnsi="Arial"/>
          <w:sz w:val="16"/>
          <w:szCs w:val="16"/>
          <w:u w:val="single" w:color="auto"/>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-74295</wp:posOffset>
            </wp:positionV>
            <wp:extent cx="28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37045V100</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8 Pages</w:t>
            </w:r>
          </w:p>
        </w:tc>
      </w:tr>
      <w:tr>
        <w:trPr>
          <w:trHeight w:val="551"/>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Canada Development Investment Corporation (see Item 2(a))</w:t>
            </w: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x</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574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Canada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8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BY EACH REPORTING</w:t>
            </w:r>
          </w:p>
        </w:tc>
        <w:tc>
          <w:tcPr>
            <w:tcW w:w="42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80" w:type="dxa"/>
            <w:vAlign w:val="bottom"/>
            <w:gridSpan w:val="3"/>
            <w:vMerge w:val="restart"/>
          </w:tcPr>
          <w:p>
            <w:pPr>
              <w:jc w:val="center"/>
              <w:ind w:right="360"/>
              <w:spacing w:after="0" w:line="190" w:lineRule="exact"/>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760" w:type="dxa"/>
            <w:vAlign w:val="bottom"/>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w w:val="79"/>
              </w:rPr>
              <w:t>8</w:t>
            </w:r>
          </w:p>
        </w:tc>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w w:val="87"/>
              </w:rPr>
              <w:t>140,084,746</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4"/>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0"/>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37045V100</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8 Pages</w:t>
            </w:r>
          </w:p>
        </w:tc>
      </w:tr>
      <w:tr>
        <w:trPr>
          <w:trHeight w:val="551"/>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Canada GEN Investment Corporation</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x</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57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Canada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8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BY EACH REPORTING</w:t>
            </w:r>
          </w:p>
        </w:tc>
        <w:tc>
          <w:tcPr>
            <w:tcW w:w="42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80" w:type="dxa"/>
            <w:vAlign w:val="bottom"/>
            <w:gridSpan w:val="3"/>
            <w:vMerge w:val="restart"/>
          </w:tcPr>
          <w:p>
            <w:pPr>
              <w:jc w:val="center"/>
              <w:ind w:right="360"/>
              <w:spacing w:after="0" w:line="190" w:lineRule="exact"/>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760" w:type="dxa"/>
            <w:vAlign w:val="bottom"/>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w w:val="79"/>
              </w:rPr>
              <w:t>8</w:t>
            </w:r>
          </w:p>
        </w:tc>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w w:val="87"/>
              </w:rPr>
              <w:t>140,084,746</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4"/>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0"/>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CUSIP No. 37045V100</w:t>
            </w:r>
          </w:p>
        </w:tc>
        <w:tc>
          <w:tcPr>
            <w:tcW w:w="840" w:type="dxa"/>
            <w:vAlign w:val="bottom"/>
          </w:tcPr>
          <w:p>
            <w:pPr>
              <w:spacing w:after="0"/>
              <w:rPr>
                <w:sz w:val="24"/>
                <w:szCs w:val="24"/>
                <w:color w:val="auto"/>
              </w:rPr>
            </w:pPr>
          </w:p>
        </w:tc>
        <w:tc>
          <w:tcPr>
            <w:tcW w:w="6040" w:type="dxa"/>
            <w:vAlign w:val="bottom"/>
            <w:tcBorders>
              <w:right w:val="single" w:sz="8" w:color="auto"/>
            </w:tcBorders>
          </w:tcPr>
          <w:p>
            <w:pPr>
              <w:ind w:left="19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4 of 8 Pages</w:t>
            </w:r>
          </w:p>
        </w:tc>
      </w:tr>
      <w:tr>
        <w:trPr>
          <w:trHeight w:val="719"/>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0" w:type="dxa"/>
            <w:vAlign w:val="bottom"/>
          </w:tcPr>
          <w:p>
            <w:pPr>
              <w:ind w:left="260"/>
              <w:spacing w:after="0"/>
              <w:rPr>
                <w:sz w:val="20"/>
                <w:szCs w:val="20"/>
                <w:color w:val="auto"/>
              </w:rPr>
            </w:pPr>
            <w:r>
              <w:rPr>
                <w:rFonts w:ascii="Arial" w:cs="Arial" w:eastAsia="Arial" w:hAnsi="Arial"/>
                <w:sz w:val="18"/>
                <w:szCs w:val="18"/>
                <w:color w:val="auto"/>
              </w:rPr>
              <w:t>(a)</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NAME OF ISSUER</w:t>
            </w:r>
          </w:p>
        </w:tc>
        <w:tc>
          <w:tcPr>
            <w:tcW w:w="60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General Motors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1660" w:hanging="612"/>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300 Renaissance Center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spacing w:after="0"/>
        <w:tabs>
          <w:tab w:leader="none" w:pos="1020" w:val="left"/>
          <w:tab w:leader="none" w:pos="16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u w:val="single" w:color="auto"/>
          <w:color w:val="auto"/>
        </w:rPr>
        <w:t>NAME OF PERSON FILING</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Canada Development Investment Corporation (“</w:t>
      </w:r>
      <w:r>
        <w:rPr>
          <w:rFonts w:ascii="Arial" w:cs="Arial" w:eastAsia="Arial" w:hAnsi="Arial"/>
          <w:sz w:val="18"/>
          <w:szCs w:val="18"/>
          <w:u w:val="single" w:color="auto"/>
          <w:color w:val="auto"/>
        </w:rPr>
        <w:t>CDIC</w:t>
      </w:r>
      <w:r>
        <w:rPr>
          <w:rFonts w:ascii="Arial" w:cs="Arial" w:eastAsia="Arial" w:hAnsi="Arial"/>
          <w:sz w:val="18"/>
          <w:szCs w:val="18"/>
          <w:color w:val="auto"/>
        </w:rPr>
        <w:t>”)</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Canada GEN Investment Corporation (“</w:t>
      </w:r>
      <w:r>
        <w:rPr>
          <w:rFonts w:ascii="Arial" w:cs="Arial" w:eastAsia="Arial" w:hAnsi="Arial"/>
          <w:sz w:val="18"/>
          <w:szCs w:val="18"/>
          <w:u w:val="single" w:color="auto"/>
          <w:color w:val="auto"/>
        </w:rPr>
        <w:t>Canada GEN</w:t>
      </w:r>
      <w:r>
        <w:rPr>
          <w:rFonts w:ascii="Arial" w:cs="Arial" w:eastAsia="Arial" w:hAnsi="Arial"/>
          <w:sz w:val="18"/>
          <w:szCs w:val="18"/>
          <w:color w:val="auto"/>
        </w:rPr>
        <w:t>”)</w:t>
      </w:r>
    </w:p>
    <w:p>
      <w:pPr>
        <w:spacing w:after="0" w:line="211" w:lineRule="exact"/>
        <w:rPr>
          <w:sz w:val="20"/>
          <w:szCs w:val="20"/>
          <w:color w:val="auto"/>
        </w:rPr>
      </w:pPr>
    </w:p>
    <w:p>
      <w:pPr>
        <w:ind w:left="1660" w:right="200"/>
        <w:spacing w:after="0" w:line="259" w:lineRule="auto"/>
        <w:rPr>
          <w:sz w:val="20"/>
          <w:szCs w:val="20"/>
          <w:color w:val="auto"/>
        </w:rPr>
      </w:pPr>
      <w:r>
        <w:rPr>
          <w:rFonts w:ascii="Arial" w:cs="Arial" w:eastAsia="Arial" w:hAnsi="Arial"/>
          <w:sz w:val="18"/>
          <w:szCs w:val="18"/>
          <w:color w:val="auto"/>
        </w:rPr>
        <w:t>Canada GEN is a wholly-owned subsidiary of CDIC and the direct owner and record holder of the reported securities. CDIC is an indirect beneficial owner of the reported securities. CDIC is a Canadian federal Crown corporation, meaning that it is a business corporation established under the Canada Business Corporations Act, owned by the federal Government of Canada (“</w:t>
      </w:r>
      <w:r>
        <w:rPr>
          <w:rFonts w:ascii="Arial" w:cs="Arial" w:eastAsia="Arial" w:hAnsi="Arial"/>
          <w:sz w:val="18"/>
          <w:szCs w:val="18"/>
          <w:u w:val="single" w:color="auto"/>
          <w:color w:val="auto"/>
        </w:rPr>
        <w:t>Government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Canada</w:t>
      </w:r>
      <w:r>
        <w:rPr>
          <w:rFonts w:ascii="Arial" w:cs="Arial" w:eastAsia="Arial" w:hAnsi="Arial"/>
          <w:sz w:val="18"/>
          <w:szCs w:val="18"/>
          <w:color w:val="auto"/>
        </w:rPr>
        <w:t>”).</w:t>
      </w:r>
    </w:p>
    <w:p>
      <w:pPr>
        <w:spacing w:after="0" w:line="187" w:lineRule="exact"/>
        <w:rPr>
          <w:sz w:val="20"/>
          <w:szCs w:val="20"/>
          <w:color w:val="auto"/>
        </w:rPr>
      </w:pPr>
    </w:p>
    <w:p>
      <w:pPr>
        <w:ind w:left="1660" w:hanging="612"/>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p>
    <w:p>
      <w:pPr>
        <w:spacing w:after="0" w:line="225" w:lineRule="exact"/>
        <w:rPr>
          <w:rFonts w:ascii="Arial" w:cs="Arial" w:eastAsia="Arial" w:hAnsi="Arial"/>
          <w:sz w:val="18"/>
          <w:szCs w:val="18"/>
          <w:color w:val="auto"/>
        </w:rPr>
      </w:pPr>
    </w:p>
    <w:p>
      <w:pPr>
        <w:ind w:left="1920" w:right="6200" w:hanging="264"/>
        <w:spacing w:after="0" w:line="258" w:lineRule="auto"/>
        <w:tabs>
          <w:tab w:leader="none" w:pos="191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Canada Development Investment Corporation 1235 Bay Street, Suite 400</w:t>
      </w:r>
    </w:p>
    <w:p>
      <w:pPr>
        <w:spacing w:after="0" w:line="1"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Toronto, Ontario M5R 3K4</w:t>
      </w:r>
    </w:p>
    <w:p>
      <w:pPr>
        <w:spacing w:after="0" w:line="210" w:lineRule="exact"/>
        <w:rPr>
          <w:rFonts w:ascii="Arial" w:cs="Arial" w:eastAsia="Arial" w:hAnsi="Arial"/>
          <w:sz w:val="18"/>
          <w:szCs w:val="18"/>
          <w:color w:val="auto"/>
        </w:rPr>
      </w:pPr>
    </w:p>
    <w:p>
      <w:pPr>
        <w:ind w:left="1920" w:right="6780" w:hanging="264"/>
        <w:spacing w:after="0" w:line="286" w:lineRule="auto"/>
        <w:tabs>
          <w:tab w:leader="none" w:pos="1918" w:val="left"/>
        </w:tabs>
        <w:numPr>
          <w:ilvl w:val="1"/>
          <w:numId w:val="5"/>
        </w:numPr>
        <w:rPr>
          <w:rFonts w:ascii="Arial" w:cs="Arial" w:eastAsia="Arial" w:hAnsi="Arial"/>
          <w:sz w:val="17"/>
          <w:szCs w:val="17"/>
          <w:color w:val="auto"/>
        </w:rPr>
      </w:pPr>
      <w:r>
        <w:rPr>
          <w:rFonts w:ascii="Arial" w:cs="Arial" w:eastAsia="Arial" w:hAnsi="Arial"/>
          <w:sz w:val="17"/>
          <w:szCs w:val="17"/>
          <w:color w:val="auto"/>
        </w:rPr>
        <w:t>Canada GEN Investment Corporation 1235 Bay Street, Suite 400 Toronto, Ontario M5R 3K4</w:t>
      </w:r>
    </w:p>
    <w:p>
      <w:pPr>
        <w:spacing w:after="0" w:line="165" w:lineRule="exact"/>
        <w:rPr>
          <w:rFonts w:ascii="Arial" w:cs="Arial" w:eastAsia="Arial" w:hAnsi="Arial"/>
          <w:sz w:val="17"/>
          <w:szCs w:val="17"/>
          <w:color w:val="auto"/>
        </w:rPr>
      </w:pPr>
    </w:p>
    <w:p>
      <w:pPr>
        <w:ind w:left="1660" w:hanging="612"/>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CITIZENSHIP</w:t>
      </w:r>
    </w:p>
    <w:p>
      <w:pPr>
        <w:spacing w:after="0" w:line="225" w:lineRule="exact"/>
        <w:rPr>
          <w:rFonts w:ascii="Arial" w:cs="Arial" w:eastAsia="Arial" w:hAnsi="Arial"/>
          <w:sz w:val="18"/>
          <w:szCs w:val="18"/>
          <w:color w:val="auto"/>
        </w:rPr>
      </w:pPr>
    </w:p>
    <w:p>
      <w:pPr>
        <w:ind w:left="1920" w:hanging="264"/>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CDIC is a corporation organized under the laws of Canada.</w:t>
      </w:r>
    </w:p>
    <w:p>
      <w:pPr>
        <w:spacing w:after="0" w:line="225" w:lineRule="exact"/>
        <w:rPr>
          <w:rFonts w:ascii="Arial" w:cs="Arial" w:eastAsia="Arial" w:hAnsi="Arial"/>
          <w:sz w:val="18"/>
          <w:szCs w:val="18"/>
          <w:color w:val="auto"/>
        </w:rPr>
      </w:pPr>
    </w:p>
    <w:p>
      <w:pPr>
        <w:ind w:left="1920" w:hanging="264"/>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Canada GEN is a corporation organized under the laws of Canada.</w:t>
      </w:r>
    </w:p>
    <w:p>
      <w:pPr>
        <w:spacing w:after="0" w:line="225" w:lineRule="exact"/>
        <w:rPr>
          <w:rFonts w:ascii="Arial" w:cs="Arial" w:eastAsia="Arial" w:hAnsi="Arial"/>
          <w:sz w:val="18"/>
          <w:szCs w:val="18"/>
          <w:color w:val="auto"/>
        </w:rPr>
      </w:pPr>
    </w:p>
    <w:p>
      <w:pPr>
        <w:ind w:left="1660" w:hanging="612"/>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p>
    <w:p>
      <w:pPr>
        <w:spacing w:after="0" w:line="22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right="8440" w:hanging="612"/>
        <w:spacing w:after="0" w:line="573" w:lineRule="auto"/>
        <w:tabs>
          <w:tab w:leader="none" w:pos="1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 xml:space="preserve">CUSIP NUMBER </w:t>
      </w:r>
      <w:r>
        <w:rPr>
          <w:rFonts w:ascii="Arial" w:cs="Arial" w:eastAsia="Arial" w:hAnsi="Arial"/>
          <w:sz w:val="17"/>
          <w:szCs w:val="17"/>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5 of 8 Pages</w:t>
            </w:r>
          </w:p>
        </w:tc>
      </w:tr>
    </w:tbl>
    <w:p>
      <w:pPr>
        <w:spacing w:after="0" w:line="200" w:lineRule="exact"/>
        <w:rPr>
          <w:sz w:val="20"/>
          <w:szCs w:val="20"/>
          <w:color w:val="auto"/>
        </w:rPr>
      </w:pP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IF THIS STATEMENT IS FILED PURSUANT TO RULES 13d-1(b) OR</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13d-2(b) OR (c), CHECK WHETHER THE PERSON FILING IS:</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5" w:lineRule="exact"/>
        <w:rPr>
          <w:sz w:val="20"/>
          <w:szCs w:val="20"/>
          <w:color w:val="auto"/>
        </w:rPr>
      </w:pPr>
    </w:p>
    <w:p>
      <w:pPr>
        <w:ind w:left="1660" w:hanging="612"/>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right="120"/>
        <w:spacing w:after="0" w:line="308" w:lineRule="auto"/>
        <w:rPr>
          <w:rFonts w:ascii="Arial" w:cs="Arial" w:eastAsia="Arial" w:hAnsi="Arial"/>
          <w:sz w:val="18"/>
          <w:szCs w:val="18"/>
          <w:color w:val="auto"/>
        </w:rPr>
      </w:pPr>
      <w:r>
        <w:rPr>
          <w:rFonts w:ascii="Arial" w:cs="Arial" w:eastAsia="Arial" w:hAnsi="Arial"/>
          <w:sz w:val="17"/>
          <w:szCs w:val="17"/>
          <w:color w:val="auto"/>
        </w:rPr>
        <w:t>Canada GEN is the direct owner and record holder of 140,084,746 shares of Common Stock. CDIC is the sole shareholder of Canada GEN and may be deemed to have beneficial ownership of the Common Stock owned by Canada GEN.</w:t>
      </w:r>
    </w:p>
    <w:p>
      <w:pPr>
        <w:spacing w:after="0" w:line="146" w:lineRule="exact"/>
        <w:rPr>
          <w:rFonts w:ascii="Arial" w:cs="Arial" w:eastAsia="Arial" w:hAnsi="Arial"/>
          <w:sz w:val="18"/>
          <w:szCs w:val="18"/>
          <w:color w:val="auto"/>
        </w:rPr>
      </w:pPr>
    </w:p>
    <w:p>
      <w:pPr>
        <w:ind w:left="1660" w:hanging="612"/>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Percentage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right="300"/>
        <w:spacing w:after="0" w:line="282" w:lineRule="auto"/>
        <w:rPr>
          <w:rFonts w:ascii="Arial" w:cs="Arial" w:eastAsia="Arial" w:hAnsi="Arial"/>
          <w:sz w:val="18"/>
          <w:szCs w:val="18"/>
          <w:color w:val="auto"/>
        </w:rPr>
      </w:pPr>
      <w:r>
        <w:rPr>
          <w:rFonts w:ascii="Arial" w:cs="Arial" w:eastAsia="Arial" w:hAnsi="Arial"/>
          <w:sz w:val="18"/>
          <w:szCs w:val="18"/>
          <w:color w:val="auto"/>
        </w:rPr>
        <w:t>As of the date hereof, each of the Reporting Persons may be deemed to be the beneficial owner of approximately 8.98% of the total number of shares of Common Stock outstanding.</w:t>
      </w:r>
      <w:hyperlink w:anchor="page8">
        <w:r>
          <w:rPr>
            <w:rFonts w:ascii="Arial" w:cs="Arial" w:eastAsia="Arial" w:hAnsi="Arial"/>
            <w:sz w:val="25"/>
            <w:szCs w:val="25"/>
            <w:u w:val="single" w:color="auto"/>
            <w:color w:val="0000EE"/>
            <w:vertAlign w:val="superscript"/>
          </w:rPr>
          <w:t>1</w:t>
        </w:r>
      </w:hyperlink>
    </w:p>
    <w:p>
      <w:pPr>
        <w:spacing w:after="0" w:line="6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612"/>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CDIC</w:t>
      </w:r>
    </w:p>
    <w:p>
      <w:pPr>
        <w:spacing w:after="0" w:line="18"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Sole power to vote or direct the vote:</w:t>
            </w:r>
          </w:p>
        </w:tc>
        <w:tc>
          <w:tcPr>
            <w:tcW w:w="3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(ii)  Shared power to vote or to direct the vote:</w:t>
            </w:r>
          </w:p>
        </w:tc>
        <w:tc>
          <w:tcPr>
            <w:tcW w:w="3180" w:type="dxa"/>
            <w:vAlign w:val="bottom"/>
          </w:tcPr>
          <w:p>
            <w:pPr>
              <w:jc w:val="right"/>
              <w:spacing w:after="0"/>
              <w:rPr>
                <w:sz w:val="20"/>
                <w:szCs w:val="20"/>
                <w:color w:val="auto"/>
              </w:rPr>
            </w:pPr>
            <w:r>
              <w:rPr>
                <w:rFonts w:ascii="Arial" w:cs="Arial" w:eastAsia="Arial" w:hAnsi="Arial"/>
                <w:sz w:val="18"/>
                <w:szCs w:val="18"/>
                <w:color w:val="auto"/>
              </w:rPr>
              <w:t>140,084,746</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3180" w:type="dxa"/>
            <w:vAlign w:val="bottom"/>
          </w:tcPr>
          <w:p>
            <w:pPr>
              <w:jc w:val="right"/>
              <w:spacing w:after="0"/>
              <w:rPr>
                <w:sz w:val="20"/>
                <w:szCs w:val="20"/>
                <w:color w:val="auto"/>
              </w:rPr>
            </w:pPr>
            <w:r>
              <w:rPr>
                <w:rFonts w:ascii="Arial" w:cs="Arial" w:eastAsia="Arial" w:hAnsi="Arial"/>
                <w:sz w:val="18"/>
                <w:szCs w:val="18"/>
                <w:color w:val="auto"/>
              </w:rPr>
              <w:t>140,084,746</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(iv)</w:t>
            </w: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Shared power to dispose or to direct the disposition of:</w:t>
            </w:r>
          </w:p>
        </w:tc>
        <w:tc>
          <w:tcPr>
            <w:tcW w:w="3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2"/>
        </w:trPr>
        <w:tc>
          <w:tcPr>
            <w:tcW w:w="6580" w:type="dxa"/>
            <w:vAlign w:val="bottom"/>
            <w:gridSpan w:val="3"/>
          </w:tcPr>
          <w:p>
            <w:pPr>
              <w:spacing w:after="0"/>
              <w:rPr>
                <w:sz w:val="20"/>
                <w:szCs w:val="20"/>
                <w:color w:val="auto"/>
              </w:rPr>
            </w:pPr>
            <w:r>
              <w:rPr>
                <w:rFonts w:ascii="Arial" w:cs="Arial" w:eastAsia="Arial" w:hAnsi="Arial"/>
                <w:sz w:val="18"/>
                <w:szCs w:val="18"/>
                <w:color w:val="auto"/>
              </w:rPr>
              <w:t>Canada GEN</w:t>
            </w:r>
          </w:p>
        </w:tc>
        <w:tc>
          <w:tcPr>
            <w:tcW w:w="3180" w:type="dxa"/>
            <w:vAlign w:val="bottom"/>
          </w:tcPr>
          <w:p>
            <w:pPr>
              <w:spacing w:after="0"/>
              <w:rPr>
                <w:sz w:val="24"/>
                <w:szCs w:val="24"/>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Sole power to vote or direct the vote:</w:t>
            </w:r>
          </w:p>
        </w:tc>
        <w:tc>
          <w:tcPr>
            <w:tcW w:w="3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(ii)  Shared power to vote or to direct the vote:</w:t>
            </w:r>
          </w:p>
        </w:tc>
        <w:tc>
          <w:tcPr>
            <w:tcW w:w="3180" w:type="dxa"/>
            <w:vAlign w:val="bottom"/>
          </w:tcPr>
          <w:p>
            <w:pPr>
              <w:jc w:val="right"/>
              <w:spacing w:after="0"/>
              <w:rPr>
                <w:sz w:val="20"/>
                <w:szCs w:val="20"/>
                <w:color w:val="auto"/>
              </w:rPr>
            </w:pPr>
            <w:r>
              <w:rPr>
                <w:rFonts w:ascii="Arial" w:cs="Arial" w:eastAsia="Arial" w:hAnsi="Arial"/>
                <w:sz w:val="18"/>
                <w:szCs w:val="18"/>
                <w:color w:val="auto"/>
              </w:rPr>
              <w:t>140,084,746</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3180" w:type="dxa"/>
            <w:vAlign w:val="bottom"/>
          </w:tcPr>
          <w:p>
            <w:pPr>
              <w:jc w:val="right"/>
              <w:spacing w:after="0"/>
              <w:rPr>
                <w:sz w:val="20"/>
                <w:szCs w:val="20"/>
                <w:color w:val="auto"/>
              </w:rPr>
            </w:pPr>
            <w:r>
              <w:rPr>
                <w:rFonts w:ascii="Arial" w:cs="Arial" w:eastAsia="Arial" w:hAnsi="Arial"/>
                <w:sz w:val="18"/>
                <w:szCs w:val="18"/>
                <w:color w:val="auto"/>
              </w:rPr>
              <w:t>140,084,746</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(iv)</w:t>
            </w: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Shared power to dispose or to direct the disposition of:</w:t>
            </w:r>
          </w:p>
        </w:tc>
        <w:tc>
          <w:tcPr>
            <w:tcW w:w="3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ANOTHER PERSON</w:t>
      </w:r>
    </w:p>
    <w:p>
      <w:pPr>
        <w:spacing w:after="0" w:line="211" w:lineRule="exact"/>
        <w:rPr>
          <w:sz w:val="20"/>
          <w:szCs w:val="20"/>
          <w:color w:val="auto"/>
        </w:rPr>
      </w:pPr>
    </w:p>
    <w:p>
      <w:pPr>
        <w:ind w:left="1220"/>
        <w:spacing w:after="0" w:line="264" w:lineRule="auto"/>
        <w:rPr>
          <w:sz w:val="20"/>
          <w:szCs w:val="20"/>
          <w:color w:val="auto"/>
        </w:rPr>
      </w:pPr>
      <w:r>
        <w:rPr>
          <w:rFonts w:ascii="Arial" w:cs="Arial" w:eastAsia="Arial" w:hAnsi="Arial"/>
          <w:sz w:val="18"/>
          <w:szCs w:val="18"/>
          <w:color w:val="auto"/>
        </w:rPr>
        <w:t>Pursuant to an arrangement between the Government of Canada and the Province of Ontario, the Government of Canada has committed to provide the Province of Ontario with one-third of the net proceeds from the sale of any Common Stock held by Canada GEN and one-third of any dividends received by Canada GEN, less certain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8"/>
        <w:spacing w:after="0" w:line="226" w:lineRule="auto"/>
        <w:tabs>
          <w:tab w:leader="none" w:pos="10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number of shares of Common Stock of the Company outstanding includes 60,600,000 shares of Common Stock of the Company issued since December 31, 2010 to the Company’s U.S. hourly and salaried pension plan trusts, as disclosed in the Company’s Current Report on Form 8-K (File No. 001-34960) filed with the Securities and Exchange Commission on January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6 of 8 Pages</w:t>
            </w:r>
          </w:p>
        </w:tc>
      </w:tr>
    </w:tbl>
    <w:p>
      <w:pPr>
        <w:spacing w:after="0" w:line="200" w:lineRule="exact"/>
        <w:rPr>
          <w:sz w:val="20"/>
          <w:szCs w:val="20"/>
          <w:color w:val="auto"/>
        </w:rPr>
      </w:pP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u w:val="single" w:color="auto"/>
          <w:color w:val="auto"/>
        </w:rPr>
        <w:t>IDENTIFICATION AND CLASSIFICATION OF THE SUBSIDIARY</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WHICH ACQUIRED THE SECURITY BEING REPORTED ON BY THE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PARENT HOLDING COMPANY</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GROUP</w:t>
      </w:r>
    </w:p>
    <w:p>
      <w:pPr>
        <w:spacing w:after="0" w:line="211" w:lineRule="exact"/>
        <w:rPr>
          <w:sz w:val="20"/>
          <w:szCs w:val="20"/>
          <w:color w:val="auto"/>
        </w:rPr>
      </w:pPr>
    </w:p>
    <w:p>
      <w:pPr>
        <w:ind w:left="1220" w:right="160"/>
        <w:spacing w:after="0" w:line="257" w:lineRule="auto"/>
        <w:rPr>
          <w:sz w:val="20"/>
          <w:szCs w:val="20"/>
          <w:color w:val="auto"/>
        </w:rPr>
      </w:pPr>
      <w:r>
        <w:rPr>
          <w:rFonts w:ascii="Arial" w:cs="Arial" w:eastAsia="Arial" w:hAnsi="Arial"/>
          <w:sz w:val="18"/>
          <w:szCs w:val="18"/>
          <w:color w:val="auto"/>
        </w:rPr>
        <w:t>Canada GEN is a party to a Stockholders Agreement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dated as of October 15, 2009, by and among the Company, the United States Department of the Treasury (“</w:t>
      </w:r>
      <w:r>
        <w:rPr>
          <w:rFonts w:ascii="Arial" w:cs="Arial" w:eastAsia="Arial" w:hAnsi="Arial"/>
          <w:sz w:val="18"/>
          <w:szCs w:val="18"/>
          <w:u w:val="single" w:color="auto"/>
          <w:color w:val="auto"/>
        </w:rPr>
        <w:t>UST</w:t>
      </w:r>
      <w:r>
        <w:rPr>
          <w:rFonts w:ascii="Arial" w:cs="Arial" w:eastAsia="Arial" w:hAnsi="Arial"/>
          <w:sz w:val="18"/>
          <w:szCs w:val="18"/>
          <w:color w:val="auto"/>
        </w:rPr>
        <w:t>”), 7176384 Canada Inc. (the predecessor in interest to Canada GEN), UAW Retiree Medical Benefits Trust (“</w:t>
      </w:r>
      <w:r>
        <w:rPr>
          <w:rFonts w:ascii="Arial" w:cs="Arial" w:eastAsia="Arial" w:hAnsi="Arial"/>
          <w:sz w:val="18"/>
          <w:szCs w:val="18"/>
          <w:u w:val="single" w:color="auto"/>
          <w:color w:val="auto"/>
        </w:rPr>
        <w:t>VEBA</w:t>
      </w:r>
      <w:r>
        <w:rPr>
          <w:rFonts w:ascii="Arial" w:cs="Arial" w:eastAsia="Arial" w:hAnsi="Arial"/>
          <w:sz w:val="18"/>
          <w:szCs w:val="18"/>
          <w:color w:val="auto"/>
        </w:rPr>
        <w:t>”) and, solely for the purposes of Section 6.20 thereof, General Motors LLC. The Stockholders Agreement is filed as Exhibit 10.8 to the Company’s Current Report on Form 8-K (File No. 333-160471) filed with the Securities and Exchange Commission on November 16, 2009.</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The Stockholders Agreement obligates Canada GEN to vote in favor of VEBA’s nominee to the board of directors of the Company for so</w:t>
      </w:r>
    </w:p>
    <w:p>
      <w:pPr>
        <w:spacing w:after="0" w:line="4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long as VEBA holds at least 50% of the shares of Common Stock it held in its initial investment in the Company. The Stockholders</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Agreement permits UST and Canada GEN to propose a slate of candidates for election to the board of directors of the Company and permits</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Canada GEN to participate in any such proposal by nominating candidates in proportion to its holdings in the Company (such process, the</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Slate Procedure</w:t>
      </w:r>
      <w:r>
        <w:rPr>
          <w:rFonts w:ascii="Arial" w:cs="Arial" w:eastAsia="Arial" w:hAnsi="Arial"/>
          <w:sz w:val="16"/>
          <w:szCs w:val="16"/>
          <w:color w:val="auto"/>
        </w:rPr>
        <w:t>”). In the event of a Joint Slate Procedure, Canada GEN and UST each agree to vote “for” the joint slate of candidates</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that has been nominated. The S tockholders Agreement also prohibits UST, Canada GEN and VEBA from transferring all or any portion of</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their Common Stock or warrants without the consent of the Company’s board of directors to either (i) any person or group who would</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thereafter beneficially own more than 10% of the Common Stock, or (ii) any automotive vehicle manufacturer or affiliate thereof.</w:t>
      </w:r>
    </w:p>
    <w:p>
      <w:pPr>
        <w:spacing w:after="0" w:line="211" w:lineRule="exact"/>
        <w:rPr>
          <w:sz w:val="20"/>
          <w:szCs w:val="20"/>
          <w:color w:val="auto"/>
        </w:rPr>
      </w:pPr>
    </w:p>
    <w:p>
      <w:pPr>
        <w:ind w:left="1220" w:right="20"/>
        <w:spacing w:after="0" w:line="297" w:lineRule="auto"/>
        <w:rPr>
          <w:sz w:val="20"/>
          <w:szCs w:val="20"/>
          <w:color w:val="auto"/>
        </w:rPr>
      </w:pPr>
      <w:r>
        <w:rPr>
          <w:rFonts w:ascii="Arial" w:cs="Arial" w:eastAsia="Arial" w:hAnsi="Arial"/>
          <w:sz w:val="16"/>
          <w:szCs w:val="16"/>
          <w:color w:val="auto"/>
        </w:rPr>
        <w:t>Canada GEN and VEBA collectively have beneficially ownership of 345,689,291 shares of Common Stock, including VEBA’s ownership of 45,454,545 warrants each exercisable for one share of Common Stock (each a “</w:t>
      </w:r>
      <w:r>
        <w:rPr>
          <w:rFonts w:ascii="Arial" w:cs="Arial" w:eastAsia="Arial" w:hAnsi="Arial"/>
          <w:sz w:val="16"/>
          <w:szCs w:val="16"/>
          <w:u w:val="single" w:color="auto"/>
          <w:color w:val="auto"/>
        </w:rPr>
        <w:t>Warrant</w:t>
      </w:r>
      <w:r>
        <w:rPr>
          <w:rFonts w:ascii="Arial" w:cs="Arial" w:eastAsia="Arial" w:hAnsi="Arial"/>
          <w:sz w:val="16"/>
          <w:szCs w:val="16"/>
          <w:color w:val="auto"/>
        </w:rPr>
        <w:t>”). This represents 21.5% of the outstanding Common Stock based on a total of 1,606,054,545 shares of Common Stock outstanding (including 45,454,545 unissued shares for which the Warrants are exchangeable). The Common Stock ownership reported by Canada GEN does not include any Common Stock owned by the other parties to the Stockholders Agreement, except to the extent already disclosed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673735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7 of 8 Pages</w:t>
            </w:r>
          </w:p>
        </w:tc>
      </w:tr>
    </w:tbl>
    <w:p>
      <w:pPr>
        <w:spacing w:after="0" w:line="200" w:lineRule="exact"/>
        <w:rPr>
          <w:sz w:val="20"/>
          <w:szCs w:val="20"/>
          <w:color w:val="auto"/>
        </w:rPr>
      </w:pP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750570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8 of 8 Pages</w:t>
            </w:r>
          </w:p>
        </w:tc>
      </w:tr>
    </w:tbl>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2011</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CANADA GEN INVESTMENT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Carter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CANADA DEVELOPMENT INVESTMENT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Carter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1420"/>
      </w:cols>
      <w:pgMar w:left="240" w:top="7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4"/>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2"/>
    </w:lvl>
    <w:lvl w:ilvl="1">
      <w:lvlJc w:val="left"/>
      <w:lvlText w:val="(%2)"/>
      <w:numFmt w:val="lowerRoman"/>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2019-12-11T08:42:47Z</dcterms:created>
  <dcterms:modified xsi:type="dcterms:W3CDTF">2019-12-11T08:42:47Z</dcterms:modified>
</cp:coreProperties>
</file>