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81"/>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ind w:left="80" w:right="2220"/>
        <w:spacing w:after="0" w:line="28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12, 2022 there were 1,420,696,787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2021</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40" w:type="dxa"/>
            <w:vAlign w:val="bottom"/>
          </w:tcPr>
          <w:p>
            <w:pPr>
              <w:spacing w:after="0"/>
              <w:rPr>
                <w:sz w:val="15"/>
                <w:szCs w:val="15"/>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September 30, 2021</w:t>
            </w:r>
          </w:p>
        </w:tc>
      </w:tr>
      <w:tr>
        <w:trPr>
          <w:trHeight w:val="19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83,237</w:t>
            </w:r>
          </w:p>
        </w:tc>
      </w:tr>
      <w:tr>
        <w:trPr>
          <w:trHeight w:val="212"/>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11"/>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93,420</w:t>
            </w: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73,053</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20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38,497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85,616</w:t>
            </w:r>
          </w:p>
        </w:tc>
      </w:tr>
      <w:tr>
        <w:trPr>
          <w:trHeight w:val="211"/>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15)</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w:t>
            </w: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12"/>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4"/>
        </w:trPr>
        <w:tc>
          <w:tcPr>
            <w:tcW w:w="5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9"/>
              </w:rPr>
              <w:t>September 30, 2021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w w:val="99"/>
              </w:rPr>
              <w:t>September 30, 2021</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1"/>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06"/>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6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r>
      <w:tr>
        <w:trPr>
          <w:trHeight w:val="21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7,891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$219 and $192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$824 and $703 (Note 5; Note 9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6)</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4; Note 9 at VIEs)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$1,263 and $1,183 (Note 5; Note 9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7; Note 9 at VIEs)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4; Note 9 at VIEs)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162,615</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10)</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10)</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 at VIEs)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178,903</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 Cruise stock incentive awards (Note 18)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59,744</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40"/>
          </w:cols>
          <w:pgMar w:left="320" w:top="121"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w:t>
            </w:r>
          </w:p>
        </w:tc>
        <w:tc>
          <w:tcPr>
            <w:tcW w:w="0" w:type="dxa"/>
            <w:vAlign w:val="bottom"/>
          </w:tcPr>
          <w:p>
            <w:pPr>
              <w:spacing w:after="0"/>
              <w:rPr>
                <w:sz w:val="1"/>
                <w:szCs w:val="1"/>
                <w:color w:val="auto"/>
              </w:rPr>
            </w:pP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16)</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8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Pr>
          <w:p>
            <w:pPr>
              <w:spacing w:after="0"/>
              <w:rPr>
                <w:sz w:val="12"/>
                <w:szCs w:val="12"/>
                <w:color w:val="auto"/>
              </w:rPr>
            </w:pPr>
          </w:p>
        </w:tc>
        <w:tc>
          <w:tcPr>
            <w:tcW w:w="1340" w:type="dxa"/>
            <w:vAlign w:val="bottom"/>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Cruise Stock Incentive</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134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0" w:type="dxa"/>
            <w:vAlign w:val="bottom"/>
          </w:tcPr>
          <w:p>
            <w:pPr>
              <w:spacing w:after="0"/>
              <w:rPr>
                <w:sz w:val="1"/>
                <w:szCs w:val="1"/>
                <w:color w:val="auto"/>
              </w:rPr>
            </w:pPr>
          </w:p>
        </w:tc>
      </w:tr>
      <w:tr>
        <w:trPr>
          <w:trHeight w:val="201"/>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49,677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9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(redemption) of subsidiary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16)</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26,667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54,443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29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Issuance (redemption) of subsidiary stock</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 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60,321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9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Issuance (redemption) of subsidiary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16)</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27,015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66,774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(redemption) of subsidiary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45,554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(redemption) of subsidiary stock</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121" w:right="3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w:t>
      </w:r>
    </w:p>
    <w:p>
      <w:pPr>
        <w:spacing w:after="0" w:line="21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2021 Form 10-K. Except for per share amounts or as otherwise specified, amounts presented within tables are stated in millions. Certain columns and rows may not add due to rounding.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information presented on Stock Incentive Plans updates our Significant Accounting Policies information presented in our 2021 Form 10-K to reflect the effect of modifications made to Cruise stock incentive awards during the three months ended March 31, 2022. Refer to Note 18 to our condensed consolidated financial statements for additional information on the modifications made.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Our stock incentive plans include Restricted Stock Units (RSUs), Restricted Stock Awards (RSAs), Performance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(PSUs), stock options and awards that may be settled in our stock, the stock of our subsidiaries or in cash. We measure and record compensation expense based on the fair value of GM or Cruise's common stock on the date of grant for RSUs, RSAs and PSUs and the grant date fair value, determined utilizing a lattice model or the Black-Scholes formula for stock options and PSUs. We record compensation cost for service-based RSUs, RSAs, PSUs and service-based stock options on a straight-line basis over the entire vesting period, or for retirement eligible employees over the requisite service period. In March 2022, all outstanding RSUs that settle in Cruise’s common stock were modified to remove the liquidity vesting condition. Prospectively, RSUs that will settle in Cruise’s common stock will vest solely upon satisfaction of a service condition. Compensation cost for awards that do not have an established accounting grant date, but for which the service inception date has been established, or are settled in cash is based generally on the fair value of GM or Cruise's common stock at the end of each reporting period. Compensation cost is also recorded on stock issued to settle awards based on the fair value of Cruise's common stock until such time that the stock has been issued for more than six months. We use the graded vesting method to record compensation cost for stock options with market conditions over the lesser of the vesting period or the time period an employee becomes eligible to retain the award at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Not Yet Adopted </w:t>
      </w:r>
      <w:r>
        <w:rPr>
          <w:rFonts w:ascii="Times New Roman" w:cs="Times New Roman" w:eastAsia="Times New Roman" w:hAnsi="Times New Roman"/>
          <w:sz w:val="18"/>
          <w:szCs w:val="18"/>
          <w:color w:val="auto"/>
        </w:rPr>
        <w:t>In March 2022, the Financial Accounting Standards Board issued Accounting Standards Update (ASU) 2022-02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 Credit Losses (Topic 326): Troubled Debt Restructurings and Vintage Disclosures" (ASU 2022-02), which eliminates the accounting guidance for troubled debt restructurings (TDRs) by creditors that have adopted ASU 2016-13, "Financial Instruments - Credit Losses (Topic 326): Measurement of Credit Losses on Financial Instruments" and enhances certain disclosure requirements. The adoption of ASU 2022-02 is expected to be insignificant.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1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gridSpan w:val="2"/>
          </w:tcPr>
          <w:p>
            <w:pPr>
              <w:jc w:val="center"/>
              <w:ind w:right="161"/>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21"/>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GMNA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5"/>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GMI</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00" w:type="dxa"/>
            <w:vAlign w:val="bottom"/>
          </w:tcPr>
          <w:p>
            <w:pPr>
              <w:spacing w:after="0"/>
              <w:rPr>
                <w:sz w:val="11"/>
                <w:szCs w:val="11"/>
                <w:color w:val="auto"/>
              </w:rPr>
            </w:pPr>
          </w:p>
        </w:tc>
        <w:tc>
          <w:tcPr>
            <w:tcW w:w="980" w:type="dxa"/>
            <w:vAlign w:val="bottom"/>
            <w:gridSpan w:val="7"/>
          </w:tcPr>
          <w:p>
            <w:pPr>
              <w:jc w:val="right"/>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400" w:type="dxa"/>
            <w:vAlign w:val="bottom"/>
            <w:gridSpan w:val="3"/>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6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23,426</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2,246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5"/>
          </w:tcPr>
          <w:p>
            <w:pPr>
              <w:jc w:val="right"/>
              <w:ind w:right="2"/>
              <w:spacing w:after="0"/>
              <w:rPr>
                <w:sz w:val="20"/>
                <w:szCs w:val="20"/>
                <w:color w:val="auto"/>
              </w:rPr>
            </w:pPr>
            <w:r>
              <w:rPr>
                <w:rFonts w:ascii="Times New Roman" w:cs="Times New Roman" w:eastAsia="Times New Roman" w:hAnsi="Times New Roman"/>
                <w:sz w:val="16"/>
                <w:szCs w:val="16"/>
                <w:color w:val="auto"/>
                <w:w w:val="99"/>
              </w:rPr>
              <w:t>1,035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6"/>
                <w:szCs w:val="16"/>
                <w:color w:val="auto"/>
                <w:w w:val="99"/>
              </w:rPr>
              <w:t>3,354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3,354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26,779</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gridSpan w:val="2"/>
          </w:tcPr>
          <w:p>
            <w:pPr>
              <w:jc w:val="center"/>
              <w:ind w:right="141"/>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100,267</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2,405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92,907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104,140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113,627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79,379</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06"/>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83,231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83,237</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increased revenue by an insignificant amount and $290 million in the three months ended September 30, 2022 and 2021.</w:t>
      </w:r>
    </w:p>
    <w:p>
      <w:pPr>
        <w:spacing w:after="0" w:line="96"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Contract liabilities in our Automotive segments primarily consist of maintenance, extended warranty and other service contracts of $3.1 billion and $2.5 billion at September 30, 2022 and December 31, 2021, which are included in Accrued liabilities and Other liabilities. We recognized revenue of $256 million and $982 million related to contract liabilities in the three and nine months ended September 30, 2022 and $262 million and $951 million in the three and nine months ended September 30, 2021. We expect to recognize revenue of $550 million in the three months ending December 31, 2022 and $988 million, $518 million and $1.0 billion in the years ending December 31, 2023, 2024 and thereafter related to contract liabilities at September 30, 2022.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 billion and $1.6 billion in Cruise at September 30, 2022 and December 31, 2021.</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 billion and $1.5 billion in Cruise at September 30, 2022 and December 31, 2021.</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mortgage and asset-backed securities of $572 million at September 30, 2022 as these securities are not due at a single maturity date.</w:t>
      </w:r>
    </w:p>
    <w:p>
      <w:pPr>
        <w:spacing w:after="0" w:line="23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$441 million and $301 million in the three months ended September 30, 2022 and 2021 and $1.4 billion in the nine months ended September 30, 2022 and 2021. Net unrealized losses on available-for-sale debt securities were insignificant in the three months ended September 30, 2022 and 2021 and were $367 million and insignificant in the nine months ended September 30, 2022 and 2021. Cumulative unrealized losses on available-for-sale debt securities were $384 million and insignificant at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75"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right="540"/>
        <w:spacing w:after="0" w:line="285" w:lineRule="auto"/>
        <w:rPr>
          <w:sz w:val="20"/>
          <w:szCs w:val="20"/>
          <w:color w:val="auto"/>
        </w:rPr>
      </w:pPr>
      <w:r>
        <w:rPr>
          <w:rFonts w:ascii="Times New Roman" w:cs="Times New Roman" w:eastAsia="Times New Roman" w:hAnsi="Times New Roman"/>
          <w:sz w:val="18"/>
          <w:szCs w:val="18"/>
          <w:color w:val="auto"/>
        </w:rPr>
        <w:t>Restricted cash included in Other current assets Restricted cash included in Other assets</w:t>
      </w: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r>
      <w:tr>
        <w:trPr>
          <w:trHeight w:val="228"/>
        </w:trPr>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3"/>
        </w:trPr>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2"/>
        </w:trPr>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23,499</w:t>
            </w:r>
          </w:p>
        </w:tc>
      </w:tr>
      <w:tr>
        <w:trPr>
          <w:trHeight w:val="20"/>
        </w:trPr>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34"/>
        </w:trPr>
        <w:tc>
          <w:tcPr>
            <w:tcW w:w="900" w:type="dxa"/>
            <w:vAlign w:val="bottom"/>
          </w:tcPr>
          <w:p>
            <w:pPr>
              <w:spacing w:after="0"/>
              <w:rPr>
                <w:sz w:val="24"/>
                <w:szCs w:val="24"/>
                <w:color w:val="auto"/>
              </w:rPr>
            </w:pPr>
          </w:p>
        </w:tc>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80" w:type="dxa"/>
            <w:vAlign w:val="bottom"/>
          </w:tcPr>
          <w:p>
            <w:pPr>
              <w:spacing w:after="0"/>
              <w:rPr>
                <w:sz w:val="24"/>
                <w:szCs w:val="24"/>
                <w:color w:val="auto"/>
              </w:rPr>
            </w:pPr>
          </w:p>
        </w:tc>
      </w:tr>
      <w:tr>
        <w:trPr>
          <w:trHeight w:val="25"/>
        </w:trPr>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-946150</wp:posOffset>
            </wp:positionV>
            <wp:extent cx="7132955"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20"/>
            <w:col w:w="6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72,686</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64,702</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(2,044)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(1,839)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61,416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2"/>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2"/>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dealer cash management balances of $1.5 billion and $1.0 billion at September 30, 2022 and December 31, 2021. Under the cash management program, subject to certain conditions, a dealer may choose to reduce the amount of interest on its floorplan line by making principal payments to GM Financial in advance.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8"/>
        </w:trPr>
        <w:tc>
          <w:tcPr>
            <w:tcW w:w="4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2"/>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September 30, 2022 and December 31, 2021:</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Prime – FICO score 680 and greater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Near-prime – FICO score 620 to 679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Sub-prime – FICO score less than 620</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Retail finance receivables, net of fees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5"/>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6"/>
        </w:trPr>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17,901</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8,858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45,543</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71.8 %</w:t>
            </w:r>
          </w:p>
        </w:tc>
      </w:tr>
      <w:tr>
        <w:trPr>
          <w:trHeight w:val="206"/>
        </w:trPr>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r>
      <w:tr>
        <w:trPr>
          <w:trHeight w:val="215"/>
        </w:trPr>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15.1 %</w:t>
            </w:r>
          </w:p>
        </w:tc>
      </w:tr>
      <w:tr>
        <w:trPr>
          <w:trHeight w:val="25"/>
        </w:trPr>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12,296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63,461</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-579755</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-306705</wp:posOffset>
            </wp:positionV>
            <wp:extent cx="713295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500"/>
          </w:cols>
          <w:pgMar w:left="320" w:top="121"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Prime – FICO score 680 and greater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Near-prime – FICO score 620 to 679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Sub-prime – FICO score less than 620</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Retail finance receivables, net of fees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6"/>
        </w:trPr>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12,408</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39,419</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67.9 %</w:t>
            </w:r>
          </w:p>
        </w:tc>
      </w:tr>
      <w:tr>
        <w:trPr>
          <w:trHeight w:val="206"/>
        </w:trPr>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r>
      <w:tr>
        <w:trPr>
          <w:trHeight w:val="215"/>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r>
      <w:tr>
        <w:trPr>
          <w:trHeight w:val="25"/>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58,093</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-579755</wp:posOffset>
            </wp:positionV>
            <wp:extent cx="713295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-306705</wp:posOffset>
            </wp:positionV>
            <wp:extent cx="713295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21" w:right="339" w:bottom="1440" w:gutter="0" w:footer="0" w:header="0"/>
          <w:type w:val="continuous"/>
        </w:sectPr>
      </w:pPr>
    </w:p>
    <w:p>
      <w:pPr>
        <w:spacing w:after="0" w:line="11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$618 million and $602 million at September 30, 2022 and December 31, 2021. The following tables are consolidated summaries of the delinquency status of the outstanding amortized cost of retail finance receivables for each vintage of the portfolio at September 30, 2022 and December 31, 2021, as well as summary totals for September 30,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5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61,836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97.7 %</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Finance receivables more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Finance receivables more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than 30 days delinquent or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Retail finance receivables,</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63,461</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57,424</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fees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88"/>
        </w:trPr>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97.5 %</w:t>
            </w: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2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55"/>
        </w:trPr>
        <w:tc>
          <w:tcPr>
            <w:tcW w:w="2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23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55"/>
        </w:trPr>
        <w:tc>
          <w:tcPr>
            <w:tcW w:w="2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23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8"/>
        </w:trPr>
        <w:tc>
          <w:tcPr>
            <w:tcW w:w="2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59"/>
        </w:trPr>
        <w:tc>
          <w:tcPr>
            <w:tcW w:w="23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outstanding amortized cost of retail finance receivables that are considered TDRs was $2.0 billion at September 30, 2022, including $217 million in nonaccrual loans.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financings, primarily for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models are used to assign a risk rating to each dealer. GM Financial performs periodic credit reviews of each dealership and adjusts the dealership's risk rating, if necessary. There were no commercial finance receivables on nonaccrual status at September 30, 2022.</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commercial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September 30, 2022 and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finance receivables, net of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finance receivables, net of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Floorplan advances comprise 94% of the total revolving balance at September 30, 2022 and December 31, 2021. Dealer term loans are presented by year of origination.</w:t>
      </w:r>
    </w:p>
    <w:p>
      <w:pPr>
        <w:spacing w:after="0" w:line="185"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 shows transactions between our Automotive segments and GM Financial.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6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net due from GM consolidated dealers</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Subvention receivable(b)</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901"/>
        </w:trPr>
        <w:tc>
          <w:tcPr>
            <w:tcW w:w="5360" w:type="dxa"/>
            <w:vAlign w:val="bottom"/>
          </w:tcPr>
          <w:p>
            <w:pPr>
              <w:spacing w:after="0"/>
              <w:rPr>
                <w:sz w:val="24"/>
                <w:szCs w:val="24"/>
                <w:color w:val="auto"/>
              </w:rPr>
            </w:pPr>
          </w:p>
        </w:tc>
        <w:tc>
          <w:tcPr>
            <w:tcW w:w="246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8" w:lineRule="exact"/>
        <w:rPr>
          <w:rFonts w:ascii="Times New Roman" w:cs="Times New Roman" w:eastAsia="Times New Roman" w:hAnsi="Times New Roman"/>
          <w:sz w:val="16"/>
          <w:szCs w:val="16"/>
          <w:color w:val="auto"/>
        </w:rPr>
      </w:pPr>
    </w:p>
    <w:p>
      <w:pPr>
        <w:ind w:left="340" w:right="20" w:hanging="333"/>
        <w:spacing w:after="0" w:line="255"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$732 million and $828 million in the three months ended September 30, 2022 and 2021 and $1.7 billion and $2.9 billion in the nine months ended September 30, 2022 and 2021.</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$275 million and $600 million on its common stock in the three months ended September 30, 2022 and 2021 and $1.0 billion and $1.8 billion in the nine months ended September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Equipment on Operating Leases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47,423</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estimated residual value of our leased assets at the end of the lease term was $25.7 billion and $29.1 billion at September 30, 2022 and December 31, 2021.</w:t>
      </w:r>
    </w:p>
    <w:p>
      <w:pPr>
        <w:spacing w:after="0" w:line="19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and $1.6 billion in the three months ended September 30, 2022 and 2021 and $3.6 billion and $4.8 billion in the nine months ended September 30, 2022 and 2021.</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887"/>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1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equity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since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bl>
    <w:p>
      <w:pPr>
        <w:spacing w:after="0" w:line="151"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$413 million and an insignificant amount at September 30, 2022 and December 31, 2021. Dividends received from our nonconsolidated affiliates were $491 million and $709 million in the nine months ended September 30, 2022 and September 30, 2021. Undistributed earnings from our nonconsolidated affiliates were $2.2 billion and $2.1 billion at September 30, 2022 and December 31, 2021.</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Variable Interest Entities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Automotive Financing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net of fees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$1.5 billion and liabilities were insignificant related to our nonconsolidated VIEs at September 30, 2022. The carrying amounts of assets were approximately $850 million and liabilities were insignificant related to our nonconsolidated VIEs at December 31, 2021. Our maximum exposure to loss as a result of our involvement with these VIEs was approximately $3.2 billion and $2.1 billion, inclusive of approximately $1.6 billion and $1.2 billion in committed capital contributions to Ultium Cells LLC, at September 30, 2022 and December 31, 2021. Our maximum exposure to loss, and required capital contributions, could increase by $750 million depending on Ultium Cells LLC’s ability to raise debt proceeds.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19,995</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362</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17,381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20,569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19,085</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1,484</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15,208</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$512 million at September 30, 2022 and December 31, 2021.</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w:t>
      </w:r>
    </w:p>
    <w:p>
      <w:pPr>
        <w:spacing w:after="0" w:line="175"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In August 2022, we issued $2.25 billion in aggregate principal amount of senior unsecured notes under our new Sustainable Finance Framework with a weighted average interest rate of 5.51% and maturity dates in 2029 and 2032. We intend to allocate an amount equal to the net proceeds from these senior unsecured notes to finance or refinance, in whole or in part, new or existing green projects, assets, or activities undertaken or owned by the Company that meet one or more eligibility criteria outlined in our Sustainable Finance Framework.</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40,733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93,823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9 to our condensed consolidated financial statements for additional information on GM Financial's involvement with VIEs. In the nine months ended September 30, 2022, GM Financial renewed revolving credit facilities with total borrowing capacity of $18.3 billion and issued $18.0 billion in aggregate principal amount of securitization notes payable with an initial weighted average interest rate of 2.85% and maturity dates ranging from 2023 to 2030.</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nine months ended September 30, 2022, GM Financial issued $7.7 billion in aggregate principal amount of senior notes with an initial weighted average interest rate of 3.39% and maturity dates ranging from 2024 to 2032.</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of derivative financial instruments in our automotive operations: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3"/>
                <w:szCs w:val="13"/>
                <w:color w:val="auto"/>
              </w:rPr>
            </w:pPr>
          </w:p>
        </w:tc>
        <w:tc>
          <w:tcPr>
            <w:tcW w:w="14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Stellantis warrants(b)</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September 30, 2022 and December 31, 2021 and the gains/losses included in our condensed consolidated income statements for the three and nine months ended September 30, 2022 and 2021 were insignificant, unless otherwise noted.</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6"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2021, we held 39.7 million warrants in Stellantis N.V. (Stellantis), which we exercised in September 2022. Upon exercise, the warrants converted into 69.1 million common shares of Stellantis, which we immediately sold back to Stellantis. Total net pre-tax proceeds, including dividends received, in connection with this transaction were approximately $1.1 billion. The fair value of these warrants, located in Other assets, was $1.4 billion at December 31, 2021. We recorded an insignificant gain and an insignificant loss in Interest income and other non-operating income in the three months ended September 30, 2022 and 2021 and a loss of $363 million and a gain of $333 million in the nine months ended September 30, 2022 and 2021.</w:t>
      </w:r>
    </w:p>
    <w:p>
      <w:pPr>
        <w:spacing w:after="0" w:line="202" w:lineRule="exact"/>
        <w:rPr>
          <w:sz w:val="20"/>
          <w:szCs w:val="20"/>
          <w:color w:val="auto"/>
        </w:rPr>
      </w:pPr>
    </w:p>
    <w:p>
      <w:pPr>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4"/>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4"/>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3"/>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instruments(b)</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nine months ended September 30, 2022 and 2021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72"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$471 million and $376 million of collateral from counterparties available for netting against GM Financial's asset positions, and posted $1.4 billion and an insignificant amount of collateral to counterparties available for netting against GM Financial's liability positions at September 30, 2022 and December 31, 2021.</w:t>
      </w:r>
    </w:p>
    <w:p>
      <w:pPr>
        <w:spacing w:after="0" w:line="192"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61"/>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right"/>
              <w:ind w:right="101"/>
              <w:spacing w:after="0" w:line="114"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66"/>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and $246 million of unamortized gains remaining on hedged items for which hedge accounting has been discontinued at September 30, 2022 and December 31,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Warranty and Related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5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September 30, 2022. Refer to Note 14 to our condensed consolidated financial statements for more details.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Pensions and Other Postretirement Benefits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10"/>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174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of $376 million and $484 million in the three months ended September 30, 2022 and 2021 and $1.1 billion and $1.5 billion in the nine months ended September 30, 2022 and 2021 are presented in Interest income and other non-operating income,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2022 and December 31, 2021, we had accruals of $1.1 billion and $1.4 billion in Accrued liabilities and Other liabilities. In many matters, it is inherently difficult to determine whether loss is probable or reasonably possible or to estimate the size or range of the possible loss.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GM Korea Company (GM Korea) is party to litigation with current and former subcontract workers over allegations that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(an intermediate-level appellate court) ruled against GM Korea in one of the subcontract worker claims. Although GM Korea has appealed this decision to the Supreme Court of the Republic of Korea (Korea Supreme Court), GM Korea has since hired certain of its subcontract workers as full-time employees. At September 30, 2022, our accrual covering certain asserted claims and claims that we believe are probable of assertion and for which liability is probable was approximately $237 million. We estimate the reasonably possible loss in excess of amounts accrued for other current subcontract workers who may assert similar claims to be approximately $86 million at September 30, 2022. We are currently unable to estimate any reasonably possible material loss or range of loss that may result from additional claims that may be asserted by former subcontract workers.</w:t>
      </w:r>
    </w:p>
    <w:p>
      <w:pPr>
        <w:spacing w:after="0" w:line="21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including, but not limited to,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one certified class action pending against GM in federal courts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the certified class action proceeding. We do not believe that the verdict is supported by the evidence and plan to pursue post-trial motions and, if necessary, appeal. We are currently unable to estimate any reasonably possible material loss or range of loss that may result from the putative class action proceedings and have previously accrued an immaterial amount related to the certified class action proceeding.</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taxes and other non-income tax-related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September 30, 2022. For indirect tax-related matters, we estimate our reasonably possible loss in excess of amounts accrued to be up to approximately $1.0 billion at September 30, 2022.</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Takata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federal courts in the U.S., in the Provincial Courts in Canada, and in Mexico, arising out of allegations that airbag inflators manufactured by Takata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electric vehicles (EVs) due to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two 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 (LG), and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materially higher or lower. For 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The Company entered into a guarantee for the benefit of Stellantis, pursuant to which the Company agreed to guarantee the Seller's obligation to indemnify Stellantis.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in the three months ended September 30, 2022, we agreed to indemnify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Patent Royalty Matters </w:t>
      </w:r>
      <w:r>
        <w:rPr>
          <w:rFonts w:ascii="Times New Roman" w:cs="Times New Roman" w:eastAsia="Times New Roman" w:hAnsi="Times New Roman"/>
          <w:sz w:val="18"/>
          <w:szCs w:val="18"/>
          <w:color w:val="auto"/>
        </w:rPr>
        <w:t>Several owners of patents are seeking past royalties from various automotive manufacturers, including GM, for the use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As of March 31, 2022, we had accrued approximately $200 million relating to these matters. We have resolved substantially all of these matters and, accordingly, our accrual was insignificant as of September 30, 2022. We currently anticipate no material reasonably possible loss in excess of amounts accrued.</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$573 million and $587 million in Accrued liabilities and Other liabilities at September 30, 2022 and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2021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2022 to 2027,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$3.6 billion and $3.1 billion for these guarantees at September 30, 2022 and December 31, 2021, the majority of which relates to the indemnification agreements.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 the amount of any potential future payments. We are also exposed to residual value guarantees associated with certain sales to rental car companies.</w:t>
      </w:r>
    </w:p>
    <w:p>
      <w:pPr>
        <w:spacing w:after="0" w:line="25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September 30, 2022, Income tax expense of $845 million was primarily due to tax expense attributable to entities included in our effective tax rate calculation. In the three months ended September 30, 2021, Income tax expense of $152 million was primarily due to tax expense attributable to entities included in our effective tax rate calculation, partially offset by tax benefit related to a deduction for an investment in a subsidiary.</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2022, Income tax expense of $1.3 billion was primarily due to tax expense attributable to entities included in our effective tax rate calculation, partially offset by the release of a valuation allowance against certain Cruise deferred tax assets that were considered realizable due to the reconsolidation of Cruise for U.S. tax purposes. In the nine months ended September 30, 2021, Income tax expense of $2.3 billion was primarily due to tax expense attributable to entities included in our effective tax rate calculation and the establishment of a valuation allowance against Cruise deferred tax assets that were considered no longer realizable, partially offset by tax benefit related to a deduction for an investment in a subsidiary.</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2022, GM entered into a Share Purchase Agreement with SoftBank Vision Fund (AIV M2) L.P. (SoftBank), pursuant to which GM acquired SoftBank’s equity ownership stake in GM Cruise Holdings LLC (Cruise Holdings) and, separately, made an additional $1.35 billion investment in Cruise in place of SoftBank. As of March 31, 2022, GM’s ownership in Cruise increased above the 80% threshold which allowed for inclusion of Cruise in our U.S. Federal consolidated income tax return and the release of a valuation allowance of $482 million against certain Cruise deferred tax assets. Refer to Note 16 to our condensed consolidated financial statements for additional information regarding the Share Purchase Agreement with SoftBank.</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At September 30, 2022, we had $19.8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11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Preferred and Common Stock </w:t>
      </w:r>
      <w:r>
        <w:rPr>
          <w:rFonts w:ascii="Times New Roman" w:cs="Times New Roman" w:eastAsia="Times New Roman" w:hAnsi="Times New Roman"/>
          <w:sz w:val="18"/>
          <w:szCs w:val="18"/>
          <w:color w:val="auto"/>
        </w:rPr>
        <w:t>We have 2.0 billion shares of preferred stock and 5.0 billion shares of common stock authorized for issuance. We had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issued and outstanding at September 30, 2022 and December 31, 2021. We had 1.4 billion and 1.5 billion shares of common stock issued and outstanding at September 30, 2022 and December 31, 2021.</w:t>
      </w:r>
    </w:p>
    <w:p>
      <w:pPr>
        <w:spacing w:after="0" w:line="183"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 were $0.09 and our total dividends paid on common stock were $130 million for the three and nine months ended September 30, 2022. Dividends were not declared or paid on our common stock for the nine months ended September 30, 2021.</w:t>
      </w:r>
    </w:p>
    <w:p>
      <w:pPr>
        <w:spacing w:after="0" w:line="21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August 2022, our Board of Directors increased the capacity under our previously announced common stock repurchase program to $5.0 billion from the $3.3 billion that remained under the program as of June 30, 2022. In the three and nine months ended September 30, 2022, we purchased 38 million shares of our outstanding common stock for $1.5 billion as part of the program. We did not purchase shares of our outstanding common stock in the nine months ended September 30,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17"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Preferred Shares </w:t>
      </w:r>
      <w:r>
        <w:rPr>
          <w:rFonts w:ascii="Times New Roman" w:cs="Times New Roman" w:eastAsia="Times New Roman" w:hAnsi="Times New Roman"/>
          <w:sz w:val="18"/>
          <w:szCs w:val="18"/>
          <w:color w:val="auto"/>
        </w:rPr>
        <w:t>In 2021, Cruise Holdings issued $2.7 billion of Class G Preferred Shares (Cruise Class G Preferred Shares) to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2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Cruise Class G Preferred Shares participate pari passu with holders of Cruise Holdings common stock and Class F Preferred Shares (Cruise Class F Preferred Shares) in any dividends declared. The Cruise Class G and Cruise Class F Preferred Shares convert into the class of shares to be issued to the public in an initial public offering (IPO) at specified exchange ratios. No covenants or other events of default exist that can trigger redemption of the Cruise Class G and Cruise Class F Preferred Shares. The Cruise Class G and Cruise Class F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Cruise Class A-1, Class F and Class G Preferred Shares for $2.1 billion and made an additional $1.35 billion investment in Cruise in place of SoftBank. SoftBank no longer has an ownership interest in or has any rights with respect to Cruise.</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three and nine months ended September 30, 2022, Cruise Holdings issued an insignificant amount and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$0.8 billion of Class B Common Shares to settle vested awards under Cruise's 2018 Employee Incentive Plan and issued an insignificant amount and approximately $0.5 billion of Class B Common Shares, primarily to us, to fund the payment of statutory tax withholding obligations resulting from the settlement or exercise of vested awards. Also, GM conducted quarterly tender offers, and paid an insignificant amount and approximately $0.3 billion in cash to settle tendered Cruise Class B Common Shares during the three and nine months ended September 30, 2022. The Class B Common Shares are classified as noncontrolling interests in our condensed consolidated financial statements except for certain shares that are liability classified that have a recorded value of approximately $0.3 billion at September 30, 2022. Refer to Note 18 for additional information on Cruise stock incentive awards.</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2022, the effect on the equity attributable to us for changes in our ownership interest in Cruise was insignificant. For the nine months ended September 30, 2022, net income attributable to shareholders and transfers to the noncontrolling interest in Cruise and other subsidiaries was $7.1 billion, which included a $820 million decrease in equity attributable to us, mainly due to the redemption of Cruise preferred shares.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 reclassification adjustment,</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tax(b)</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tax(b)</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tax(b)</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and reclassification adjustment were insignificant in the three and nine months ended September 30, 2022 and 2021.</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nine months ended September 30, 2022 and 2021.</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2021 Form 10-K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$909 million deemed dividend related to the redemption of Cruise preferred shares from SoftBank in the nine months ended September 30, 2022.</w:t>
      </w:r>
    </w:p>
    <w:p>
      <w:pPr>
        <w:spacing w:after="0" w:line="4" w:lineRule="exact"/>
        <w:rPr>
          <w:rFonts w:ascii="Times New Roman" w:cs="Times New Roman" w:eastAsia="Times New Roman" w:hAnsi="Times New Roman"/>
          <w:sz w:val="16"/>
          <w:szCs w:val="16"/>
          <w:color w:val="auto"/>
        </w:rPr>
      </w:pPr>
    </w:p>
    <w:p>
      <w:pPr>
        <w:ind w:left="340" w:right="20" w:hanging="333"/>
        <w:spacing w:after="0" w:line="272"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and RSUs at September 30, 2022 and 2021 were excluded from the computation of diluted earnings per share (EPS) because the securities would have had an antidilutive effect.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Incentive Plans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Stock Incentive Awards </w:t>
      </w:r>
      <w:r>
        <w:rPr>
          <w:rFonts w:ascii="Times New Roman" w:cs="Times New Roman" w:eastAsia="Times New Roman" w:hAnsi="Times New Roman"/>
          <w:sz w:val="18"/>
          <w:szCs w:val="18"/>
          <w:color w:val="auto"/>
        </w:rPr>
        <w:t>We grant to certain employees RSUs, RSAs, PSUs and stock options (collectively, stock incentive awards).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related to the above awards was $95 million and $82 million in the three months ended September 30, 2022 and 2021 and $267 million and $286 million in the nine months ended September 30, 2022 and 2021. At September 30, 2022, the total unrecognized compensation expense for nonvested equity awards granted was $350 million. This expense is expected to be recorded over a weighted-average period of 1.5 years.</w:t>
      </w:r>
    </w:p>
    <w:p>
      <w:pPr>
        <w:spacing w:after="0" w:line="188"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Stock Incentive Awards </w:t>
      </w:r>
      <w:r>
        <w:rPr>
          <w:rFonts w:ascii="Times New Roman" w:cs="Times New Roman" w:eastAsia="Times New Roman" w:hAnsi="Times New Roman"/>
          <w:sz w:val="18"/>
          <w:szCs w:val="18"/>
          <w:color w:val="auto"/>
        </w:rPr>
        <w:t>Cruise granted RSUs and stock options that will settle in common shares of Cruise Holdings in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2022 and 2021.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In addition, at Cruise's election, GM intends to conduct quarterly tender offers whereby holders of Cruise Class B Common Shares issued to settle vested awards can tender their shares generally at the fair value of Cruise’s common stock. The planned tenders result in certain awards to be classified as liabilities and other awards to be presented in temporary equity, which triggers the immediate recognition of incremental compensation expense associated with the stock options.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Stock options vest ratably over four to 10 years, as defined in the terms of each award. Stock options expire 10 years from the grant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3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Cruise Restricted Stock Units</w:t>
            </w:r>
          </w:p>
        </w:tc>
        <w:tc>
          <w:tcPr>
            <w:tcW w:w="1000" w:type="dxa"/>
            <w:vAlign w:val="bottom"/>
          </w:tcPr>
          <w:p>
            <w:pPr>
              <w:spacing w:after="0"/>
              <w:rPr>
                <w:sz w:val="16"/>
                <w:szCs w:val="16"/>
                <w:color w:val="auto"/>
              </w:rPr>
            </w:pPr>
          </w:p>
        </w:tc>
        <w:tc>
          <w:tcPr>
            <w:tcW w:w="13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Cruise Stock Options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10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1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0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 or exercised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September 30, 2022(a)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23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fair values include the impact of the remeasurement triggered by the modification. Post modification, certain awards are liability-awards resulting in ongoing remeasurement based on changes to the awards' fair value.</w:t>
      </w:r>
    </w:p>
    <w:p>
      <w:pPr>
        <w:spacing w:after="0" w:line="179"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Our weighted-average assumptions used to value Cruise stock options are a dividend yield of 0.00% and 0.00%, expected volatility of 57.26% and 57.03%, a risk-free interest rate of 2.47% and 1.31% and an expected option life of 6.57 and 5.49 years for options issued during the nine months ended September 30, 2022 and 2021. The expected volatility is based on the historical volatility of comparable public company data as Cruise Holdings is not publicly traded and therefore, does not have any trading history of its common stock.</w:t>
      </w:r>
    </w:p>
    <w:p>
      <w:pPr>
        <w:spacing w:after="0" w:line="210"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$150 million for the three months ended September 30, 2022 and an insignificant amount for the three months ended September 30, 2021. Total compensation expense related to Cruise Holdings' share-based awards was $1.5 billion for the nine months ended September 30, 2022, which, when excluding the compensation expense in the period April 1, 2022 through September 30, 2022, primarily represents the impact of the modification to outstanding awards, and an insignificant amount for the nine months ended September 30, 2021. GM conducted quarterly tender offers and paid an insignificant amount and approximately $0.3 billion in cash to settle tendered Cruise Class B Common Shares during the three and nine months ended September 30, 2022. No cash was paid to settle share-based awards for the three months ended March 31, 2022. Total unrecognized compensation expense for Cruise Holdings’ nonvested equity awards granted was $1.7 billion at September 30, 2022. Total units outstanding were 86 million at September 30, 2022. The expense related to RSUs and stock options is expected to be recorded over a weighted-average period of 1.8 years.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and intersegment balances. All intersegment balances and transactions have been eliminated in consolidation.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4,097</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4"/>
              </w:rPr>
              <w:t>(59,941)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118,917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260,529</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bl>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2,922</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8"/>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9,234</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4"/>
              </w:rPr>
              <w:t>(46,752)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238,557</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3,081</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280" w:hanging="273"/>
        <w:spacing w:after="0"/>
        <w:tabs>
          <w:tab w:leader="none" w:pos="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restructuring charges related to Cadillac dealer strategy in GMNA.</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At and For the Nine Months Ended September 30, 2022</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21"/>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4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 and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92,907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104,140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9,489</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113,627</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0"/>
        </w:trPr>
        <w:tc>
          <w:tcPr>
            <w:tcW w:w="2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8,735</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w:t>
            </w:r>
          </w:p>
        </w:tc>
        <w:tc>
          <w:tcPr>
            <w:tcW w:w="1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10,675</w:t>
            </w:r>
          </w:p>
        </w:tc>
      </w:tr>
      <w:tr>
        <w:trPr>
          <w:trHeight w:val="18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r>
      <w:tr>
        <w:trPr>
          <w:trHeight w:val="169"/>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9,009</w:t>
            </w:r>
          </w:p>
        </w:tc>
      </w:tr>
      <w:tr>
        <w:trPr>
          <w:trHeight w:val="169"/>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w:t>
            </w:r>
          </w:p>
        </w:tc>
      </w:tr>
      <w:tr>
        <w:trPr>
          <w:trHeight w:val="17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7,701</w:t>
            </w:r>
          </w:p>
        </w:tc>
      </w:tr>
      <w:tr>
        <w:trPr>
          <w:trHeight w:val="121"/>
        </w:trPr>
        <w:tc>
          <w:tcPr>
            <w:tcW w:w="238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82"/>
        </w:trPr>
        <w:tc>
          <w:tcPr>
            <w:tcW w:w="2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3"/>
        </w:trPr>
        <w:tc>
          <w:tcPr>
            <w:tcW w:w="23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7,935</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8,509</w:t>
            </w:r>
          </w:p>
        </w:tc>
      </w:tr>
      <w:tr>
        <w:trPr>
          <w:trHeight w:val="169"/>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Impairment charges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0" w:hanging="273"/>
        <w:spacing w:after="0"/>
        <w:tabs>
          <w:tab w:leader="none" w:pos="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resolution of substantially all royalty matters accrued with respect to past-year vehicle sales in GMNA; and charges related to the one-time modification of Cruise stock incentive awards.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3"/>
                <w:szCs w:val="13"/>
                <w:b w:val="1"/>
                <w:bCs w:val="1"/>
                <w:color w:val="auto"/>
              </w:rPr>
              <w:t>At and For the Nine Months Ended September 30, 2021</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21"/>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83,231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10,187</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93,420</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0"/>
        </w:trPr>
        <w:tc>
          <w:tcPr>
            <w:tcW w:w="2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11,456</w:t>
            </w:r>
          </w:p>
        </w:tc>
      </w:tr>
      <w:tr>
        <w:trPr>
          <w:trHeight w:val="18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w:t>
            </w:r>
          </w:p>
        </w:tc>
      </w:tr>
      <w:tr>
        <w:trPr>
          <w:trHeight w:val="16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(2,300)</w:t>
            </w:r>
          </w:p>
        </w:tc>
      </w:tr>
      <w:tr>
        <w:trPr>
          <w:trHeight w:val="17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w:t>
            </w:r>
          </w:p>
        </w:tc>
      </w:tr>
      <w:tr>
        <w:trPr>
          <w:trHeight w:val="121"/>
        </w:trPr>
        <w:tc>
          <w:tcPr>
            <w:tcW w:w="240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(loss)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8,278</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w:t>
            </w: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280" w:hanging="273"/>
        <w:spacing w:after="0"/>
        <w:tabs>
          <w:tab w:leader="none" w:pos="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restructuring charges related to Cadillac dealer strategy in GMNA and an adjustment related to unique events associated with Korea Supreme Court decisions related to our salaried workers in GMI.</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2021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2021 Form 10-K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Our non-GAAP measures include: EBIT-adjusted, presented net of noncontrolling interests; EBT-adjusted for our GM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color w:val="auto"/>
        </w:rPr>
        <w:t>EBIT-adjusted is presented net of noncontrolling interests and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color w:val="auto"/>
        </w:rPr>
        <w:t>EPS-diluted-adjusted is used by management and can be used by investors to review our consolidated diluted EPS results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color w:val="auto"/>
        </w:rPr>
        <w:t>ETR-adjusted is used by management and can be used by investors to review the consolidated effective tax rate for our core operations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color w:val="auto"/>
        </w:rPr>
        <w:t>Adjusted automotive free cash flow is used by management and can be used by investors to review the liquidity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under U.S. GAAP to EBIT (loss)-adjusted: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r>
      <w:tr>
        <w:trPr>
          <w:trHeight w:val="188"/>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5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compensation modifications(a)</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Patent royalty matters(b)</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Brazil indirect tax matters(c)</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Cadillac dealer strategy(d)</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8"/>
        </w:trPr>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GMI restructuring(e)</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 Korea wage litigation(f)</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520" w:type="dxa"/>
            <w:vAlign w:val="bottom"/>
          </w:tcPr>
          <w:p>
            <w:pPr>
              <w:ind w:left="160"/>
              <w:spacing w:after="0" w:line="175" w:lineRule="exact"/>
              <w:rPr>
                <w:sz w:val="20"/>
                <w:szCs w:val="20"/>
                <w:color w:val="auto"/>
              </w:rPr>
            </w:pPr>
            <w:r>
              <w:rPr>
                <w:rFonts w:ascii="Times New Roman" w:cs="Times New Roman" w:eastAsia="Times New Roman" w:hAnsi="Times New Roman"/>
                <w:sz w:val="18"/>
                <w:szCs w:val="18"/>
                <w:color w:val="auto"/>
              </w:rPr>
              <w:t>Ignition switch recall and related legal</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2"/>
        </w:trPr>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matters(g)</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one-time modification of Cruise stock incentive awards.</w:t>
      </w:r>
    </w:p>
    <w:p>
      <w:pPr>
        <w:spacing w:after="0" w:line="11" w:lineRule="exact"/>
        <w:rPr>
          <w:rFonts w:ascii="Times New Roman" w:cs="Times New Roman" w:eastAsia="Times New Roman" w:hAnsi="Times New Roman"/>
          <w:sz w:val="16"/>
          <w:szCs w:val="16"/>
          <w:color w:val="auto"/>
        </w:rPr>
      </w:pPr>
    </w:p>
    <w:p>
      <w:pPr>
        <w:ind w:left="340" w:hanging="333"/>
        <w:spacing w:after="0" w:line="251"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a settlement with third parties in the three months ended December 31, 2021 relating to retrospective recoveries of indirect taxes in Brazil realized in prior periods.</w:t>
      </w: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Cadillac dealers from the network as part of Cadillac's EV strategy.</w:t>
      </w:r>
    </w:p>
    <w:p>
      <w:pPr>
        <w:spacing w:after="0" w:line="7" w:lineRule="exact"/>
        <w:rPr>
          <w:rFonts w:ascii="Times New Roman" w:cs="Times New Roman" w:eastAsia="Times New Roman" w:hAnsi="Times New Roman"/>
          <w:sz w:val="16"/>
          <w:szCs w:val="16"/>
          <w:color w:val="auto"/>
        </w:rPr>
      </w:pPr>
    </w:p>
    <w:p>
      <w:pPr>
        <w:jc w:val="both"/>
        <w:ind w:left="340" w:hanging="333"/>
        <w:spacing w:after="0" w:line="251"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a strategic decision to rationalize our core operations by exiting or significantly reducing our presence in various international markets to focus resources on opportunities expected to deliver higher returns. This adjustment primarily consists of employee separation charges in the three months ended December 31, 2020.</w:t>
      </w: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Korea Supreme Court decisions related to our salaried workers.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diluted earnings (loss)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4"/>
          </w:tcPr>
          <w:p>
            <w:pPr>
              <w:spacing w:after="0"/>
              <w:rPr>
                <w:sz w:val="2"/>
                <w:szCs w:val="2"/>
                <w:color w:val="auto"/>
              </w:rPr>
            </w:pPr>
          </w:p>
        </w:tc>
      </w:tr>
      <w:tr>
        <w:trPr>
          <w:trHeight w:val="188"/>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5"/>
        </w:trPr>
        <w:tc>
          <w:tcPr>
            <w:tcW w:w="3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5"/>
              </w:rPr>
              <w:t>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5"/>
              </w:rPr>
              <w:t>0.65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adjustment(d)</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5"/>
              </w:rPr>
              <w:t>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w w:val="95"/>
              </w:rPr>
              <w:t>5.48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 for the details of each individual adjustment.</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jc w:val="both"/>
        <w:ind w:left="340" w:hanging="333"/>
        <w:spacing w:after="0" w:line="223"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consist of tax benefit related to the release of a valuation allowance against deferred tax assets considered realizable as a result of Cruise tax reconsolidation in the nine months ended September 30, 2022, tax benefit related to a deduction for an investment in a subsidiary in the three months ended September 30, 2021 and tax expense related to the establishment of a valuation allowance against Cruise deferred tax assets in the nine months ended September 30, 2021. These adjustments were excluded because of the unique nature of these events and significant impacts of valuation allowances are not considered part of our core operations.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deemed dividend related to the redemption of Cruise preferred shares from SoftBank in the nine months ended September 30, 2022.</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gridSpan w:val="6"/>
          </w:tcPr>
          <w:p>
            <w:pPr>
              <w:spacing w:after="0"/>
              <w:rPr>
                <w:sz w:val="2"/>
                <w:szCs w:val="2"/>
                <w:color w:val="auto"/>
              </w:rPr>
            </w:pPr>
          </w:p>
        </w:tc>
        <w:tc>
          <w:tcPr>
            <w:tcW w:w="2420" w:type="dxa"/>
            <w:vAlign w:val="bottom"/>
            <w:gridSpan w:val="6"/>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2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6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6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Effective tax</w:t>
            </w:r>
          </w:p>
        </w:tc>
        <w:tc>
          <w:tcPr>
            <w:tcW w:w="8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Effective tax</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520" w:type="dxa"/>
            <w:vAlign w:val="bottom"/>
          </w:tcPr>
          <w:p>
            <w:pPr>
              <w:jc w:val="right"/>
              <w:ind w:right="18"/>
              <w:spacing w:after="0" w:line="121" w:lineRule="exact"/>
              <w:rPr>
                <w:sz w:val="20"/>
                <w:szCs w:val="20"/>
                <w:color w:val="auto"/>
              </w:rPr>
            </w:pPr>
            <w:r>
              <w:rPr>
                <w:rFonts w:ascii="Times New Roman" w:cs="Times New Roman" w:eastAsia="Times New Roman" w:hAnsi="Times New Roman"/>
                <w:sz w:val="13"/>
                <w:szCs w:val="13"/>
                <w:b w:val="1"/>
                <w:bCs w:val="1"/>
                <w:color w:val="auto"/>
                <w:w w:val="92"/>
              </w:rPr>
              <w:t>expense</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520" w:type="dxa"/>
            <w:vAlign w:val="bottom"/>
          </w:tcPr>
          <w:p>
            <w:pPr>
              <w:jc w:val="right"/>
              <w:ind w:right="18"/>
              <w:spacing w:after="0" w:line="121" w:lineRule="exact"/>
              <w:rPr>
                <w:sz w:val="20"/>
                <w:szCs w:val="20"/>
                <w:color w:val="auto"/>
              </w:rPr>
            </w:pPr>
            <w:r>
              <w:rPr>
                <w:rFonts w:ascii="Times New Roman" w:cs="Times New Roman" w:eastAsia="Times New Roman" w:hAnsi="Times New Roman"/>
                <w:sz w:val="13"/>
                <w:szCs w:val="13"/>
                <w:b w:val="1"/>
                <w:bCs w:val="1"/>
                <w:color w:val="auto"/>
                <w:w w:val="92"/>
              </w:rPr>
              <w:t>expense</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580" w:type="dxa"/>
            <w:vAlign w:val="bottom"/>
          </w:tcPr>
          <w:p>
            <w:pPr>
              <w:jc w:val="center"/>
              <w:ind w:right="41"/>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2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100" w:type="dxa"/>
            <w:vAlign w:val="bottom"/>
          </w:tcPr>
          <w:p>
            <w:pPr>
              <w:spacing w:after="0"/>
              <w:rPr>
                <w:sz w:val="15"/>
                <w:szCs w:val="15"/>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3"/>
              </w:rPr>
              <w:t>(benefit)</w:t>
            </w:r>
          </w:p>
        </w:tc>
        <w:tc>
          <w:tcPr>
            <w:tcW w:w="100" w:type="dxa"/>
            <w:vAlign w:val="bottom"/>
          </w:tcPr>
          <w:p>
            <w:pPr>
              <w:spacing w:after="0"/>
              <w:rPr>
                <w:sz w:val="15"/>
                <w:szCs w:val="15"/>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$ 1,308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14.5 %</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$ 10,479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8"/>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$ 2,086</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20.7 %</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$ 10,761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2,298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5"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(loss) per common share under U.S. GAAP to EPS-diluted-adjusted within this section of MD&amp;A for adjustment details.</w:t>
      </w:r>
    </w:p>
    <w:p>
      <w:pPr>
        <w:spacing w:after="0" w:line="22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88"/>
        </w:trPr>
        <w:tc>
          <w:tcPr>
            <w:tcW w:w="6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52.4</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21.2 %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(loss) attributable to stockholders.</w:t>
      </w: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(loss)-adjusted(a)</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15.2</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52.4</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17.3</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80" w:type="dxa"/>
            <w:vAlign w:val="bottom"/>
          </w:tcPr>
          <w:p>
            <w:pPr>
              <w:spacing w:after="0"/>
              <w:rPr>
                <w:sz w:val="19"/>
                <w:szCs w:val="19"/>
                <w:color w:val="auto"/>
              </w:rPr>
            </w:pPr>
          </w:p>
        </w:tc>
        <w:tc>
          <w:tcPr>
            <w:tcW w:w="18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(22.8)</w:t>
            </w:r>
          </w:p>
        </w:tc>
      </w:tr>
      <w:tr>
        <w:trPr>
          <w:trHeight w:val="222"/>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 (loss)-adjusted.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which guides our growth-focused strategy to invest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EVs and AVs, software-enabled services and subscriptions and new business opportunities, while strengthening our market position in profitable internal combustion engine vehicles, such as trucks and SUVs. We have committed to an all-electric future with a core focus on zero-emission battery EVs as part of our long-term strategy. We plan to execute our strategy with a diverse team and a steadfast commitment to good citizenship through sustainable operations and a leading health and safety culture.</w:t>
      </w:r>
    </w:p>
    <w:p>
      <w:pPr>
        <w:spacing w:after="0" w:line="20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automotive industry and GM continue to experience supply chain disruptions, which impact multiple suppliers and our planned production schedules. We will continue prioritizing the production of our most popular and in-demand vehicles, including our full-size trucks, full-size SUVs and EVs. We do not expect these disruptions to impact our long-term growth and EV initiatives. In June 2021, we announced plans to increase our investment in EVs and AVs from $27.0 billion to more than $35.0 billion through 2025, which we expect may continue to evolve as we look to further accelerate our EV and AV future.</w:t>
      </w:r>
    </w:p>
    <w:p>
      <w:pPr>
        <w:spacing w:after="0" w:line="19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continue to monitor the impact of the COVID-19 pandemic, and government actions and measures taken to prevent its spread, and the potential to affect our operations. Refer to Part I, Item 1A. Risk Factors of our 2021 Form 10-K for further discussion of these risks.</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also face continuing market, operating and regulatory challenges in several countries across the globe due to, among other factors, rising interest rates and higher material and service prices driven by inflationary pressures, competitive pressures, our product portfolio offerings, heightened emissions standards, potentially weakening economic conditions, labor disruptions, foreign exchange volatility, evolving trade policy and political uncertainty. Refer to Part I, Item 1A. Risk Factors of our 2021 Form 10-K for a discussion of these challenges.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could give rise to future asset impairments or other charges, which may have a material impact on our operating results.</w:t>
      </w:r>
    </w:p>
    <w:p>
      <w:pPr>
        <w:spacing w:after="0" w:line="216" w:lineRule="exact"/>
        <w:rPr>
          <w:sz w:val="20"/>
          <w:szCs w:val="20"/>
          <w:color w:val="auto"/>
        </w:rPr>
      </w:pPr>
    </w:p>
    <w:p>
      <w:pPr>
        <w:jc w:val="both"/>
        <w:ind w:firstLine="161"/>
        <w:spacing w:after="0" w:line="241" w:lineRule="auto"/>
        <w:rPr>
          <w:sz w:val="20"/>
          <w:szCs w:val="20"/>
          <w:color w:val="auto"/>
        </w:rPr>
      </w:pPr>
      <w:r>
        <w:rPr>
          <w:rFonts w:ascii="Times New Roman" w:cs="Times New Roman" w:eastAsia="Times New Roman" w:hAnsi="Times New Roman"/>
          <w:sz w:val="18"/>
          <w:szCs w:val="18"/>
          <w:color w:val="auto"/>
        </w:rPr>
        <w:t>On August 16, 2022, the Inflation Reduction Act of 2022 (the “Act”) was signed into law. The Act modifies climate and clean energy corporate tax provisions, including amendments to the EV consumer tax credit available under current tax law. New tax credits for commercial EV purchases and investments in clean energy production, supply chains and manufacturing facilities are included in the Act effective beginning in 2023. The Act also implements a new 15% corporate minimum tax based on modified U.S. financial statement net income that is effective beginning in 2023. We are evaluating the potential impact of the tax credits and corporate minimum tax requirement on our financial results, including our net earnings and cash flow.</w:t>
      </w:r>
    </w:p>
    <w:p>
      <w:pPr>
        <w:spacing w:after="0" w:line="22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2022, we continue to expect Net income attributable to stockholders of between $9.6 billion and $11.2 billion, EBIT-adjusted of between $13.0 billion and $15.0 billion, EPS-diluted of between $5.76 and $6.76 and EPS-diluted-adjusted of between $6.50 and $7.50. We do not consider the potential impact of future adjustments on our expected financial results.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2022</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$ 9.6-11.2</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40" w:right="640" w:hanging="333"/>
        <w:spacing w:after="0" w:line="247"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 (loss)-adjusted within the MD&amp;A for the details of each individual adjustment.</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consider the potential future impact of adjustments on our expected financial results.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r>
        <w:rPr>
          <w:rFonts w:ascii="Times New Roman" w:cs="Times New Roman" w:eastAsia="Times New Roman" w:hAnsi="Times New Roman"/>
          <w:sz w:val="16"/>
          <w:szCs w:val="16"/>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Ending December 31, 2022</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$ 5.76-6.76</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$ 6.50-7.50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40" w:right="200" w:hanging="333"/>
        <w:spacing w:after="0" w:line="254"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(loss) per common share under U.S. GAAP to EPS-diluted-adjusted within the MD&amp;A for the details of each individual adjustment.</w:t>
      </w:r>
    </w:p>
    <w:p>
      <w:pPr>
        <w:ind w:left="320" w:hanging="313"/>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consider the potential future impact of adjustments on our expected financial results.</w:t>
      </w:r>
    </w:p>
    <w:p>
      <w:pPr>
        <w:spacing w:after="0" w:line="21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12.8 million units in the nine months ended September 30, 2022, representing a decrease of 11.4%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 in 2021. U.S. industry sales were 10.5 million units in the nine months ended September 30, 2022, representing a decrease of 12.8% compared to the corresponding period in 2021.</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1.7 million units for market share of 15.7% in the nine months ended September 30, 2022, representing an increase of 1.0 percentage points compared to the corresponding period in 2021.</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2022 on the continued strength of favorable vehicle pricing and strong U.S. industry light vehicle demand, partially offset by higher costs associated with commodities, raw materials and logistics. Our outlook is dependent on the pricing environment, continuing improvement of supply chain disruptions and overall economic conditions. As a result of supply chain disruptions, we experienced interruptions to our planned production schedules and continue to prioritize production of our most popular and in-demand products, including our full-size trucks, full-size SUVs and EVs. Additionally, we have been manufacturing vehicles without the impacted components and expect that a substantial number of these vehicles will be completed and sold to dealers before the end of 2022.</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17.2 million units in the nine months ended September 30, 2022, representing a decrease of 10.1%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2021. Our total vehicle sales in China were 1.7 million units for market share of 10.0% in the nine months ended September 30, 2022, representing a decrease of 1.2 percentage points compared to the corresponding period in 2021. The ongoing supply chain disruptions, macro-economic impact and local restrictions due to COVID-19 and geopolitical tensions continue to place pressure on China's automotive industry and our vehicle sales in China. Our Automotive China JVs generated equity income of $0.5 billion in the nine months ended September 30, 2022.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17.4 million units in the nine months ended September 30, 2022, representing an increase of 0.7% compared to the corresponding period in 2021. Our total vehicle sales outside of China were 0.7 million units for a market share of 4.1% in the nine months ended September 30, 2022, representing an increase of 0.6 percentage points compared to the corresponding period in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historically operated a small import business in Russia and sold GM-badged vehicles into Russia through GM’s alliance partner in Uzbekistan. GM’s direct and indirect profitability in Russia was insignificant. With Russia’s invasion of Ukraine, western sanctions on Russia have and may continue to progressively increase. In addition, reputational, legal and other concerns have impacted and may continue to impact our ability to operate in Russia. As of the end of February, we suspended our exports into Russia and instructed our Russian sales company to cease selling vehicles within Russia. In April, we took additional actions to extend the suspension of our Russian business, including the cessation of commercial operations. Although we have limited supply chain exposure to Russia and Ukraine, we are working closely with our supply base to mitigate any potential risks. Because of the deteriorating business environment in Russia and ongoing sanctions, our ability to operate in Russia in the future is uncertain. In the event we were to lose control of our Russian sales company or are otherwise unable to operate again in Russia, we would expect to record a non-cash charge of approximately $0.7 billion to write off our investment and release accumulated translation losses. These charges would be considered special for EBIT-adjusted and EPS-diluted-adjusted purposes. In addition, we are monitoring the situation and its macroeconomic impacts on our financial position and results of operations.</w:t>
      </w:r>
    </w:p>
    <w:p>
      <w:pPr>
        <w:spacing w:after="0" w:line="21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Gated by safety and regulation, Cruise continues to make significant progress towards commercialization of a network of on-demand AVs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globally. In 2021, 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In June 2022, Cruise received the first ever Driverless Deployment Permit granted by the CPUC, which allows them to charge a fare for the driverless rides they are providing to members of the public in certain parts of San Francisco. Refer to the "Liquidity and Capital Resources" section of this MD&amp;A for information about GM's additional investment in Cruise.</w:t>
      </w:r>
    </w:p>
    <w:p>
      <w:pPr>
        <w:spacing w:after="0" w:line="207"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and functionality. Market leadership in individual countries in which we compete varies widely.</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2022, 30.6%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r>
      <w:tr>
        <w:trPr>
          <w:trHeight w:val="25"/>
        </w:trPr>
        <w:tc>
          <w:tcPr>
            <w:tcW w:w="1960" w:type="dxa"/>
            <w:vAlign w:val="bottom"/>
          </w:tcPr>
          <w:p>
            <w:pPr>
              <w:spacing w:after="0"/>
              <w:rPr>
                <w:sz w:val="2"/>
                <w:szCs w:val="2"/>
                <w:color w:val="auto"/>
              </w:rPr>
            </w:pPr>
          </w:p>
        </w:tc>
        <w:tc>
          <w:tcPr>
            <w:tcW w:w="2320" w:type="dxa"/>
            <w:vAlign w:val="bottom"/>
            <w:gridSpan w:val="4"/>
          </w:tcPr>
          <w:p>
            <w:pPr>
              <w:spacing w:after="0"/>
              <w:rPr>
                <w:sz w:val="2"/>
                <w:szCs w:val="2"/>
                <w:color w:val="auto"/>
              </w:rPr>
            </w:pPr>
          </w:p>
        </w:tc>
        <w:tc>
          <w:tcPr>
            <w:tcW w:w="2320" w:type="dxa"/>
            <w:vAlign w:val="bottom"/>
            <w:gridSpan w:val="4"/>
          </w:tcPr>
          <w:p>
            <w:pPr>
              <w:spacing w:after="0"/>
              <w:rPr>
                <w:sz w:val="2"/>
                <w:szCs w:val="2"/>
                <w:color w:val="auto"/>
              </w:rPr>
            </w:pPr>
          </w:p>
        </w:tc>
        <w:tc>
          <w:tcPr>
            <w:tcW w:w="2360" w:type="dxa"/>
            <w:vAlign w:val="bottom"/>
            <w:gridSpan w:val="4"/>
          </w:tcPr>
          <w:p>
            <w:pPr>
              <w:spacing w:after="0"/>
              <w:rPr>
                <w:sz w:val="2"/>
                <w:szCs w:val="2"/>
                <w:color w:val="auto"/>
              </w:rPr>
            </w:pPr>
          </w:p>
        </w:tc>
        <w:tc>
          <w:tcPr>
            <w:tcW w:w="2260" w:type="dxa"/>
            <w:vAlign w:val="bottom"/>
            <w:gridSpan w:val="3"/>
          </w:tcPr>
          <w:p>
            <w:pPr>
              <w:spacing w:after="0"/>
              <w:rPr>
                <w:sz w:val="2"/>
                <w:szCs w:val="2"/>
                <w:color w:val="auto"/>
              </w:rPr>
            </w:pPr>
          </w:p>
        </w:tc>
      </w:tr>
      <w:tr>
        <w:trPr>
          <w:trHeight w:val="188"/>
        </w:trPr>
        <w:tc>
          <w:tcPr>
            <w:tcW w:w="1960" w:type="dxa"/>
            <w:vAlign w:val="bottom"/>
          </w:tcPr>
          <w:p>
            <w:pPr>
              <w:spacing w:after="0"/>
              <w:rPr>
                <w:sz w:val="16"/>
                <w:szCs w:val="16"/>
                <w:color w:val="auto"/>
              </w:rPr>
            </w:pPr>
          </w:p>
        </w:tc>
        <w:tc>
          <w:tcPr>
            <w:tcW w:w="232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2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236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6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28"/>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4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2400" w:type="dxa"/>
            <w:vAlign w:val="bottom"/>
            <w:gridSpan w:val="6"/>
          </w:tcPr>
          <w:p>
            <w:pPr>
              <w:spacing w:after="0"/>
              <w:rPr>
                <w:sz w:val="2"/>
                <w:szCs w:val="2"/>
                <w:color w:val="auto"/>
              </w:rPr>
            </w:pPr>
          </w:p>
        </w:tc>
        <w:tc>
          <w:tcPr>
            <w:tcW w:w="2380" w:type="dxa"/>
            <w:vAlign w:val="bottom"/>
            <w:gridSpan w:val="6"/>
          </w:tcPr>
          <w:p>
            <w:pPr>
              <w:spacing w:after="0"/>
              <w:rPr>
                <w:sz w:val="2"/>
                <w:szCs w:val="2"/>
                <w:color w:val="auto"/>
              </w:rPr>
            </w:pPr>
          </w:p>
        </w:tc>
        <w:tc>
          <w:tcPr>
            <w:tcW w:w="2400" w:type="dxa"/>
            <w:vAlign w:val="bottom"/>
            <w:gridSpan w:val="6"/>
          </w:tcPr>
          <w:p>
            <w:pPr>
              <w:spacing w:after="0"/>
              <w:rPr>
                <w:sz w:val="2"/>
                <w:szCs w:val="2"/>
                <w:color w:val="auto"/>
              </w:rPr>
            </w:pPr>
          </w:p>
        </w:tc>
        <w:tc>
          <w:tcPr>
            <w:tcW w:w="23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40" w:type="dxa"/>
            <w:vAlign w:val="bottom"/>
          </w:tcPr>
          <w:p>
            <w:pPr>
              <w:spacing w:after="0"/>
              <w:rPr>
                <w:sz w:val="16"/>
                <w:szCs w:val="16"/>
                <w:color w:val="auto"/>
              </w:rPr>
            </w:pPr>
          </w:p>
        </w:tc>
        <w:tc>
          <w:tcPr>
            <w:tcW w:w="2400" w:type="dxa"/>
            <w:vAlign w:val="bottom"/>
            <w:tcBorders>
              <w:top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300" w:type="dxa"/>
            <w:vAlign w:val="bottom"/>
            <w:tcBorders>
              <w:top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6"/>
                <w:szCs w:val="16"/>
                <w:color w:val="auto"/>
              </w:rPr>
            </w:pPr>
          </w:p>
        </w:tc>
        <w:tc>
          <w:tcPr>
            <w:tcW w:w="2400" w:type="dxa"/>
            <w:vAlign w:val="bottom"/>
            <w:tcBorders>
              <w:top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320" w:type="dxa"/>
            <w:vAlign w:val="bottom"/>
            <w:tcBorders>
              <w:top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63"/>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12,757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0" w:type="dxa"/>
            <w:vAlign w:val="bottom"/>
          </w:tcPr>
          <w:p>
            <w:pPr>
              <w:spacing w:after="0"/>
              <w:rPr>
                <w:sz w:val="1"/>
                <w:szCs w:val="1"/>
                <w:color w:val="auto"/>
              </w:rPr>
            </w:pPr>
          </w:p>
        </w:tc>
      </w:tr>
      <w:tr>
        <w:trPr>
          <w:trHeight w:val="114"/>
        </w:trPr>
        <w:tc>
          <w:tcPr>
            <w:tcW w:w="17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Asia/Pacific, Middle East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14,678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Total Asia/Pacific, Middle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31,922</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33,765</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East and Africa</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87"/>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 GM markets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15,528</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47,376</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50,836</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10,593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Worldwide(b)(c)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19,888</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18,944</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57,969</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62,529</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Trucks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Crossovers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0" w:type="dxa"/>
            <w:vAlign w:val="bottom"/>
          </w:tcPr>
          <w:p>
            <w:pPr>
              <w:spacing w:after="0"/>
              <w:rPr>
                <w:sz w:val="1"/>
                <w:szCs w:val="1"/>
                <w:color w:val="auto"/>
              </w:rPr>
            </w:pPr>
          </w:p>
        </w:tc>
      </w:tr>
      <w:tr>
        <w:trPr>
          <w:trHeight w:val="22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SGMS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SGMW</w:t>
            </w: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17,244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47"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2022, GM is no longer importing vehicles or parts to Russia, Belarus and other sanctioned provinces in Ukraine.</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2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80" w:type="dxa"/>
            <w:vAlign w:val="bottom"/>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8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4820" w:type="dxa"/>
            <w:vAlign w:val="bottom"/>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319</w:t>
            </w:r>
          </w:p>
        </w:tc>
      </w:tr>
      <w:tr>
        <w:trPr>
          <w:trHeight w:val="22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5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203</w:t>
            </w:r>
          </w:p>
        </w:tc>
      </w:tr>
      <w:tr>
        <w:trPr>
          <w:trHeight w:val="24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659"/>
        </w:trPr>
        <w:tc>
          <w:tcPr>
            <w:tcW w:w="4820" w:type="dxa"/>
            <w:vAlign w:val="bottom"/>
          </w:tcPr>
          <w:p>
            <w:pPr>
              <w:spacing w:after="0"/>
              <w:rPr>
                <w:sz w:val="24"/>
                <w:szCs w:val="24"/>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6"/>
        </w:trPr>
        <w:tc>
          <w:tcPr>
            <w:tcW w:w="4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leasing program is exposed to residual values, which are heavily dependent on used vehicle prices. Used vehicle prices were sustained at high levels for the three and nine months ended September 30, 2022, primarily due to low new vehicle inventory. The high levels of used vehicle prices also resulted in gains on terminations of leased vehicles of $0.3 billion and $1.0 billion included in GM Financial interest, operating and other expenses for the three and nine months ended September 30, 2022, compared to gains of $0.4 billion and $1.6 billion in the corresponding periods in 2021. The decrease in gains is primarily due to higher residual value estimates resulting in decreased depreciation expense as well as fewer vehicles returned for the three and nine months ended September 30, 2022 compared to the corresponding periods in 2021. For the remainder of 2022, GM Financial expects used vehicle prices to remain elevated primarily due to sustained low new vehicle inventory and reduced incentive levels, but to decrease relative to 2021 peak levels. The following table summarizes the estimated residual value based on GM Financial's most recent estimates and the number of units included in GM Financial Equipment on operating leases, net by vehicle type (units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2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penetration of our retail sales in the U.S. was 45% in the nine months ended September 30, 2022 and 44% in the corresponding period in 2021. Penetration levels vary depending on incentive financing programs available and competing third-party financing products in the market. GM Financial's prime loan originations as a percentage of total loan originations in North America increased to 80% in the nine months ended September 30, 2022 from 72% in the nine months ended September 30, 2021. In the nine months ended September 30, 2022, GM Financial's revenue consisted of leased vehicle income of 63%, retail finance charge income of 31% and commercial finance charge income of 3%.</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6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14,137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41,889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15,110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6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113,627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and price.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0" w:type="dxa"/>
            <w:vAlign w:val="bottom"/>
          </w:tcPr>
          <w:p>
            <w:pPr>
              <w:spacing w:after="0"/>
              <w:rPr>
                <w:sz w:val="14"/>
                <w:szCs w:val="14"/>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4"/>
                <w:szCs w:val="14"/>
                <w:color w:val="auto"/>
              </w:rPr>
            </w:pPr>
          </w:p>
        </w:tc>
        <w:tc>
          <w:tcPr>
            <w:tcW w:w="60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4"/>
                <w:szCs w:val="14"/>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33,700</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20,672</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3"/>
                <w:szCs w:val="13"/>
                <w:color w:val="auto"/>
              </w:rPr>
            </w:pPr>
          </w:p>
        </w:tc>
        <w:tc>
          <w:tcPr>
            <w:tcW w:w="60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3"/>
                <w:szCs w:val="13"/>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92,314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73,053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(19,261)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the three months ended September 30, 2022, increased Cost was primarily due to: (1) increased material and freight costs of $1.2 billion; (2) increased campaigns and other warranty-related costs of $0.9 billion, including non-recurrence of the Chevrolet Bolt recall and associated recoveries in 2021; (3) increased manufacturing costs of $0.3 billion; (4) increased costs of $0.3 billion primarily related to parts and accessories sales; and (5) increased engineering costs of $0.2 billion primarily related to accelerating our EV portfolio. In the three months ended September 30, 2022, favorable Other was primarily due to the foreign currency effect resulting from the weakening of the Korean Won and other currencies against the U.S. Dollar.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In the nine months ended September 30, 2022, increased Cost was primarily due to: (1) increased material and freight costs of $3.9 billion; (2) increased manufacturing costs of $0.9 billion; (3) increased costs of $0.9 billion primarily related to parts and accessories sales; (4) increased costs of $0.8 billion related to modification of Cruise stock incentive awards; and (5) increased engineering costs of $0.8 billion primarily related to accelerating our EV portfolio. In the nine months ended September 30, 2022, favorable Other was primarily due to the foreign currency effect resulting from the weakening of the Korean Won and other currencies against the U.S. Dollar.</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40" w:type="dxa"/>
            <w:vAlign w:val="bottom"/>
          </w:tcPr>
          <w:p>
            <w:pPr>
              <w:spacing w:after="0"/>
              <w:rPr>
                <w:sz w:val="10"/>
                <w:szCs w:val="10"/>
                <w:color w:val="auto"/>
              </w:rPr>
            </w:pPr>
          </w:p>
        </w:tc>
        <w:tc>
          <w:tcPr>
            <w:tcW w:w="92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96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1"/>
        </w:trPr>
        <w:tc>
          <w:tcPr>
            <w:tcW w:w="24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6,076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September 30, 2022, Automotive and other selling, general and administrative expense increased primarily due to several individually insignificant items.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Automotive and other selling, general and administrative expense increased primarily due to (1) increased advertising, selling, and administrative costs of $0.9 billion; and (2) increased costs of $0.3 billion related to modification of Cruise stock incentive awards; partially offset by (3) charges of $0.2 billion related to Cadillac dealer strategy in 2021.</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94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0"/>
                <w:szCs w:val="10"/>
                <w:color w:val="auto"/>
              </w:rPr>
            </w:pPr>
          </w:p>
        </w:tc>
        <w:tc>
          <w:tcPr>
            <w:tcW w:w="960" w:type="dxa"/>
            <w:vAlign w:val="bottom"/>
          </w:tcPr>
          <w:p>
            <w:pPr>
              <w:jc w:val="center"/>
              <w:ind w:right="51"/>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Interest income and other non-</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2,383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September 30, 2022, Interest income and other non-operating income, net decreased primarily due to several insignificant items.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Interest income and other non-operating income, net decreased primarily due to (1) $0.4 billion in losses in the nine months ended September 30, 2022 compared to $0.3 billion in gains in the nine months ended September 30, 2021 related to Stellantis warrants; and (2) $0.3 billion decrease in non-service pension income.</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70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September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7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September 30, 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43.1 %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97" w:lineRule="exact"/>
        <w:rPr>
          <w:sz w:val="20"/>
          <w:szCs w:val="20"/>
          <w:color w:val="auto"/>
        </w:rPr>
      </w:pPr>
    </w:p>
    <w:p>
      <w:pPr>
        <w:jc w:val="both"/>
        <w:ind w:right="20" w:firstLine="161"/>
        <w:spacing w:after="0" w:line="248" w:lineRule="auto"/>
        <w:rPr>
          <w:sz w:val="20"/>
          <w:szCs w:val="20"/>
          <w:color w:val="auto"/>
        </w:rPr>
      </w:pPr>
      <w:r>
        <w:rPr>
          <w:rFonts w:ascii="Times New Roman" w:cs="Times New Roman" w:eastAsia="Times New Roman" w:hAnsi="Times New Roman"/>
          <w:sz w:val="18"/>
          <w:szCs w:val="18"/>
          <w:color w:val="auto"/>
        </w:rPr>
        <w:t>In the three months ended September 30, 2022, Income tax expense increased primarily due to higher pre-tax income and the absence of tax benefit related to a deduction for an investment in a subsidiary which occurred in the three months ended September 30, 2021.</w:t>
      </w:r>
    </w:p>
    <w:p>
      <w:pPr>
        <w:spacing w:after="0" w:line="190" w:lineRule="exact"/>
        <w:rPr>
          <w:sz w:val="20"/>
          <w:szCs w:val="20"/>
          <w:color w:val="auto"/>
        </w:rPr>
      </w:pPr>
    </w:p>
    <w:p>
      <w:pPr>
        <w:jc w:val="both"/>
        <w:ind w:firstLine="161"/>
        <w:spacing w:after="0" w:line="241" w:lineRule="auto"/>
        <w:rPr>
          <w:sz w:val="20"/>
          <w:szCs w:val="20"/>
          <w:color w:val="auto"/>
        </w:rPr>
      </w:pPr>
      <w:r>
        <w:rPr>
          <w:rFonts w:ascii="Times New Roman" w:cs="Times New Roman" w:eastAsia="Times New Roman" w:hAnsi="Times New Roman"/>
          <w:sz w:val="18"/>
          <w:szCs w:val="18"/>
          <w:color w:val="auto"/>
        </w:rPr>
        <w:t>In the nine months ended September 30, 2022, Income tax expense decreased primarily due to Cruise valuation allowance adjustments, lower effective tax rate as a result of Cruise reconsolidation and lower pre-tax income. The decrease was partially offset by the absence of a tax benefit related to a deduction for an investment in a subsidiary which occurred in the three months ended September 30, 2021.</w:t>
      </w:r>
    </w:p>
    <w:p>
      <w:pPr>
        <w:spacing w:after="0" w:line="196" w:lineRule="exact"/>
        <w:rPr>
          <w:sz w:val="20"/>
          <w:szCs w:val="20"/>
          <w:color w:val="auto"/>
        </w:rPr>
      </w:pPr>
    </w:p>
    <w:p>
      <w:pPr>
        <w:jc w:val="both"/>
        <w:ind w:firstLine="161"/>
        <w:spacing w:after="0" w:line="248" w:lineRule="auto"/>
        <w:rPr>
          <w:sz w:val="20"/>
          <w:szCs w:val="20"/>
          <w:color w:val="auto"/>
        </w:rPr>
      </w:pPr>
      <w:r>
        <w:rPr>
          <w:rFonts w:ascii="Times New Roman" w:cs="Times New Roman" w:eastAsia="Times New Roman" w:hAnsi="Times New Roman"/>
          <w:sz w:val="18"/>
          <w:szCs w:val="18"/>
          <w:color w:val="auto"/>
        </w:rPr>
        <w:t>For the three and nine months ended September 30, 2022, our ETR-adjusted was 20.6% and 20.7%. We expect our adjusted effective tax rate to be approximately 20% for the year ending December 31, 2022.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15 to our condensed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160" w:type="dxa"/>
            <w:vAlign w:val="bottom"/>
          </w:tcPr>
          <w:p>
            <w:pPr>
              <w:spacing w:after="0"/>
              <w:rPr>
                <w:sz w:val="14"/>
                <w:szCs w:val="14"/>
                <w:color w:val="auto"/>
              </w:rPr>
            </w:pPr>
          </w:p>
        </w:tc>
        <w:tc>
          <w:tcPr>
            <w:tcW w:w="14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5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4"/>
                <w:szCs w:val="14"/>
                <w:color w:val="auto"/>
              </w:rPr>
            </w:pPr>
          </w:p>
        </w:tc>
        <w:tc>
          <w:tcPr>
            <w:tcW w:w="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4"/>
                <w:szCs w:val="14"/>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34,691</w:t>
            </w:r>
          </w:p>
        </w:tc>
        <w:tc>
          <w:tcPr>
            <w:tcW w:w="7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14,137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3,894</w:t>
            </w:r>
          </w:p>
        </w:tc>
        <w:tc>
          <w:tcPr>
            <w:tcW w:w="72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784</w:t>
            </w:r>
          </w:p>
        </w:tc>
        <w:tc>
          <w:tcPr>
            <w:tcW w:w="7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restart"/>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4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3"/>
                <w:szCs w:val="13"/>
                <w:color w:val="auto"/>
              </w:rPr>
            </w:pPr>
          </w:p>
        </w:tc>
        <w:tc>
          <w:tcPr>
            <w:tcW w:w="5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3"/>
                <w:szCs w:val="13"/>
                <w:color w:val="auto"/>
              </w:rPr>
            </w:pPr>
          </w:p>
        </w:tc>
        <w:tc>
          <w:tcPr>
            <w:tcW w:w="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3"/>
                <w:szCs w:val="13"/>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3"/>
                <w:szCs w:val="13"/>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92,907</w:t>
            </w:r>
          </w:p>
        </w:tc>
        <w:tc>
          <w:tcPr>
            <w:tcW w:w="7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18,464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9,334</w:t>
            </w:r>
          </w:p>
        </w:tc>
        <w:tc>
          <w:tcPr>
            <w:tcW w:w="72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2,139</w:t>
            </w:r>
          </w:p>
        </w:tc>
        <w:tc>
          <w:tcPr>
            <w:tcW w:w="7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September 30, 2022, Total net sales and revenue increased primarily due to: (1)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primarily due to increased sales of crossover vehicles, full-size pickup trucks, passenger cars, mid-size pickup trucks, vans and full-size SUVs; (2) favorable price as a result of low dealer inventory levels and strong demand for our products; partially offset by (3) unfavorable mix associated with increased sales of crossover vehicles, passenger cars and vans, partially offset by increased sales of full-size pickup trucks and full-size SUVs.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2022, Total net sales and revenue increased primarily due to: (1) increased net wholesale volumes primarily due to increased sales of crossover vehicles, passenger cars, full-size pickup trucks, vans, mid-size pickup trucks and full-size SUVs; (2) favorable price as a result of low dealer inventory levels and strong demand for our products; and (3) favorable Other due to increased sales of parts and accessories; partially offset by (4) unfavorable mix associated with increased sales of passenger cars, crossover vehicles, vans and mid-size pickup trucks, partially offset by increased sales of full-size pickup trucks and full-size SUVs.</w:t>
      </w:r>
    </w:p>
    <w:p>
      <w:pPr>
        <w:spacing w:after="0" w:line="195" w:lineRule="exact"/>
        <w:rPr>
          <w:sz w:val="20"/>
          <w:szCs w:val="20"/>
          <w:color w:val="auto"/>
        </w:rPr>
      </w:pPr>
    </w:p>
    <w:p>
      <w:pPr>
        <w:jc w:val="both"/>
        <w:ind w:firstLine="161"/>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GMNA EBIT (Loss)-Adjusted </w:t>
      </w:r>
      <w:r>
        <w:rPr>
          <w:rFonts w:ascii="Times New Roman" w:cs="Times New Roman" w:eastAsia="Times New Roman" w:hAnsi="Times New Roman"/>
          <w:sz w:val="18"/>
          <w:szCs w:val="18"/>
          <w:color w:val="auto"/>
        </w:rPr>
        <w:t>In the three months ended September 30, 2022, EBIT-adjusted increased primarily due to: (1) favorable volume; and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favorable price; partially offset by (3) unfavorable Cost primarily due to increased material and freight cost of $1.0 billion, increased campaigns and other warranty-related costs of $0.8 billion, including non-recurrence of the Chevrolet Bolt recall and associated recoveries in 2021, increased selling, general and administrative costs of $0.4 billion and increased manufacturing costs of $0.3 billion; and (4) unfavorable mix.</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 the nine months ended September 30, 2022, EBIT-adjusted increased primarily due to: (1) favorable volume; and (2) favorable price; partially offset by</w:t>
      </w:r>
    </w:p>
    <w:p>
      <w:pPr>
        <w:spacing w:after="0" w:line="26" w:lineRule="exact"/>
        <w:rPr>
          <w:sz w:val="20"/>
          <w:szCs w:val="20"/>
          <w:color w:val="auto"/>
        </w:rPr>
      </w:pPr>
    </w:p>
    <w:p>
      <w:pPr>
        <w:jc w:val="both"/>
        <w:ind w:right="20" w:firstLine="7"/>
        <w:spacing w:after="0" w:line="269" w:lineRule="auto"/>
        <w:tabs>
          <w:tab w:leader="none" w:pos="26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Cost primarily due to increased material and freight cost of $3.4 billion, increased selling, general and administrative costs of $0.8 billion, increased manufacturing cost of $0.8 billion and increased engineering cost of $0.4 billion including accelerating our EV portfolio and (4) unfavorable mix.</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4"/>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8"/>
                <w:szCs w:val="8"/>
                <w:color w:val="auto"/>
              </w:rPr>
            </w:pPr>
          </w:p>
        </w:tc>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8"/>
                <w:szCs w:val="8"/>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8"/>
                <w:szCs w:val="8"/>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8"/>
                <w:szCs w:val="8"/>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3,980</w:t>
            </w:r>
          </w:p>
        </w:tc>
        <w:tc>
          <w:tcPr>
            <w:tcW w:w="78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2,843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334</w:t>
            </w:r>
          </w:p>
        </w:tc>
        <w:tc>
          <w:tcPr>
            <w:tcW w:w="7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2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330</w:t>
            </w:r>
          </w:p>
        </w:tc>
        <w:tc>
          <w:tcPr>
            <w:tcW w:w="780" w:type="dxa"/>
            <w:vAlign w:val="bottom"/>
            <w:vMerge w:val="restart"/>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270</w:t>
            </w:r>
          </w:p>
        </w:tc>
        <w:tc>
          <w:tcPr>
            <w:tcW w:w="2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22.2 %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2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42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5</w:t>
            </w:r>
          </w:p>
        </w:tc>
        <w:tc>
          <w:tcPr>
            <w:tcW w:w="780" w:type="dxa"/>
            <w:vAlign w:val="bottom"/>
            <w:vMerge w:val="restart"/>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(41)</w:t>
            </w:r>
          </w:p>
        </w:tc>
        <w:tc>
          <w:tcPr>
            <w:tcW w:w="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tcBorders>
              <w:right w:val="single" w:sz="8" w:color="auto"/>
            </w:tcBorders>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42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w:t>
            </w: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6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4"/>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8"/>
                <w:szCs w:val="8"/>
                <w:color w:val="auto"/>
              </w:rPr>
            </w:pPr>
          </w:p>
        </w:tc>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8"/>
                <w:szCs w:val="8"/>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8"/>
                <w:szCs w:val="8"/>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8"/>
                <w:szCs w:val="8"/>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11,100</w:t>
            </w:r>
          </w:p>
        </w:tc>
        <w:tc>
          <w:tcPr>
            <w:tcW w:w="7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8,721</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4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871</w:t>
            </w:r>
          </w:p>
        </w:tc>
        <w:tc>
          <w:tcPr>
            <w:tcW w:w="7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477</w:t>
            </w:r>
          </w:p>
        </w:tc>
        <w:tc>
          <w:tcPr>
            <w:tcW w:w="780" w:type="dxa"/>
            <w:vAlign w:val="bottom"/>
            <w:vMerge w:val="restart"/>
          </w:tcPr>
          <w:p>
            <w:pPr>
              <w:jc w:val="right"/>
              <w:ind w:right="496"/>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854</w:t>
            </w:r>
          </w:p>
        </w:tc>
        <w:tc>
          <w:tcPr>
            <w:tcW w:w="2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(377)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(44.1)%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2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 (loss)-adjusted —</w:t>
            </w:r>
          </w:p>
        </w:tc>
        <w:tc>
          <w:tcPr>
            <w:tcW w:w="420" w:type="dxa"/>
            <w:vAlign w:val="bottom"/>
            <w:gridSpan w:val="2"/>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395</w:t>
            </w:r>
          </w:p>
        </w:tc>
        <w:tc>
          <w:tcPr>
            <w:tcW w:w="780" w:type="dxa"/>
            <w:vAlign w:val="bottom"/>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i w:val="1"/>
                <w:iCs w:val="1"/>
                <w:color w:val="auto"/>
              </w:rPr>
              <w:t>$</w:t>
            </w:r>
          </w:p>
        </w:tc>
        <w:tc>
          <w:tcPr>
            <w:tcW w:w="6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(302)</w:t>
            </w:r>
          </w:p>
        </w:tc>
        <w:tc>
          <w:tcPr>
            <w:tcW w:w="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697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tcBorders>
              <w:right w:val="single" w:sz="8" w:color="auto"/>
            </w:tcBorders>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420" w:type="dxa"/>
            <w:vAlign w:val="bottom"/>
            <w:gridSpan w:val="2"/>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474</w:t>
            </w: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 (loss)-adjusted above.</w:t>
      </w:r>
    </w:p>
    <w:p>
      <w:pPr>
        <w:spacing w:after="0" w:line="185" w:lineRule="exact"/>
        <w:rPr>
          <w:sz w:val="20"/>
          <w:szCs w:val="20"/>
          <w:color w:val="auto"/>
        </w:rPr>
      </w:pPr>
    </w:p>
    <w:p>
      <w:pPr>
        <w:jc w:val="both"/>
        <w:ind w:firstLine="161"/>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September 30, 2022, Total net sales and revenue increased primarily due to: (1)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due to lost production volumes resulting from the shortage of semiconductors in 2021; (2) favorable pricing across multiple vehicle lines in South America and the Middle East; partially offset by (3) unfavorable mix in Brazil; and (4) unfavorable Other primarily due to the foreign currency effect resulting from the weakening of various currencies against the U.S. dollar, partially offset by increased components, parts and accessories sales.</w:t>
      </w:r>
    </w:p>
    <w:p>
      <w:pPr>
        <w:spacing w:after="0" w:line="202"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In the nine months ended September 30, 2022, Total net sales and revenue increased primarily due to: (1) increased net wholesale volumes due to lost production volumes resulting from the shortage of semiconductors in 2021, partially offset by ongoing supply chain constraints; and (2) favorable pricing across multiple vehicle lines in South America and the Middle East; partially offset by (3) unfavorable mix in Brazil, partially offset by favorable mix in the Middle East and Asia/Pacific; and (4) unfavorable Other primarily due to the foreign currency effect resulting from the weakening of various currencies against the U.S. dollar, partially offset by increased components, parts and accessories sales.</w:t>
      </w:r>
    </w:p>
    <w:p>
      <w:pPr>
        <w:spacing w:after="0" w:line="189"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 (Loss)-Adjusted </w:t>
      </w:r>
      <w:r>
        <w:rPr>
          <w:rFonts w:ascii="Times New Roman" w:cs="Times New Roman" w:eastAsia="Times New Roman" w:hAnsi="Times New Roman"/>
          <w:sz w:val="18"/>
          <w:szCs w:val="18"/>
          <w:color w:val="auto"/>
        </w:rPr>
        <w:t>In the three months ended September 30, 2022, EBIT-adjusted increased primarily due to: (1) favorable price; and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net wholesale volumes; partially offset by (3) unfavorable mix; and (4) unfavorable Cost primarily due to increased material and logistic costs and non-recurrence of the Chevrolet Bolt recall associated supplier recovery in 2021.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the nine months ended September 30, 2022, EBIT-adjusted increased primarily due to: (1) favorable price; and (2) increased net wholesale volumes; partially offset by (3) unfavorable Cost primarily due to increased material and logistic costs; and (4) unfavorable Other primarily due to foreign currency effect resulting from the weakening of various currencies against the U.S. dollar and decreased equity income.</w:t>
      </w:r>
    </w:p>
    <w:p>
      <w:pPr>
        <w:spacing w:after="0" w:line="21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are accelerating the development and rollout of EVs across our brands in China in response to our commitment to an all-electric future. We operate in the Chinese market through a number of joint ventures and maintaining strong relationships with our joint venture partners is an important part of our China growth strategy.</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7"/>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5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40" w:type="dxa"/>
            <w:vAlign w:val="bottom"/>
            <w:tcBorders>
              <w:top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180" w:type="dxa"/>
            <w:vAlign w:val="bottom"/>
            <w:tcBorders>
              <w:top w:val="single" w:sz="8" w:color="CCEEFF"/>
            </w:tcBorders>
            <w:gridSpan w:val="9"/>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Wholesale vehicle sales, including vehicles exported to markets outside</w:t>
            </w: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net sales and revenue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10,393</w:t>
            </w:r>
          </w:p>
        </w:tc>
        <w:tc>
          <w:tcPr>
            <w:tcW w:w="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tcPr>
          <w:p>
            <w:pPr>
              <w:spacing w:after="0"/>
              <w:rPr>
                <w:sz w:val="19"/>
                <w:szCs w:val="19"/>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25,467</w:t>
            </w:r>
          </w:p>
        </w:tc>
        <w:tc>
          <w:tcPr>
            <w:tcW w:w="100" w:type="dxa"/>
            <w:vAlign w:val="bottom"/>
          </w:tcPr>
          <w:p>
            <w:pPr>
              <w:spacing w:after="0"/>
              <w:rPr>
                <w:sz w:val="19"/>
                <w:szCs w:val="19"/>
                <w:color w:val="auto"/>
              </w:rPr>
            </w:pPr>
          </w:p>
        </w:tc>
        <w:tc>
          <w:tcPr>
            <w:tcW w:w="5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Cruise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4"/>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5"/>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040" w:type="dxa"/>
            <w:vAlign w:val="bottom"/>
          </w:tcPr>
          <w:p>
            <w:pPr>
              <w:jc w:val="center"/>
              <w:ind w:right="44"/>
              <w:spacing w:after="0" w:line="12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82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60" w:type="dxa"/>
            <w:vAlign w:val="bottom"/>
            <w:gridSpan w:val="3"/>
          </w:tcPr>
          <w:p>
            <w:pPr>
              <w:jc w:val="right"/>
              <w:ind w:right="59"/>
              <w:spacing w:after="0" w:line="12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7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net sales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0" w:type="dxa"/>
            <w:vAlign w:val="bottom"/>
            <w:gridSpan w:val="2"/>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5"/>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revenue(a)</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 (loss)-adjusted(b)</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60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4"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condensed consolidated income statements in the three and nine months ended September 30, 2022 and 2021.</w:t>
      </w: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$1.1 billion in compensation expense in the nine months ended September 30, 2022 resulting from modification of the Cruise stock incentive awards.</w:t>
      </w:r>
    </w:p>
    <w:p>
      <w:pPr>
        <w:spacing w:after="0" w:line="229" w:lineRule="exact"/>
        <w:rPr>
          <w:sz w:val="20"/>
          <w:szCs w:val="20"/>
          <w:color w:val="auto"/>
        </w:rPr>
      </w:pPr>
    </w:p>
    <w:p>
      <w:pPr>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three and nine months ended September 30, 2022, EBIT (loss)-adjusted increased primarily due to an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costs as we progress towards the commercialization of a network of on-demand AVs in the United States and globally.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78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78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9,489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61"/>
        </w:trPr>
        <w:tc>
          <w:tcPr>
            <w:tcW w:w="13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Provision for loan</w:t>
            </w:r>
          </w:p>
        </w:tc>
        <w:tc>
          <w:tcPr>
            <w:tcW w:w="42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4"/>
                <w:szCs w:val="14"/>
                <w:color w:val="auto"/>
              </w:rPr>
            </w:pPr>
          </w:p>
        </w:tc>
        <w:tc>
          <w:tcPr>
            <w:tcW w:w="700" w:type="dxa"/>
            <w:vAlign w:val="bottom"/>
            <w:vMerge w:val="restart"/>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1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w:t>
            </w: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EBT (loss)-adjusted $</w:t>
            </w: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3,856</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61"/>
        </w:trPr>
        <w:tc>
          <w:tcPr>
            <w:tcW w:w="13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Average debt</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outstanding</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(dollars in</w:t>
            </w:r>
          </w:p>
        </w:tc>
        <w:tc>
          <w:tcPr>
            <w:tcW w:w="42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4"/>
                <w:szCs w:val="14"/>
                <w:color w:val="auto"/>
              </w:rPr>
            </w:pPr>
          </w:p>
        </w:tc>
        <w:tc>
          <w:tcPr>
            <w:tcW w:w="700" w:type="dxa"/>
            <w:vAlign w:val="bottom"/>
            <w:vMerge w:val="restart"/>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94.4</w:t>
            </w:r>
          </w:p>
        </w:tc>
        <w:tc>
          <w:tcPr>
            <w:tcW w:w="3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1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billions)</w:t>
            </w:r>
          </w:p>
        </w:tc>
        <w:tc>
          <w:tcPr>
            <w:tcW w:w="4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Effective rate of</w:t>
            </w: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paid</w:t>
            </w: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September 30, 2022, total revenue decreased primarily due to decreased leased vehicle income of $0.3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 decrease in the average balance of the leased vehicles portfolio; partially offset by increased finance charge income of $0.1 billion primarily due to growth in the size of the portfolio.</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total revenue decreased primarily due to decreased leased vehicle income of $0.9 billion primarily due to a decrease in the average balance of the leased vehicles portfolio; partially offset by increased finance charge income of $0.1 billion primarily due to growth in the size of the portfolio.</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EBT-Adjusted </w:t>
      </w:r>
      <w:r>
        <w:rPr>
          <w:rFonts w:ascii="Times New Roman" w:cs="Times New Roman" w:eastAsia="Times New Roman" w:hAnsi="Times New Roman"/>
          <w:sz w:val="17"/>
          <w:szCs w:val="17"/>
          <w:color w:val="auto"/>
        </w:rPr>
        <w:t>In the three months ended September 30, 2022, EBT-adjusted decreased primarily due to: (1) decreased leased vehicle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income net of leased vehicle expenses of $0.2 billion primarily due to decreased leased vehicle income primarily due to a decrease in the average balance of the leased vehicles portfolio and decreased lease termination gains associated with higher leased portfolio net book values and fewer vehicles returned for remarketing; partially offset by decreased depreciation on leased vehicles resulting from increased residual value estimates and a decrease in the size of the portfolio; and (2) increased interest expense of $0.1 billion primarily due to an increased effective rate of interest on our debt, partially offset by a decrease in the average debt outstanding; partially offset by (3) increased finance charge income of $0.1 billion primarily due to growth in the size of the portfolio.</w:t>
      </w:r>
    </w:p>
    <w:p>
      <w:pPr>
        <w:spacing w:after="0" w:line="192"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color w:val="auto"/>
        </w:rPr>
        <w:t>In the nine months ended September 30, 2022, EBT-adjusted decreased primarily due to: (1) decreased leased vehicle income net of leased vehicle expenses of $0.4 billion primarily due to decreased leased vehicle income as a result of a decrease in the average balance of the leased vehicles portfolio and decreased lease termination gains associated with higher leased portfolio net book values and fewer vehicles returned for remarketing; partially offset by decreased depreciation on leased vehicles resulting from increased residual value estimates and a decrease in the size of the portfolio; (2) increased provision for loan losses of $0.3 billion primarily due to a reduction in reserve levels recorded in the nine months ended September 30, 2021 as a result of actual credit performance that was better than forecast and favorable expectations for future charge-offs and recoveries, as well as an economic forecast weighted more heavily to a weaker outlook as of September 30, 2022; partially offset by (3) increased finance charge income of $0.1 billion primarily due to growth in the size of the portfolio.</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81"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Ultium Cells LLC, our battery joint venture with LG Energy Solution, of approximately $9.0 billion to $10.0 billion in 2022, which we expect may increase in future years as we accelerate investments in our EV and AV future; (2) payments for engineering and product development activities; (3) payments associated with previously announced vehicle recalls and any other recall-related contingencies; (4) payments to service debt and other long-term obligations, including discretionary and mandatory contributions to our pension plans; and (5) payments associated with the previously announced liquidity program for holders of equity-based incentive awards issued to employees of Cruise pursuant to Cruise's 2018 Employee Incentive Plan, which we expect to be $1.0 billion to $1.5 billion in 2022, with ongoing expenditures thereafter.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of our 2021 Form 10-K, some of which are outside of our control.</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19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July 2022, the U.S. Department of Energy (DOE) announced its conditional commitment through the Advanced Technology Vehicles Manufacturing program to loan $2.5 billion to Ultium Cells LLC. We expect the loan will close in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fourth quarter of 2022, subject to negotiation of final documentation and satisfaction of certain conditions. Under the anticipated terms of the loan, the DOE will not have recourse on the principal and interest of the loan against General Motors Company or any of its consolidated subsidiaries.</w:t>
      </w:r>
    </w:p>
    <w:p>
      <w:pPr>
        <w:spacing w:after="0" w:line="190"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August 2022, our Board of Directors increased the capacity under our previously announced common stock repurchase program to $5.0 billion from the $3.3 billion that remained under the program as of June 30, 2022. During the three months ended September 30, 2022, we completed $1.5 billion of repurchases under the program and retired 38 million shares of our common stock.</w:t>
      </w:r>
    </w:p>
    <w:p>
      <w:pPr>
        <w:spacing w:after="0" w:line="202" w:lineRule="exact"/>
        <w:rPr>
          <w:sz w:val="20"/>
          <w:szCs w:val="20"/>
          <w:color w:val="auto"/>
        </w:rPr>
      </w:pPr>
    </w:p>
    <w:p>
      <w:pPr>
        <w:jc w:val="both"/>
        <w:ind w:firstLine="161"/>
        <w:spacing w:after="0" w:line="237"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2021. Refer to Part II, Item 7. MD&amp;A of our 2021 Form 10-K.</w:t>
      </w:r>
    </w:p>
    <w:p>
      <w:pPr>
        <w:spacing w:after="0" w:line="203"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$15.5 billion at September 30, 2022 and December 31, 2021.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$0.3 billion at September 30, 2022 and December 31, 2021.</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April 2022, we renewed our 364-day, $2.0 billion revolving credit facility allocated for the exclusive use of GM Financial, which now matures on April 4, 2023. If available capacity permits, GM Financial continues to have access to our automotive credit facilities. GM Financial did not have borrowings outstanding against any of these facilities at September 30, 2022 and December 31, 2021. We had intercompany loans from GM Financial of $0.2 billion at September 30, 2022 and December 31, 2021, which primarily consisted of commercial loans to dealers we consolidate. We did not have intercompany loans to GM Financial at September 30, 2022 and December 31, 2021. Refer to Note 5 to our condensed consolidated financial statements for additional information.</w:t>
      </w:r>
    </w:p>
    <w:p>
      <w:pPr>
        <w:spacing w:after="0" w:line="199"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In August 2022, we issued $2.25 billion in aggregate principal amount of senior unsecured notes under our new Sustainable Finance Framework with a weighted average interest rate of 5.51% and maturity dates of 2029 and 2032. We intend to allocate an amount equal to the net proceeds from these senior unsecured notes to finance or refinance, in whole or in part, new or existing green projects, assets or activities undertaken or owned by the Company that meet one or more eligibility criteria outlined in our Sustainable Finance Framework.</w:t>
      </w:r>
    </w:p>
    <w:p>
      <w:pPr>
        <w:spacing w:after="0" w:line="21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2022 and determined we are in compliance and expect to remain in compliance in the future.</w:t>
      </w:r>
    </w:p>
    <w:p>
      <w:pPr>
        <w:spacing w:after="0" w:line="190"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equity ownership stake in Cruise for $2.1 billion and, separately, we made an additional $1.35 billion investment in Cruise in place of SoftBank. During the three and nine months ended September 30, 2022, we made additional investments in Cruise of $0.2 billion and $0.8 billion.</w:t>
      </w:r>
    </w:p>
    <w:p>
      <w:pPr>
        <w:spacing w:after="0" w:line="202"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In September 2022, we exercised our 39.7 million warrants in Stellantis. Upon exercise, the warrants converted into 69.1 million common shares of Stellantis, which we immediately sold back to Stellantis. Total net pre-tax proceeds, including dividends received, in connection with this transaction were approximately $1.1 billion.</w:t>
      </w:r>
    </w:p>
    <w:p>
      <w:pPr>
        <w:spacing w:after="0" w:line="21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$0.3 billion and $1.0 billion on its common stock in the three and nine months ended September 30, 2022 and $0.6 billion and $1.8 billion in the three and nine months ended September 30,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had letters of credit outstanding under our sub-facility of $0.3 billion at September 30, 2022 and December 31, 2021.</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SoftBank's equity stake in Cruise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GM investment in Cruise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Stellantis common shares(a)</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Ultium Cells LLC</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67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Excludes dividends received and tax withholding.</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9"/>
                <w:szCs w:val="19"/>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left="973"/>
              <w:spacing w:after="0"/>
              <w:rPr>
                <w:sz w:val="20"/>
                <w:szCs w:val="20"/>
                <w:color w:val="auto"/>
              </w:rPr>
            </w:pPr>
            <w:r>
              <w:rPr>
                <w:rFonts w:ascii="Times New Roman" w:cs="Times New Roman" w:eastAsia="Times New Roman" w:hAnsi="Times New Roman"/>
                <w:sz w:val="18"/>
                <w:szCs w:val="18"/>
                <w:color w:val="auto"/>
                <w:w w:val="98"/>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101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2022, the increase in Net automotive cash provided by operating activities was primarily due to: (1) working capital; and (2) lower sales incentive payments of $5.0 billion; partially offset by (3) lower dividends received from GM Financial of $0.8 billion.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8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3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8"/>
                <w:szCs w:val="18"/>
                <w:color w:val="auto"/>
                <w:w w:val="98"/>
              </w:rPr>
              <w:t>(2.7)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8"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 billion and $1.0 billion for GM's investment in Cruise in the nine months ended September 30, 2022 and 2021, $2.1 billion related to the redemption of Cruise preferred shares from SoftBank in the nine months ended September 30, 2022, $0.9 billion related to the sale of Stellantis common shares, excluding dividends received and tax withholding, in the nine months ended September 30, 2022, and a $0.6 billion and $0.3 billion investment in Ultium Cells LLC in the nine months ended September 30, 2022 and 2021.</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cash used in acquisitions and liquidations of marketable securities, net increased due to acquisitions of securities and investments compared to liquidations of securities to fund operating activities and investments during the nine months ended September 30, 2021.</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8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60" w:hanging="353"/>
        <w:spacing w:after="0"/>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 billion for dividends paid and payments to purchase common stock in the nine months ended September 30, 2022.</w:t>
      </w:r>
    </w:p>
    <w:p>
      <w:pPr>
        <w:spacing w:after="0" w:line="221"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nine months ended September 30, 2022, net automotive cash provided by operating activities under U.S. GAAP was $11.6 billion, capital expenditures were $5.8 billion, and adjustments were insignificant.</w:t>
      </w:r>
    </w:p>
    <w:p>
      <w:pPr>
        <w:spacing w:after="0" w:line="20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2021, net automotive cash provided by operating activities under U.S. GAAP was $0.3 billion, capital expenditures were $4.2 billion, and adjustments for management actions were insignificant.</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Service and Standard &amp; Poor's. All four credit rating agencies currently rate our corporate credit at investment grade. In May 2022, Fitch raised our ratings outlook to positive from stable. In June 2022, DBRS upgraded our Issuer Rating and Revolving Credit Facility rating to BBB (high) from BBB and also changed its outlook to stable from positive. As of October 17, 2022, all other credit ratings remained unchanged since December 31, 2021.</w:t>
      </w:r>
    </w:p>
    <w:p>
      <w:pPr>
        <w:spacing w:after="0" w:line="23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In January 2022, Cruise Holdings met the requirements for commercial deployment under its agreements with SoftBank,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triggered SoftBank's obligation to purchase additional Cruise convertible preferred shares for $1.35 billion. In March 2022, GM made the additional $1.35 billion investment in Cruise in place of SoftBank following GM's acquisition of SoftBank's equity ownership stake in Cruise pursuant to the Share Purchase Agreement.</w:t>
      </w:r>
    </w:p>
    <w:p>
      <w:pPr>
        <w:spacing w:after="0" w:line="20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Additionally, in March 2022, GM and Cruise announced a liquidity program for holders of equity-based incentive awards issued to the employees of Cruise pursuant to Cruise's 2018 Employee Incentive Plan, under which GM will purchase newly issued Cruise Class B Common Shares to fund the tax withholding on vested awards and GM will conduct tender offers for Cruise Class B Common Shares issued to settle vested awards. During the three and nine months ended September 30, 2022, Cruise issued an insignificant amount and approximately $0.5 billion of Cruise Class B Common Shares, primarily to us, to fund the payment of statutory tax withholding obligations resulting from the settlement or exercise of vested awards. Also, GM conducted quarterly tender offers, and paid an insignificant amount and approximately $0.3 billion in cash to settle tendered Cruise Class B Common Shares under the announced liquidity program during the three and nine months ended September 30, 2022. Refer to Note 16 to our condensed consolidated financial statements for additional information.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Cruise's available liquidity (dollars in billions):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Cruise marketable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Cruise available liquidity(a)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line="260"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 multi-year credit agreement between Cruise and GM Financial whereby Cruise can request to borrow, over time, up to an aggregate of $5.0 billion, through 2024, to fund exclusively the purchase of AVs from GM.</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4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Incentive Plan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$0.2 billion cash outflows related to tendered Cruise Class B Common Shares classified as liabilities.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(1.3)</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2.1</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(0.5)</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0.1</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70" w:lineRule="exact"/>
        <w:rPr>
          <w:sz w:val="20"/>
          <w:szCs w:val="20"/>
          <w:color w:val="auto"/>
        </w:rPr>
      </w:pPr>
    </w:p>
    <w:p>
      <w:pPr>
        <w:sectPr>
          <w:pgSz w:w="11900" w:h="16838" w:orient="portrait"/>
          <w:cols w:equalWidth="0" w:num="2">
            <w:col w:w="9020" w:space="440"/>
            <w:col w:w="1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(0.6)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995"/>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0.7</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(1.1)</w:t>
            </w:r>
          </w:p>
        </w:tc>
      </w:tr>
    </w:tbl>
    <w:p>
      <w:pPr>
        <w:spacing w:after="0" w:line="314" w:lineRule="exact"/>
        <w:rPr>
          <w:sz w:val="20"/>
          <w:szCs w:val="20"/>
          <w:color w:val="auto"/>
        </w:rPr>
      </w:pPr>
    </w:p>
    <w:p>
      <w:pPr>
        <w:jc w:val="both"/>
        <w:ind w:firstLine="161"/>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Automotive Financing – GM Financial Liquidity </w:t>
      </w:r>
      <w:r>
        <w:rPr>
          <w:rFonts w:ascii="Times New Roman" w:cs="Times New Roman" w:eastAsia="Times New Roman" w:hAnsi="Times New Roman"/>
          <w:sz w:val="17"/>
          <w:szCs w:val="17"/>
          <w:color w:val="auto"/>
        </w:rPr>
        <w:t>GM Financial's primary sources of cash are finance charge income, leasing income and proceeds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September 30, 2022, GM Financial's available liquidity increased from December 31, 2021 due to increased available borrowing capacity on unpledged eligible assets, resulting from the issuance of securitization transactions and unsecured debt, and an increase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September 30, 2022 and December 31, 2021. Refer to the Automotive Liquidity section of this MD&amp;A for additional details.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September 30, 2022, secured, committed unsecured and uncommitted unsecured credit facilities totaled $26.0 billion, $0.6 billion and $1.3 billion with advances outstanding of $3.8 billion, an insignificant amount and $1.3 billion.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center"/>
              <w:ind w:left="1018"/>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(1.8)</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998"/>
              <w:spacing w:after="0"/>
              <w:rPr>
                <w:sz w:val="20"/>
                <w:szCs w:val="20"/>
                <w:color w:val="auto"/>
              </w:rPr>
            </w:pPr>
            <w:r>
              <w:rPr>
                <w:rFonts w:ascii="Times New Roman" w:cs="Times New Roman" w:eastAsia="Times New Roman" w:hAnsi="Times New Roman"/>
                <w:sz w:val="18"/>
                <w:szCs w:val="18"/>
                <w:color w:val="auto"/>
                <w:w w:val="98"/>
              </w:rPr>
              <w:t>(6.7)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8"/>
              </w:rPr>
              <w:t>(3.2)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(3.5)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1018"/>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w w:val="98"/>
              </w:rPr>
              <w:t>(1.6)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Net cash provided by operating activities decreased primarily due to: (1) a net increase in cash used in counterparty derivative collateral posting activities of $1.0 billion; and (2) a decrease in leased vehicle income of $0.9 billion; partially offset by (3) a decrease in interest paid of $0.1 billion.</w:t>
      </w:r>
    </w:p>
    <w:p>
      <w:pPr>
        <w:spacing w:after="0" w:line="204"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2022, Net cash used in investing activities increased primarily due to: (1) a decrease in the proceeds from termination of leased vehicles of $4.5 billion; (2) an increase in purchases and originations of finance receivables of $3.7 billion; and (3) a decrease in collections and recoveries on finance receivables of $2.8 billion; partially offset by (4) a decrease in purchases of leased vehicles of $7.6 billion.</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2022, Net cash provided by financing activities increased primarily due to: (1) a decrease in debt repayments of $5.9 billion; and (2) a decrease in dividend payments of $0.8 billion; partially offset by (3) a decrease in borrowings of $2.7 billion.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2021 Form 10-K.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50" w:lineRule="auto"/>
        <w:tabs>
          <w:tab w:leader="none" w:pos="2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(7) risks associated with climate change, including increased regulation of greenhouse gas emissions, our transition to EVs and the potential increased impacts of severe weather events; (8) global automobile market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volume, which can be volatile; (9)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 additional tax expense or exposure; (24) our continued ability to develop captive financing capability through GM Financial; and (25) any significant increase in our pension funding requirements. A further list and description of these risks, uncertainties and other factors can be found in our 2021 Form 10-K and our subsequent filings with the SEC.</w:t>
      </w:r>
    </w:p>
    <w:p>
      <w:pPr>
        <w:spacing w:after="0" w:line="22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2021. For further discussion on market risk, refer to Part II, Item 7A. of our 2021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September 30, 2022 as required by paragraph (b) of Rules 13a-15 or 15d-15. Based on this evaluation, our CEO and CFO concluded that our disclosure controls and procedures were effective as of September 30, 2022.</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September 30, 2022 that have materially affected, or are reasonably likely to materially affect, our internal control over financial reporting. For additional information refer to Part I, Item 1A. Risk Factors of our 2021 Form 10-K.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$1.0 million for purposes of determining whether disclosure of any such proceedings is required.</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discussion under "Litigation-Related Liability and Tax Administrative Matters" in Note 14 to our condensed consolidated financial statements is incorporated by reference into this Part II, Item 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2021 Form 10-K.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September 30,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1"/>
                <w:szCs w:val="11"/>
                <w:color w:val="auto"/>
              </w:rPr>
            </w:pP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Share(c)</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0" w:type="dxa"/>
            <w:vAlign w:val="bottom"/>
          </w:tcPr>
          <w:p>
            <w:pPr>
              <w:spacing w:after="0"/>
              <w:rPr>
                <w:sz w:val="1"/>
                <w:szCs w:val="1"/>
                <w:color w:val="auto"/>
              </w:rPr>
            </w:pPr>
          </w:p>
        </w:tc>
      </w:tr>
      <w:tr>
        <w:trPr>
          <w:trHeight w:val="25"/>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through July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through August 31,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15,499,447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15,499,447</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through September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22,450,580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22,402,456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37,955,840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37,901,903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w:t>
      </w:r>
    </w:p>
    <w:p>
      <w:pPr>
        <w:spacing w:after="0" w:line="26" w:lineRule="exact"/>
        <w:rPr>
          <w:sz w:val="20"/>
          <w:szCs w:val="20"/>
          <w:color w:val="auto"/>
        </w:rPr>
      </w:pPr>
    </w:p>
    <w:p>
      <w:pPr>
        <w:ind w:left="340" w:hanging="333"/>
        <w:spacing w:after="0" w:line="251"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shares delivered by employees or directors to us for the payment of taxes resulting from the issuance of common stock upon the vesting of RSUs and PSUs relating to compensation plans. Refer to our 2021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$5.0 billion of our common stock with no expiration date. In August 2022, the Board of Directors increased the capacity to $5.0 billion from the $3.3 billion that remained as of June 30, 2022, with no expiration.</w:t>
      </w:r>
    </w:p>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36"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00" w:type="dxa"/>
            <w:vAlign w:val="bottom"/>
            <w:gridSpan w:val="8"/>
          </w:tcPr>
          <w:p>
            <w:pPr>
              <w:ind w:left="106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8"/>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40" w:type="dxa"/>
            <w:vAlign w:val="bottom"/>
            <w:tcBorders>
              <w:top w:val="single" w:sz="8" w:color="auto"/>
            </w:tcBorders>
            <w:gridSpan w:val="10"/>
            <w:shd w:val="clear" w:color="auto" w:fill="CCEEFF"/>
          </w:tcPr>
          <w:p>
            <w:pPr>
              <w:spacing w:after="0" w:line="168"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Restated Certificate of Incorporation of General Motors Company dated December 7, 2010, incorporated herein</w:t>
              </w:r>
            </w:hyperlink>
          </w:p>
        </w:tc>
        <w:tc>
          <w:tcPr>
            <w:tcW w:w="1580" w:type="dxa"/>
            <w:vAlign w:val="bottom"/>
            <w:tcBorders>
              <w:top w:val="single" w:sz="8" w:color="CCEEFF"/>
            </w:tcBorders>
            <w:shd w:val="clear" w:color="auto" w:fill="CCEEFF"/>
          </w:tcPr>
          <w:p>
            <w:pPr>
              <w:ind w:left="6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80" w:type="dxa"/>
            <w:vAlign w:val="bottom"/>
            <w:tcBorders>
              <w:top w:val="single" w:sz="8" w:color="0000FF"/>
              <w:bottom w:val="single" w:sz="8" w:color="0000FF"/>
            </w:tcBorders>
            <w:gridSpan w:val="7"/>
            <w:shd w:val="clear" w:color="auto" w:fill="CCEEFF"/>
          </w:tcPr>
          <w:p>
            <w:pPr>
              <w:spacing w:after="0" w:line="161"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2010</w:t>
              </w:r>
            </w:hyperlink>
          </w:p>
        </w:tc>
        <w:tc>
          <w:tcPr>
            <w:tcW w:w="3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10"/>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General Motors Company Amended and Restated Bylaws, as amended August 17, 2021, incorporated by</w:t>
              </w:r>
            </w:hyperlink>
          </w:p>
        </w:tc>
        <w:tc>
          <w:tcPr>
            <w:tcW w:w="15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reference to Exhibit 3.1 to the Current Report on Form 8-K of General Motors Company filed on August 23,</w:t>
              </w:r>
            </w:hyperlink>
          </w:p>
        </w:tc>
        <w:tc>
          <w:tcPr>
            <w:tcW w:w="20" w:type="dxa"/>
            <w:vAlign w:val="bottom"/>
          </w:tcPr>
          <w:p>
            <w:pPr>
              <w:spacing w:after="0"/>
              <w:rPr>
                <w:sz w:val="13"/>
                <w:szCs w:val="13"/>
                <w:color w:val="auto"/>
              </w:rPr>
            </w:pPr>
          </w:p>
        </w:tc>
        <w:tc>
          <w:tcPr>
            <w:tcW w:w="1580" w:type="dxa"/>
            <w:vAlign w:val="bottom"/>
          </w:tcPr>
          <w:p>
            <w:pPr>
              <w:ind w:left="6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2021</w:t>
              </w:r>
            </w:hyperlink>
          </w:p>
        </w:tc>
        <w:tc>
          <w:tcPr>
            <w:tcW w:w="3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4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Seventh Supplemental Indenture, dated as of August 2, 2022, to the Indenture, dated as of September 27, 2013,</w:t>
              </w:r>
            </w:hyperlink>
          </w:p>
        </w:tc>
        <w:tc>
          <w:tcPr>
            <w:tcW w:w="158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4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between General Motors Company, as issuer, and The Bank of New York Mellon, as Trustee,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CCEEFF"/>
              <w:bottom w:val="single" w:sz="8" w:color="CCEEFF"/>
            </w:tcBorders>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100" w:type="dxa"/>
            <w:vAlign w:val="bottom"/>
            <w:tcBorders>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reference to Exhibit 4.2 to the Current Report on Form 8-K of General Motors Company filed on August 2,</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68"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2022</w:t>
              </w:r>
            </w:hyperlink>
          </w:p>
        </w:tc>
        <w:tc>
          <w:tcPr>
            <w:tcW w:w="3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5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4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58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5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80" w:type="dxa"/>
            <w:vAlign w:val="bottom"/>
            <w:gridSpan w:val="4"/>
          </w:tcPr>
          <w:p>
            <w:pPr>
              <w:spacing w:after="0"/>
              <w:rPr>
                <w:sz w:val="13"/>
                <w:szCs w:val="13"/>
                <w:color w:val="auto"/>
              </w:rPr>
            </w:pPr>
          </w:p>
        </w:tc>
        <w:tc>
          <w:tcPr>
            <w:tcW w:w="1580" w:type="dxa"/>
            <w:vAlign w:val="bottom"/>
          </w:tcPr>
          <w:p>
            <w:pPr>
              <w:ind w:left="6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w:t>
            </w:r>
          </w:p>
        </w:tc>
        <w:tc>
          <w:tcPr>
            <w:tcW w:w="1580" w:type="dxa"/>
            <w:vAlign w:val="bottom"/>
            <w:shd w:val="clear" w:color="auto" w:fill="CCEEFF"/>
          </w:tcPr>
          <w:p>
            <w:pPr>
              <w:ind w:left="6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September 30, 2022, formatted in Inline Extensible Business Reporting Language (iXBRL) includes: (i) the</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Condensed Consolidated Income Statements, (ii) the Condensed Consolidated Statements of Comprehensive</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Income, (iii) the Condensed Consolidated Balance Sheets, (iv) the Condensed Consolidated Statements of Cash</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Flows, (v) the Condensed Consolidated Statements of Equity and (vi) Notes to the Condensed Consolidated</w:t>
            </w: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1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0"/>
          </w:tcPr>
          <w:p>
            <w:pPr>
              <w:spacing w:after="0" w:line="175"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2022,</w:t>
            </w:r>
          </w:p>
        </w:tc>
        <w:tc>
          <w:tcPr>
            <w:tcW w:w="1580" w:type="dxa"/>
            <w:vAlign w:val="bottom"/>
          </w:tcPr>
          <w:p>
            <w:pPr>
              <w:ind w:left="6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right="340"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16510</wp:posOffset>
            </wp:positionV>
            <wp:extent cx="32505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Christopher T. Hatto, Vice President, Global Business Solutions and</w:t>
      </w:r>
    </w:p>
    <w:p>
      <w:pPr>
        <w:spacing w:after="0" w:line="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25, 2022</w:t>
      </w:r>
    </w:p>
    <w:p>
      <w:pPr>
        <w:spacing w:after="0" w:line="200" w:lineRule="exact"/>
        <w:rPr>
          <w:sz w:val="20"/>
          <w:szCs w:val="20"/>
          <w:color w:val="auto"/>
        </w:rPr>
      </w:pPr>
    </w:p>
    <w:p>
      <w:pPr>
        <w:spacing w:after="0" w:line="2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40"/>
          </w:cols>
          <w:pgMar w:left="320" w:top="121" w:right="8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25, 2022</w:t>
      </w:r>
    </w:p>
    <w:p>
      <w:pPr>
        <w:sectPr>
          <w:pgSz w:w="11900" w:h="16838" w:orient="portrait"/>
          <w:cols w:equalWidth="0" w:num="1">
            <w:col w:w="11240"/>
          </w:cols>
          <w:pgMar w:left="320" w:top="35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25, 2022</w:t>
      </w:r>
    </w:p>
    <w:p>
      <w:pPr>
        <w:sectPr>
          <w:pgSz w:w="11900" w:h="16838" w:orient="portrait"/>
          <w:cols w:equalWidth="0" w:num="1">
            <w:col w:w="11240"/>
          </w:cols>
          <w:pgMar w:left="320" w:top="35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2022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046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25, 2022</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lvl w:ilvl="1">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78" Type="http://schemas.openxmlformats.org/officeDocument/2006/relationships/hyperlink" Target="http://www.sec.gov/Archives/edgar/data/1467858/000119312510279214/dex32.htm" TargetMode="External"/><Relationship Id="rId79" Type="http://schemas.openxmlformats.org/officeDocument/2006/relationships/hyperlink" Target="https://www.sec.gov/Archives/edgar/data/1467858/000119312521254010/d132589dex31.htm" TargetMode="External"/><Relationship Id="rId80" Type="http://schemas.openxmlformats.org/officeDocument/2006/relationships/hyperlink" Target="https://www.sec.gov/Archives/edgar/data/1467858/000119312522210038/d38092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2022-10-25T13:41:15Z</dcterms:created>
  <dcterms:modified xsi:type="dcterms:W3CDTF">2022-10-25T13:41:15Z</dcterms:modified>
</cp:coreProperties>
</file>