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193675</wp:posOffset>
            </wp:positionH>
            <wp:positionV relativeFrom="page">
              <wp:posOffset>581025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6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8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Pursuant to Section 13 or 15(d) of</w:t>
      </w:r>
    </w:p>
    <w:p>
      <w:pPr>
        <w:spacing w:after="0" w:line="1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7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February 26, 2025</w:t>
      </w:r>
    </w:p>
    <w:p>
      <w:pPr>
        <w:spacing w:after="0" w:line="2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4"/>
          <w:szCs w:val="34"/>
          <w:b w:val="1"/>
          <w:bCs w:val="1"/>
          <w:color w:val="auto"/>
        </w:rPr>
        <w:t>GENERAL MOTORS COMPANY</w:t>
      </w:r>
    </w:p>
    <w:p>
      <w:pPr>
        <w:spacing w:after="0" w:line="1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7"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7"/>
          <w:szCs w:val="17"/>
          <w:color w:val="auto"/>
        </w:rPr>
        <w:t>__________________</w:t>
      </w:r>
    </w:p>
    <w:p>
      <w:pPr>
        <w:sectPr>
          <w:pgSz w:w="11900" w:h="16838" w:orient="portrait"/>
          <w:cols w:equalWidth="0" w:num="1">
            <w:col w:w="11040"/>
          </w:cols>
          <w:pgMar w:left="300" w:top="1178" w:right="559" w:bottom="1440" w:gutter="0" w:footer="0" w:header="0"/>
        </w:sectPr>
      </w:pPr>
    </w:p>
    <w:p>
      <w:pPr>
        <w:spacing w:after="0" w:line="96"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3"/>
          <w:szCs w:val="13"/>
          <w:b w:val="1"/>
          <w:bCs w:val="1"/>
          <w:color w:val="auto"/>
        </w:rPr>
        <w:t>001-34960</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27-0756180</w:t>
      </w:r>
    </w:p>
    <w:p>
      <w:pPr>
        <w:spacing w:after="0" w:line="53" w:lineRule="exact"/>
        <w:rPr>
          <w:sz w:val="24"/>
          <w:szCs w:val="24"/>
          <w:color w:val="auto"/>
        </w:rPr>
      </w:pPr>
    </w:p>
    <w:p>
      <w:pPr>
        <w:sectPr>
          <w:pgSz w:w="11900" w:h="16838" w:orient="portrait"/>
          <w:cols w:equalWidth="0" w:num="3">
            <w:col w:w="4780" w:space="720"/>
            <w:col w:w="2820" w:space="720"/>
            <w:col w:w="2000"/>
          </w:cols>
          <w:pgMar w:left="300" w:top="1178" w:right="55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34" w:lineRule="exact"/>
        <w:rPr>
          <w:sz w:val="24"/>
          <w:szCs w:val="24"/>
          <w:color w:val="auto"/>
        </w:rPr>
      </w:pPr>
    </w:p>
    <w:p>
      <w:pPr>
        <w:sectPr>
          <w:pgSz w:w="11900" w:h="16838" w:orient="portrait"/>
          <w:cols w:equalWidth="0" w:num="3">
            <w:col w:w="4300" w:space="720"/>
            <w:col w:w="2620" w:space="720"/>
            <w:col w:w="2680"/>
          </w:cols>
          <w:pgMar w:left="300" w:top="1178" w:right="559" w:bottom="1440" w:gutter="0" w:footer="0" w:header="0"/>
          <w:type w:val="continuous"/>
        </w:sectPr>
      </w:pPr>
    </w:p>
    <w:p>
      <w:pPr>
        <w:jc w:val="right"/>
        <w:ind w:right="3440"/>
        <w:spacing w:after="0"/>
        <w:tabs>
          <w:tab w:leader="none" w:pos="4700" w:val="left"/>
          <w:tab w:leader="none" w:pos="4000" w:val="left"/>
        </w:tabs>
        <w:rPr>
          <w:sz w:val="20"/>
          <w:szCs w:val="20"/>
          <w:color w:val="auto"/>
        </w:rPr>
      </w:pPr>
      <w:r>
        <w:rPr>
          <w:rFonts w:ascii="Times New Roman" w:cs="Times New Roman" w:eastAsia="Times New Roman" w:hAnsi="Times New Roman"/>
          <w:sz w:val="14"/>
          <w:szCs w:val="14"/>
          <w:b w:val="1"/>
          <w:bCs w:val="1"/>
          <w:color w:val="auto"/>
        </w:rPr>
        <w:t>300 Renaissance Center,</w:t>
      </w:r>
      <w:r>
        <w:rPr>
          <w:sz w:val="20"/>
          <w:szCs w:val="20"/>
          <w:color w:val="auto"/>
        </w:rPr>
        <w:tab/>
      </w:r>
      <w:r>
        <w:rPr>
          <w:rFonts w:ascii="Times New Roman" w:cs="Times New Roman" w:eastAsia="Times New Roman" w:hAnsi="Times New Roman"/>
          <w:sz w:val="14"/>
          <w:szCs w:val="14"/>
          <w:b w:val="1"/>
          <w:bCs w:val="1"/>
          <w:color w:val="auto"/>
        </w:rPr>
        <w:t>Detroit,</w:t>
      </w:r>
      <w:r>
        <w:rPr>
          <w:sz w:val="20"/>
          <w:szCs w:val="20"/>
          <w:color w:val="auto"/>
        </w:rPr>
        <w:tab/>
      </w:r>
      <w:r>
        <w:rPr>
          <w:rFonts w:ascii="Times New Roman" w:cs="Times New Roman" w:eastAsia="Times New Roman" w:hAnsi="Times New Roman"/>
          <w:sz w:val="14"/>
          <w:szCs w:val="14"/>
          <w:b w:val="1"/>
          <w:bCs w:val="1"/>
          <w:color w:val="auto"/>
        </w:rPr>
        <w:t>Michigan</w:t>
      </w:r>
    </w:p>
    <w:p>
      <w:pPr>
        <w:spacing w:after="0" w:line="25" w:lineRule="exact"/>
        <w:rPr>
          <w:sz w:val="24"/>
          <w:szCs w:val="24"/>
          <w:color w:val="auto"/>
        </w:rPr>
      </w:pPr>
    </w:p>
    <w:p>
      <w:pPr>
        <w:jc w:val="right"/>
        <w:ind w:right="34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80"/>
        <w:spacing w:after="0"/>
        <w:rPr>
          <w:sz w:val="20"/>
          <w:szCs w:val="20"/>
          <w:color w:val="auto"/>
        </w:rPr>
      </w:pPr>
      <w:r>
        <w:rPr>
          <w:rFonts w:ascii="Times New Roman" w:cs="Times New Roman" w:eastAsia="Times New Roman" w:hAnsi="Times New Roman"/>
          <w:sz w:val="13"/>
          <w:szCs w:val="13"/>
          <w:b w:val="1"/>
          <w:bCs w:val="1"/>
          <w:color w:val="auto"/>
        </w:rPr>
        <w:t>48265 -3000</w:t>
      </w:r>
    </w:p>
    <w:p>
      <w:pPr>
        <w:spacing w:after="0" w:line="37" w:lineRule="exact"/>
        <w:rPr>
          <w:sz w:val="24"/>
          <w:szCs w:val="24"/>
          <w:color w:val="auto"/>
        </w:rPr>
      </w:pPr>
    </w:p>
    <w:p>
      <w:pPr>
        <w:jc w:val="right"/>
        <w:ind w:right="2000"/>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7640" w:space="720"/>
            <w:col w:w="2680"/>
          </w:cols>
          <w:pgMar w:left="300" w:top="1178" w:right="559" w:bottom="1440" w:gutter="0" w:footer="0" w:header="0"/>
          <w:type w:val="continuous"/>
        </w:sectPr>
      </w:pPr>
    </w:p>
    <w:p>
      <w:pPr>
        <w:spacing w:after="0" w:line="6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(313) 667-1500</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8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7"/>
          <w:szCs w:val="17"/>
          <w:color w:val="auto"/>
        </w:rPr>
        <w:t>__________________</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84" w:lineRule="exact"/>
        <w:rPr>
          <w:sz w:val="24"/>
          <w:szCs w:val="24"/>
          <w:color w:val="auto"/>
        </w:rPr>
      </w:pPr>
    </w:p>
    <w:tbl>
      <w:tblPr>
        <w:tblLayout w:type="fixed"/>
        <w:tblInd w:w="1560" w:type="dxa"/>
        <w:tblCellMar>
          <w:top w:w="0" w:type="dxa"/>
          <w:left w:w="0" w:type="dxa"/>
          <w:bottom w:w="0" w:type="dxa"/>
          <w:right w:w="0" w:type="dxa"/>
        </w:tblCellMar>
      </w:tblPr>
      <w:tr>
        <w:trPr>
          <w:trHeight w:val="165"/>
        </w:trPr>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gridSpan w:val="3"/>
          </w:tcPr>
          <w:p>
            <w:pPr>
              <w:jc w:val="center"/>
              <w:ind w:left="96"/>
              <w:spacing w:after="0"/>
              <w:rPr>
                <w:sz w:val="20"/>
                <w:szCs w:val="20"/>
                <w:color w:val="auto"/>
              </w:rPr>
            </w:pPr>
            <w:r>
              <w:rPr>
                <w:rFonts w:ascii="Times New Roman" w:cs="Times New Roman" w:eastAsia="Times New Roman" w:hAnsi="Times New Roman"/>
                <w:sz w:val="13"/>
                <w:szCs w:val="13"/>
                <w:color w:val="auto"/>
                <w:w w:val="98"/>
              </w:rPr>
              <w:t>Securities registered pursuant to Section 12(b) of the Act:</w:t>
            </w:r>
          </w:p>
        </w:tc>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70"/>
        </w:trPr>
        <w:tc>
          <w:tcPr>
            <w:tcW w:w="360" w:type="dxa"/>
            <w:vAlign w:val="bottom"/>
          </w:tcPr>
          <w:p>
            <w:pPr>
              <w:spacing w:after="0"/>
              <w:rPr>
                <w:sz w:val="23"/>
                <w:szCs w:val="23"/>
                <w:color w:val="auto"/>
              </w:rPr>
            </w:pPr>
          </w:p>
        </w:tc>
        <w:tc>
          <w:tcPr>
            <w:tcW w:w="1780" w:type="dxa"/>
            <w:vAlign w:val="bottom"/>
            <w:gridSpan w:val="2"/>
          </w:tcPr>
          <w:p>
            <w:pPr>
              <w:jc w:val="center"/>
              <w:ind w:right="860"/>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1460" w:type="dxa"/>
            <w:vAlign w:val="bottom"/>
          </w:tcPr>
          <w:p>
            <w:pPr>
              <w:spacing w:after="0"/>
              <w:rPr>
                <w:sz w:val="23"/>
                <w:szCs w:val="23"/>
                <w:color w:val="auto"/>
              </w:rPr>
            </w:pPr>
          </w:p>
        </w:tc>
        <w:tc>
          <w:tcPr>
            <w:tcW w:w="2280" w:type="dxa"/>
            <w:vAlign w:val="bottom"/>
            <w:gridSpan w:val="2"/>
          </w:tcPr>
          <w:p>
            <w:pPr>
              <w:jc w:val="center"/>
              <w:ind w:right="1320"/>
              <w:spacing w:after="0"/>
              <w:rPr>
                <w:sz w:val="20"/>
                <w:szCs w:val="20"/>
                <w:color w:val="auto"/>
              </w:rPr>
            </w:pPr>
            <w:r>
              <w:rPr>
                <w:rFonts w:ascii="Times New Roman" w:cs="Times New Roman" w:eastAsia="Times New Roman" w:hAnsi="Times New Roman"/>
                <w:sz w:val="13"/>
                <w:szCs w:val="13"/>
                <w:color w:val="auto"/>
                <w:w w:val="97"/>
              </w:rPr>
              <w:t>Trading Symbol(s)</w:t>
            </w:r>
          </w:p>
        </w:tc>
        <w:tc>
          <w:tcPr>
            <w:tcW w:w="2600" w:type="dxa"/>
            <w:vAlign w:val="bottom"/>
            <w:gridSpan w:val="2"/>
          </w:tcPr>
          <w:p>
            <w:pPr>
              <w:jc w:val="center"/>
              <w:ind w:left="276"/>
              <w:spacing w:after="0"/>
              <w:rPr>
                <w:sz w:val="20"/>
                <w:szCs w:val="20"/>
                <w:color w:val="auto"/>
              </w:rPr>
            </w:pPr>
            <w:r>
              <w:rPr>
                <w:rFonts w:ascii="Times New Roman" w:cs="Times New Roman" w:eastAsia="Times New Roman" w:hAnsi="Times New Roman"/>
                <w:sz w:val="13"/>
                <w:szCs w:val="13"/>
                <w:color w:val="auto"/>
                <w:w w:val="98"/>
              </w:rPr>
              <w:t>Name of each exchange on which registered</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177"/>
        </w:trPr>
        <w:tc>
          <w:tcPr>
            <w:tcW w:w="214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color w:val="auto"/>
                <w:w w:val="97"/>
              </w:rPr>
              <w:t>Common Stock, $0.01 par value</w:t>
            </w:r>
          </w:p>
        </w:tc>
        <w:tc>
          <w:tcPr>
            <w:tcW w:w="1460" w:type="dxa"/>
            <w:vAlign w:val="bottom"/>
          </w:tcPr>
          <w:p>
            <w:pPr>
              <w:spacing w:after="0"/>
              <w:rPr>
                <w:sz w:val="15"/>
                <w:szCs w:val="15"/>
                <w:color w:val="auto"/>
              </w:rPr>
            </w:pPr>
          </w:p>
        </w:tc>
        <w:tc>
          <w:tcPr>
            <w:tcW w:w="2280" w:type="dxa"/>
            <w:vAlign w:val="bottom"/>
            <w:gridSpan w:val="2"/>
          </w:tcPr>
          <w:p>
            <w:pPr>
              <w:jc w:val="center"/>
              <w:ind w:right="1320"/>
              <w:spacing w:after="0"/>
              <w:rPr>
                <w:sz w:val="20"/>
                <w:szCs w:val="20"/>
                <w:color w:val="auto"/>
              </w:rPr>
            </w:pPr>
            <w:r>
              <w:rPr>
                <w:rFonts w:ascii="Times New Roman" w:cs="Times New Roman" w:eastAsia="Times New Roman" w:hAnsi="Times New Roman"/>
                <w:sz w:val="13"/>
                <w:szCs w:val="13"/>
                <w:color w:val="auto"/>
                <w:w w:val="95"/>
              </w:rPr>
              <w:t>GM</w:t>
            </w:r>
          </w:p>
        </w:tc>
        <w:tc>
          <w:tcPr>
            <w:tcW w:w="34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New York Stock Exchange</w:t>
            </w:r>
          </w:p>
        </w:tc>
      </w:tr>
    </w:tbl>
    <w:p>
      <w:pPr>
        <w:spacing w:after="0" w:line="163" w:lineRule="exact"/>
        <w:rPr>
          <w:sz w:val="24"/>
          <w:szCs w:val="24"/>
          <w:color w:val="auto"/>
        </w:rPr>
      </w:pPr>
    </w:p>
    <w:p>
      <w:pPr>
        <w:ind w:right="5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3"/>
          <w:szCs w:val="13"/>
          <w:color w:val="auto"/>
        </w:rPr>
        <w:t>☐</w:t>
      </w:r>
    </w:p>
    <w:p>
      <w:pPr>
        <w:spacing w:after="0" w:line="133"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570865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85090</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40"/>
          </w:cols>
          <w:pgMar w:left="300" w:top="1178" w:right="5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91" w:lineRule="exact"/>
        <w:rPr>
          <w:sz w:val="20"/>
          <w:szCs w:val="20"/>
          <w:color w:val="auto"/>
        </w:rPr>
      </w:pPr>
    </w:p>
    <w:p>
      <w:pPr>
        <w:ind w:right="380" w:firstLine="127"/>
        <w:spacing w:after="0" w:line="271" w:lineRule="auto"/>
        <w:rPr>
          <w:sz w:val="20"/>
          <w:szCs w:val="20"/>
          <w:color w:val="auto"/>
        </w:rPr>
      </w:pPr>
      <w:r>
        <w:rPr>
          <w:rFonts w:ascii="Times New Roman" w:cs="Times New Roman" w:eastAsia="Times New Roman" w:hAnsi="Times New Roman"/>
          <w:sz w:val="14"/>
          <w:szCs w:val="14"/>
          <w:color w:val="auto"/>
        </w:rPr>
        <w:t>A copy of the press release issued by General Motors Company (the “Company”) relating to the matters described in Item 8.01 of this Current Report on Form 8-K is attached as Exhibit 99.1 hereto and incorporated by reference into this Item 7.01.</w:t>
      </w:r>
    </w:p>
    <w:p>
      <w:pPr>
        <w:spacing w:after="0" w:line="146" w:lineRule="exact"/>
        <w:rPr>
          <w:sz w:val="20"/>
          <w:szCs w:val="20"/>
          <w:color w:val="auto"/>
        </w:rPr>
      </w:pPr>
    </w:p>
    <w:p>
      <w:pPr>
        <w:jc w:val="both"/>
        <w:ind w:right="80" w:firstLine="127"/>
        <w:spacing w:after="0" w:line="254" w:lineRule="auto"/>
        <w:rPr>
          <w:sz w:val="20"/>
          <w:szCs w:val="20"/>
          <w:color w:val="auto"/>
        </w:rPr>
      </w:pPr>
      <w:r>
        <w:rPr>
          <w:rFonts w:ascii="Times New Roman" w:cs="Times New Roman" w:eastAsia="Times New Roman" w:hAnsi="Times New Roman"/>
          <w:sz w:val="14"/>
          <w:szCs w:val="14"/>
          <w:color w:val="auto"/>
        </w:rPr>
        <w:t>The information furnished pursuant to this Item 7.01 of Current Report on Form 8-K shall not be considered “filed” for purposes of Section 18 of the Securities Exchange Act of 1934, as amended (the “Exchange Act”), or otherwise subject to the liabilities of that section, and such information shall not be deemed incorporated by reference in any filing by the Company under the Securities Act of 1933, as amended, or the Exchange Act, except as may be expressly set forth by specific reference in such filing.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8.01 Other Events</w:t>
      </w:r>
    </w:p>
    <w:p>
      <w:pPr>
        <w:spacing w:after="0" w:line="191" w:lineRule="exact"/>
        <w:rPr>
          <w:sz w:val="20"/>
          <w:szCs w:val="20"/>
          <w:color w:val="auto"/>
        </w:rPr>
      </w:pPr>
    </w:p>
    <w:p>
      <w:pPr>
        <w:ind w:right="20" w:firstLine="127"/>
        <w:spacing w:after="0" w:line="243" w:lineRule="auto"/>
        <w:rPr>
          <w:sz w:val="20"/>
          <w:szCs w:val="20"/>
          <w:color w:val="auto"/>
        </w:rPr>
      </w:pPr>
      <w:r>
        <w:rPr>
          <w:rFonts w:ascii="Times New Roman" w:cs="Times New Roman" w:eastAsia="Times New Roman" w:hAnsi="Times New Roman"/>
          <w:sz w:val="14"/>
          <w:szCs w:val="14"/>
          <w:color w:val="auto"/>
        </w:rPr>
        <w:t>On February 24, 2025, the Board of Directors (the “Board”) of the Company authorized an increase under the Company’s share repurchase program to an aggregate of $6.3 billion, of which $0.3 billion of capacity was remaining under the Company’s previously authorized program. Following the completion of the transactions contemplated in the ASR Agreements (as defined below), the Company expects to have $4.3 billion in share repurchase capacity for additional, opportunistic share repurchases. The Company also announced that it expects to increase its quarterly common stock dividend by $0.03 per share, beginning with the Company’s next quarterly dividend which is expected to be declared in April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ASR Agreements</w:t>
      </w:r>
    </w:p>
    <w:p>
      <w:pPr>
        <w:spacing w:after="0" w:line="191" w:lineRule="exact"/>
        <w:rPr>
          <w:sz w:val="20"/>
          <w:szCs w:val="20"/>
          <w:color w:val="auto"/>
        </w:rPr>
      </w:pPr>
    </w:p>
    <w:p>
      <w:pPr>
        <w:ind w:right="20" w:firstLine="127"/>
        <w:spacing w:after="0" w:line="239" w:lineRule="auto"/>
        <w:rPr>
          <w:sz w:val="20"/>
          <w:szCs w:val="20"/>
          <w:color w:val="auto"/>
        </w:rPr>
      </w:pPr>
      <w:r>
        <w:rPr>
          <w:rFonts w:ascii="Times New Roman" w:cs="Times New Roman" w:eastAsia="Times New Roman" w:hAnsi="Times New Roman"/>
          <w:sz w:val="14"/>
          <w:szCs w:val="14"/>
          <w:color w:val="auto"/>
        </w:rPr>
        <w:t>On February 26, 2025, the Company entered into a master confirmation (each a “Master Confirmation”) and supplemental confirmation (together with the related Master Confirmation, collectively, the “ASR Agreements”), with each of Barclays Bank PLC (“Barclays”) and J.P. Morgan Chase Bank, National Association (“JPM” and, collectively with Barclays, the “Counterparties”). Under the ASR Agreements, the Company will repurchase an aggregate of $2.0 billion of the Company’s common stock (such transaction, the “ASR”) as part of the share repurchase program approved by the Company’s Board on February 24, 2025. Pursuant to the ASR Agreements, the Company will advance an aggregate amount of $2.0 billion to the Counterparties on February 27, 2025 and will immediately receive and retire an initial delivery of shares of the Company’s common stock with a value of $1.6 billion. The final number of shares to ultimately be repurchased under the ASR Agreements will be based on the average of the daily volume-weighted average prices of the Company’s common stock during the term of the ASR Agreements, less a discount and subject to adjustments pursuant to the terms and conditions of the ASR Agreements. Upon final settlement of the ASR, under certain circumstances, each of the Counterparties may be required to deliver additional shares of common stock, or the Company may be required to deliver shares of common stock or to make a cash payment, at its election, to the Counterparties. The final settlement of the transactions contemplated under the ASR Agreements is scheduled to occur no later than June 30, 2025, which, in each case, may be accelerated at the option of the applicable Counterparty under certain limited circumstances.</w:t>
      </w:r>
    </w:p>
    <w:p>
      <w:pPr>
        <w:spacing w:after="0" w:line="169" w:lineRule="exact"/>
        <w:rPr>
          <w:sz w:val="20"/>
          <w:szCs w:val="20"/>
          <w:color w:val="auto"/>
        </w:rPr>
      </w:pPr>
    </w:p>
    <w:p>
      <w:pPr>
        <w:ind w:firstLine="127"/>
        <w:spacing w:after="0" w:line="248" w:lineRule="auto"/>
        <w:rPr>
          <w:sz w:val="20"/>
          <w:szCs w:val="20"/>
          <w:color w:val="auto"/>
        </w:rPr>
      </w:pPr>
      <w:r>
        <w:rPr>
          <w:rFonts w:ascii="Times New Roman" w:cs="Times New Roman" w:eastAsia="Times New Roman" w:hAnsi="Times New Roman"/>
          <w:sz w:val="14"/>
          <w:szCs w:val="14"/>
          <w:color w:val="auto"/>
        </w:rPr>
        <w:t>Each of the ASR Agreements contains customary terms for these types of transactions, including, among others, the mechanisms to determine the number of shares or the amount of cash that will be delivered at settlement, the required timing of delivery upon settlement, the specific circumstances under which adjustments may be made to the transactions, the specific circumstances under which the transactions may be cancelled prior to the scheduled maturity, and various acknowledgments, representations, and warranties made by the Company and the Counterparties, as applicable, to one another.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on Forward-Looking Statements</w:t>
      </w:r>
      <w:r>
        <w:rPr>
          <w:rFonts w:ascii="Times New Roman" w:cs="Times New Roman" w:eastAsia="Times New Roman" w:hAnsi="Times New Roman"/>
          <w:sz w:val="14"/>
          <w:szCs w:val="14"/>
          <w:color w:val="auto"/>
        </w:rPr>
        <w:t>:</w:t>
      </w:r>
    </w:p>
    <w:p>
      <w:pPr>
        <w:spacing w:after="0" w:line="202" w:lineRule="exact"/>
        <w:rPr>
          <w:sz w:val="20"/>
          <w:szCs w:val="20"/>
          <w:color w:val="auto"/>
        </w:rPr>
      </w:pPr>
    </w:p>
    <w:p>
      <w:pPr>
        <w:ind w:right="60" w:firstLine="127"/>
        <w:spacing w:after="0" w:line="245" w:lineRule="auto"/>
        <w:rPr>
          <w:sz w:val="20"/>
          <w:szCs w:val="20"/>
          <w:color w:val="auto"/>
        </w:rPr>
      </w:pPr>
      <w:r>
        <w:rPr>
          <w:rFonts w:ascii="Times New Roman" w:cs="Times New Roman" w:eastAsia="Times New Roman" w:hAnsi="Times New Roman"/>
          <w:sz w:val="14"/>
          <w:szCs w:val="14"/>
          <w:color w:val="auto"/>
        </w:rPr>
        <w:t>This Current Report on Form 8-K and the document incorporated herein by reference include “forward-looking statements” within the meaning of the U.S. federal securities laws. Future declarations of quarterly dividends and the establishment of future record and payment dates, as well as repurchases of shares, are at the discretion of our Board of Directors and will be based on a number of factors, including our future financial performance and other investment priorities.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 in response to increased competition and changing consumer needs and preferences; (2) our ability to attract and retain talented and highly skilled employees; (3) our ability to timely fund and introduce new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spacing w:after="0" w:line="244" w:lineRule="auto"/>
        <w:rPr>
          <w:sz w:val="20"/>
          <w:szCs w:val="20"/>
          <w:color w:val="auto"/>
        </w:rPr>
      </w:pPr>
      <w:r>
        <w:rPr>
          <w:rFonts w:ascii="Times New Roman" w:cs="Times New Roman" w:eastAsia="Times New Roman" w:hAnsi="Times New Roman"/>
          <w:sz w:val="14"/>
          <w:szCs w:val="14"/>
          <w:color w:val="auto"/>
        </w:rPr>
        <w:t>improved vehicle models, including electric vehicles (“EVs”), that are able to attract a sufficient number of consumers; (4) our ability to profitably deliver a strategic portfolio of EVs; (5) our long-term strategy is dependent on consumer adoptions of EVs; (6) the success of our current line of internal combustion engine vehicles, particularly our full-size SUVs and full-size pickup trucks; (7) our highly competitive industry, which has been historically characterized by excess manufacturing capacity and the use of incentives, and the introduction of new and improved vehicle models by our competitors; (8) the unique technological, operational, regulatory and competitive risks related to our recently announced plans to refocus our autonomous vehicle (“AV”) strategy on personal vehicles; (9) risks associated with climate change, including increased regulation of greenhouse gas emissions, our transition to EVs and the potential increased impacts of severe weather events; (10) global automobile market sales volume, which can be volatile; (11) inflationary pressures and persistently high prices and uncertain availability of raw materials and commodities used by us and our suppliers, and instability in logistics and related costs; (12) our business in China, which is subject to unique operational, competitive, regulatory and economic risks; (13) the success of our ongoing strategic business relationships, particularly with respect to facilitating access to raw materials necessary for the production of EVs, and of our joint ventures, which we cannot operate solely for our benefit and over which we may have limited control; (14) the international scale and footprint of our operations, which expose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(15) any significant disruption, including any work stoppages, at any of our manufacturing facilities; (16) the ability of our suppliers to deliver parts, systems and components without disruption and at such times to allow us to meet production schedules; (17) pandemics, epidemics, disease outbreaks and other public health crises;</w:t>
      </w:r>
    </w:p>
    <w:p>
      <w:pPr>
        <w:spacing w:after="0" w:line="1" w:lineRule="exact"/>
        <w:rPr>
          <w:sz w:val="20"/>
          <w:szCs w:val="20"/>
          <w:color w:val="auto"/>
        </w:rPr>
      </w:pPr>
    </w:p>
    <w:p>
      <w:pPr>
        <w:ind w:right="20" w:firstLine="5"/>
        <w:spacing w:after="0" w:line="243" w:lineRule="auto"/>
        <w:tabs>
          <w:tab w:leader="none" w:pos="271"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competitors may independently develop products and services similar to ours, or that our intellectual property rights are not sufficient to prevent competitors from developing or selling those products or services; (19) our ability to manage risks related to security breaches, cyberattacks and other disruptions to our information technology systems and networked products, including connected vehicles; (20) our ability to manage security breaches and other disruptions to our in-vehicle systems; (21) our ability to comply with increasingly complex, restrictive and punitive regulations relating to our enterprise data practices, including the collection, use, sharing and security of the personal information of our customers, employees or suppliers; (22) our ability to comply with extensive laws, regulations and policies applicable to our operations and products, including those relating to fuel economy, emissions and AVs; (23) costs and risks associated with litigation and government investigations; (24) the costs and effect on our reputation of product safety recalls and alleged defects in products and services; (25) any additional tax expense or exposure or failure to fully realize available tax incentives; (26) our continued ability to develop captive financing capability through GM Financial; and (27) any significant increase in our pension funding requirements. A further list and description of these risks, uncertainties and other factors can be found in our most recent Annual Report on Form 10-K and our subsequent filings with the SEC.</w:t>
      </w:r>
    </w:p>
    <w:p>
      <w:pPr>
        <w:spacing w:after="0" w:line="176" w:lineRule="exact"/>
        <w:rPr>
          <w:sz w:val="20"/>
          <w:szCs w:val="20"/>
          <w:color w:val="auto"/>
        </w:rPr>
      </w:pPr>
    </w:p>
    <w:p>
      <w:pPr>
        <w:ind w:right="400" w:firstLine="127"/>
        <w:spacing w:after="0" w:line="271" w:lineRule="auto"/>
        <w:rPr>
          <w:sz w:val="20"/>
          <w:szCs w:val="20"/>
          <w:color w:val="auto"/>
        </w:rPr>
      </w:pPr>
      <w:r>
        <w:rPr>
          <w:rFonts w:ascii="Times New Roman" w:cs="Times New Roman" w:eastAsia="Times New Roman" w:hAnsi="Times New Roman"/>
          <w:sz w:val="14"/>
          <w:szCs w:val="14"/>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182"/>
        </w:trPr>
        <w:tc>
          <w:tcPr>
            <w:tcW w:w="2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c>
          <w:tcPr>
            <w:tcW w:w="600" w:type="dxa"/>
            <w:vAlign w:val="bottom"/>
            <w:tcBorders>
              <w:top w:val="single" w:sz="8" w:color="auto"/>
            </w:tcBorders>
          </w:tcPr>
          <w:p>
            <w:pPr>
              <w:spacing w:after="0"/>
              <w:rPr>
                <w:sz w:val="15"/>
                <w:szCs w:val="15"/>
                <w:color w:val="auto"/>
              </w:rPr>
            </w:pPr>
          </w:p>
        </w:tc>
        <w:tc>
          <w:tcPr>
            <w:tcW w:w="5340" w:type="dxa"/>
            <w:vAlign w:val="bottom"/>
            <w:gridSpan w:val="2"/>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99.1</w:t>
            </w:r>
          </w:p>
        </w:tc>
        <w:tc>
          <w:tcPr>
            <w:tcW w:w="842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Press Release issued by General Motors Company, dated February 26, 2025</w:t>
            </w:r>
          </w:p>
        </w:tc>
      </w:tr>
      <w:tr>
        <w:trPr>
          <w:trHeight w:val="20"/>
        </w:trPr>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280" w:type="dxa"/>
            <w:vAlign w:val="bottom"/>
            <w:gridSpan w:val="4"/>
            <w:shd w:val="clear" w:color="auto" w:fill="0000FF"/>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104</w:t>
            </w:r>
          </w:p>
        </w:tc>
        <w:tc>
          <w:tcPr>
            <w:tcW w:w="84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957"/>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0" w:lineRule="exact"/>
        <w:rPr>
          <w:sz w:val="20"/>
          <w:szCs w:val="20"/>
          <w:color w:val="auto"/>
        </w:rPr>
      </w:pPr>
    </w:p>
    <w:p>
      <w:pPr>
        <w:spacing w:after="0" w:line="3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MOTORS COMPANY (Registrant)</w:t>
            </w:r>
          </w:p>
        </w:tc>
      </w:tr>
      <w:tr>
        <w:trPr>
          <w:trHeight w:val="584"/>
        </w:trPr>
        <w:tc>
          <w:tcPr>
            <w:tcW w:w="6080" w:type="dxa"/>
            <w:vAlign w:val="bottom"/>
          </w:tcPr>
          <w:p>
            <w:pPr>
              <w:ind w:left="5420"/>
              <w:spacing w:after="0"/>
              <w:rPr>
                <w:sz w:val="20"/>
                <w:szCs w:val="20"/>
                <w:color w:val="auto"/>
              </w:rPr>
            </w:pPr>
            <w:r>
              <w:rPr>
                <w:rFonts w:ascii="Times New Roman" w:cs="Times New Roman" w:eastAsia="Times New Roman" w:hAnsi="Times New Roman"/>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JOHN S. KIM</w:t>
            </w:r>
          </w:p>
        </w:tc>
      </w:tr>
      <w:tr>
        <w:trPr>
          <w:trHeight w:val="129"/>
        </w:trPr>
        <w:tc>
          <w:tcPr>
            <w:tcW w:w="60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Date: February 26, 2025</w:t>
            </w:r>
          </w:p>
        </w:tc>
        <w:tc>
          <w:tcPr>
            <w:tcW w:w="51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John S. Kim</w:t>
            </w:r>
          </w:p>
        </w:tc>
      </w:tr>
      <w:tr>
        <w:trPr>
          <w:trHeight w:val="184"/>
        </w:trPr>
        <w:tc>
          <w:tcPr>
            <w:tcW w:w="6080" w:type="dxa"/>
            <w:vAlign w:val="bottom"/>
          </w:tcPr>
          <w:p>
            <w:pPr>
              <w:spacing w:after="0"/>
              <w:rPr>
                <w:sz w:val="16"/>
                <w:szCs w:val="16"/>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Assistant Corporate Secretary</w:t>
            </w:r>
          </w:p>
        </w:tc>
      </w:tr>
    </w:tbl>
    <w:p>
      <w:pPr>
        <w:sectPr>
          <w:pgSz w:w="11900" w:h="16838" w:orient="portrait"/>
          <w:cols w:equalWidth="0" w:num="1">
            <w:col w:w="11220"/>
          </w:cols>
          <w:pgMar w:left="340" w:top="919" w:right="3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2025-02-26T05:42:54Z</dcterms:created>
  <dcterms:modified xsi:type="dcterms:W3CDTF">2025-02-26T05:42:54Z</dcterms:modified>
</cp:coreProperties>
</file>