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0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28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Nysschen Carel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9"/>
              <w:spacing w:after="0"/>
              <w:rPr>
                <w:sz w:val="20"/>
                <w:szCs w:val="20"/>
                <w:color w:val="auto"/>
              </w:rPr>
            </w:pPr>
            <w:r>
              <w:rPr>
                <w:rFonts w:ascii="Arial" w:cs="Arial" w:eastAsia="Arial" w:hAnsi="Arial"/>
                <w:sz w:val="17"/>
                <w:szCs w:val="17"/>
                <w:color w:val="0000FF"/>
                <w:w w:val="91"/>
              </w:rPr>
              <w:t>10/01/2016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13,836</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23,784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9"/>
              <w:spacing w:after="0"/>
              <w:rPr>
                <w:sz w:val="20"/>
                <w:szCs w:val="20"/>
                <w:color w:val="auto"/>
              </w:rPr>
            </w:pPr>
            <w:r>
              <w:rPr>
                <w:rFonts w:ascii="Arial" w:cs="Arial" w:eastAsia="Arial" w:hAnsi="Arial"/>
                <w:sz w:val="17"/>
                <w:szCs w:val="17"/>
                <w:color w:val="0000FF"/>
                <w:w w:val="91"/>
              </w:rPr>
              <w:t>10/01/2016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right"/>
              <w:spacing w:after="0"/>
              <w:rPr>
                <w:sz w:val="20"/>
                <w:szCs w:val="20"/>
                <w:color w:val="auto"/>
              </w:rPr>
            </w:pPr>
            <w:r>
              <w:rPr>
                <w:rFonts w:ascii="Arial" w:cs="Arial" w:eastAsia="Arial" w:hAnsi="Arial"/>
                <w:sz w:val="17"/>
                <w:szCs w:val="17"/>
                <w:color w:val="0000FF"/>
              </w:rPr>
              <w:t>7,724</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31.77</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16,060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13,836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10/01/2016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13,836</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240"/>
              <w:spacing w:after="0"/>
              <w:rPr>
                <w:sz w:val="20"/>
                <w:szCs w:val="20"/>
                <w:color w:val="auto"/>
              </w:rPr>
            </w:pPr>
            <w:r>
              <w:rPr>
                <w:rFonts w:ascii="Arial" w:cs="Arial" w:eastAsia="Arial" w:hAnsi="Arial"/>
                <w:sz w:val="11"/>
                <w:szCs w:val="11"/>
                <w:color w:val="008000"/>
              </w:rPr>
              <w:t>(3)</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line="145" w:lineRule="exact"/>
              <w:rPr>
                <w:sz w:val="20"/>
                <w:szCs w:val="20"/>
                <w:color w:val="auto"/>
              </w:rPr>
            </w:pPr>
            <w:r>
              <w:rPr>
                <w:rFonts w:ascii="Arial" w:cs="Arial" w:eastAsia="Arial" w:hAnsi="Arial"/>
                <w:sz w:val="13"/>
                <w:szCs w:val="13"/>
                <w:color w:val="0000FF"/>
                <w:w w:val="90"/>
              </w:rPr>
              <w:t>13,836</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RSUs awarded pursuant to the Company's 2014 Long-Term Incentive Plan ("GMLTIP").</w:t>
      </w:r>
    </w:p>
    <w:p>
      <w:pPr>
        <w:spacing w:after="0" w:line="5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were granted on January 5, 2015 and began being settled in three equal, annual installments on October 1, 2015. The remaining RSUs will vest and be settled on October 1, 2017, provided that the Reporting Person remains continuously employed through the vesting date.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Common Stock upon settlement. The RSUs do not have a conversion or exercise price, or a date on which they are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1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108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 de</w:t>
      </w:r>
      <w:r>
        <w:rPr>
          <w:sz w:val="20"/>
          <w:szCs w:val="20"/>
          <w:color w:val="auto"/>
        </w:rPr>
        <w:tab/>
      </w:r>
      <w:r>
        <w:rPr>
          <w:rFonts w:ascii="Arial" w:cs="Arial" w:eastAsia="Arial" w:hAnsi="Arial"/>
          <w:sz w:val="15"/>
          <w:szCs w:val="15"/>
          <w:color w:val="0000FF"/>
        </w:rPr>
        <w:t>10/04/2016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Nysschen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30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535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2019-12-08T18:30:49Z</dcterms:created>
  <dcterms:modified xsi:type="dcterms:W3CDTF">2019-12-08T18:30:49Z</dcterms:modified>
</cp:coreProperties>
</file>