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3,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December 3,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3, 2013, General Motors Company issued a news release announcing November 2013 U.S.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December 3,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380"/>
          </w:cols>
          <w:pgMar w:left="240" w:top="796"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6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color w:val="auto"/>
              </w:rPr>
              <w:t>Date: December 4, 2013</w:t>
            </w:r>
          </w:p>
        </w:tc>
        <w:tc>
          <w:tcPr>
            <w:tcW w:w="2520" w:type="dxa"/>
            <w:vAlign w:val="bottom"/>
            <w:vMerge w:val="restart"/>
          </w:tcPr>
          <w:p>
            <w:pPr>
              <w:ind w:left="18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2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Dec. 3, 2013, 10 a.m. EST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Retail Sales Up 19 percent in November</w:t>
      </w:r>
    </w:p>
    <w:p>
      <w:pPr>
        <w:spacing w:after="0" w:line="200" w:lineRule="exact"/>
        <w:rPr>
          <w:sz w:val="20"/>
          <w:szCs w:val="20"/>
          <w:color w:val="auto"/>
        </w:rPr>
      </w:pPr>
    </w:p>
    <w:p>
      <w:pPr>
        <w:spacing w:after="0" w:line="246" w:lineRule="exact"/>
        <w:rPr>
          <w:sz w:val="20"/>
          <w:szCs w:val="20"/>
          <w:color w:val="auto"/>
        </w:rPr>
      </w:pPr>
    </w:p>
    <w:p>
      <w:pPr>
        <w:ind w:right="300"/>
        <w:spacing w:after="0" w:line="32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(NYSE: GM) dealers delivered 212,060 vehicles in the United States in November, up 14 percent versus a</w:t>
      </w:r>
      <w:r>
        <w:rPr>
          <w:rFonts w:ascii="Arial" w:cs="Arial" w:eastAsia="Arial" w:hAnsi="Arial"/>
          <w:sz w:val="18"/>
          <w:szCs w:val="18"/>
          <w:b w:val="1"/>
          <w:bCs w:val="1"/>
          <w:color w:val="auto"/>
        </w:rPr>
        <w:t xml:space="preserve"> </w:t>
      </w:r>
      <w:r>
        <w:rPr>
          <w:rFonts w:ascii="Arial" w:cs="Arial" w:eastAsia="Arial" w:hAnsi="Arial"/>
          <w:sz w:val="18"/>
          <w:szCs w:val="18"/>
          <w:color w:val="auto"/>
        </w:rPr>
        <w:t>year ago and the highest November sales in six years. Retail sales were up 19 percent and fleet sales were down 3 percent.</w:t>
      </w:r>
    </w:p>
    <w:p>
      <w:pPr>
        <w:spacing w:after="0" w:line="124"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“November sales were strong at all four of our brands, and demand was robust for everything from cars to crossovers to the industry’s newest and best full-size pickups,” said Kurt McNeil, vice president, U.S. sales operations. “The sheer number of award-winning new models we have helped us grow faster than the industry for the second month in a row.”</w:t>
      </w:r>
    </w:p>
    <w:p>
      <w:pPr>
        <w:spacing w:after="0" w:line="200" w:lineRule="exact"/>
        <w:rPr>
          <w:sz w:val="20"/>
          <w:szCs w:val="20"/>
          <w:color w:val="auto"/>
        </w:rPr>
      </w:pPr>
    </w:p>
    <w:p>
      <w:pPr>
        <w:ind w:right="360"/>
        <w:spacing w:after="0" w:line="287" w:lineRule="auto"/>
        <w:rPr>
          <w:sz w:val="20"/>
          <w:szCs w:val="20"/>
          <w:color w:val="auto"/>
        </w:rPr>
      </w:pPr>
      <w:r>
        <w:rPr>
          <w:rFonts w:ascii="Arial" w:cs="Arial" w:eastAsia="Arial" w:hAnsi="Arial"/>
          <w:sz w:val="19"/>
          <w:szCs w:val="19"/>
          <w:color w:val="auto"/>
        </w:rPr>
        <w:t>GM’s product momentum will continue unabated. For example, the all-new 2014 Cadillac CTS, which is building availability, was recently named Motor Trend’s Car of the Year, an Automobile Magazine “All Star” and one of Car and Driver’s 10 Best cars.</w:t>
      </w:r>
    </w:p>
    <w:p>
      <w:pPr>
        <w:spacing w:after="0" w:line="15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Cadillac will also launch an all-new Escalade and the ELR in early 2014. In addition, Chevrolet and GMC are launching all-new heavy-duty pickups and large SUVs in the first quarter. Chevrolet also unveiled the Colorado, its new, highly acclaimed midsize pickup, at the Los Angeles International Auto Show. The Colorado goes on sale in the fall of 2014.</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November Sales Highlights (vs. 2012)</w:t>
      </w:r>
    </w:p>
    <w:p>
      <w:pPr>
        <w:spacing w:after="0" w:line="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sales were up 13 percent and retail deliveries were up 20 percent.</w:t>
      </w:r>
    </w:p>
    <w:p>
      <w:pPr>
        <w:ind w:left="660" w:right="4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Chevrolet cars increased 19 percent, with Malibu up 41 percent, Volt up 26 percent, Impala up 20 percent and Camaro up 14 percent. Retail deliveries of the Cruze were up 39 percent and Impala more than doubled.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The Chevrolet Cruze, Equinox and Volt had their best November sales ever.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the Chevrolet Tahoe were up 23 percent, the Traverse was up 21 percent and the Silverado was up 12 percent.</w:t>
      </w:r>
    </w:p>
    <w:p>
      <w:pPr>
        <w:ind w:left="660" w:right="2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GMC sales were up 20 percent, with the Sierra up 22 percent and the Acadia crossover up 108 percent, which keeps it on track for its best year ever.</w:t>
      </w:r>
    </w:p>
    <w:p>
      <w:pPr>
        <w:spacing w:after="0" w:line="1" w:lineRule="exact"/>
        <w:rPr>
          <w:rFonts w:ascii="Arial" w:cs="Arial" w:eastAsia="Arial" w:hAnsi="Arial"/>
          <w:sz w:val="18"/>
          <w:szCs w:val="18"/>
          <w:color w:val="auto"/>
        </w:rPr>
      </w:pPr>
    </w:p>
    <w:p>
      <w:pPr>
        <w:ind w:left="660" w:right="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Small business sales were up 38 percent, including a 76-percent increase in pickup deliveries. Commercial fleet deliveries increased 18 percent.</w:t>
      </w:r>
    </w:p>
    <w:p>
      <w:pPr>
        <w:spacing w:after="0" w:line="1" w:lineRule="exact"/>
        <w:rPr>
          <w:rFonts w:ascii="Arial" w:cs="Arial" w:eastAsia="Arial" w:hAnsi="Arial"/>
          <w:sz w:val="18"/>
          <w:szCs w:val="18"/>
          <w:color w:val="auto"/>
        </w:rPr>
      </w:pPr>
    </w:p>
    <w:p>
      <w:pPr>
        <w:ind w:left="660" w:right="2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deliveries increased 13 percent and the brand is on track for its best year since 2005. November was Buick’s 19th consecutive month of year-over-year retail sales growth.</w:t>
      </w:r>
    </w:p>
    <w:p>
      <w:pPr>
        <w:spacing w:after="0" w:line="1" w:lineRule="exact"/>
        <w:rPr>
          <w:rFonts w:ascii="Arial" w:cs="Arial" w:eastAsia="Arial" w:hAnsi="Arial"/>
          <w:sz w:val="18"/>
          <w:szCs w:val="18"/>
          <w:color w:val="auto"/>
        </w:rPr>
      </w:pPr>
    </w:p>
    <w:p>
      <w:pPr>
        <w:ind w:left="660" w:right="34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sales increased 11 percent and retail sales have grown in each of the past 18 months, driven by the success of the new XTS and ATS.</w:t>
      </w:r>
    </w:p>
    <w:p>
      <w:pPr>
        <w:sectPr>
          <w:pgSz w:w="11900" w:h="16838" w:orient="portrait"/>
          <w:cols w:equalWidth="0" w:num="1">
            <w:col w:w="11420"/>
          </w:cols>
          <w:pgMar w:left="240" w:top="811" w:right="239" w:bottom="1440" w:gutter="0" w:footer="0" w:header="0"/>
        </w:sectPr>
      </w:pPr>
    </w:p>
    <w:bookmarkStart w:id="5" w:name="page6"/>
    <w:bookmarkEnd w:id="5"/>
    <w:p>
      <w:pPr>
        <w:ind w:right="560"/>
        <w:spacing w:after="0" w:line="287" w:lineRule="auto"/>
        <w:rPr>
          <w:sz w:val="20"/>
          <w:szCs w:val="20"/>
          <w:color w:val="auto"/>
        </w:rPr>
      </w:pPr>
      <w:r>
        <w:rPr>
          <w:rFonts w:ascii="Arial" w:cs="Arial" w:eastAsia="Arial" w:hAnsi="Arial"/>
          <w:sz w:val="19"/>
          <w:szCs w:val="19"/>
          <w:color w:val="auto"/>
        </w:rPr>
        <w:t>“We feel good about the direction of the economy and our own momentum,” McNeil said. “The economy is creating jobs and household wealth. Energy costs are dropping and credit is available and affordable. All of this bodes well for future growth.”</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81" w:lineRule="exact"/>
        <w:rPr>
          <w:sz w:val="20"/>
          <w:szCs w:val="20"/>
          <w:color w:val="auto"/>
        </w:rPr>
      </w:pPr>
    </w:p>
    <w:p>
      <w:pPr>
        <w:ind w:right="220"/>
        <w:spacing w:after="0" w:line="289" w:lineRule="auto"/>
        <w:rPr>
          <w:sz w:val="20"/>
          <w:szCs w:val="20"/>
          <w:color w:val="auto"/>
        </w:rPr>
      </w:pPr>
      <w:r>
        <w:rPr>
          <w:rFonts w:ascii="Arial" w:cs="Arial" w:eastAsia="Arial" w:hAnsi="Arial"/>
          <w:sz w:val="13"/>
          <w:szCs w:val="13"/>
          <w:b w:val="1"/>
          <w:bCs w:val="1"/>
          <w:color w:val="auto"/>
        </w:rPr>
        <w:t xml:space="preserve">General Motors Co. </w:t>
      </w:r>
      <w:r>
        <w:rPr>
          <w:rFonts w:ascii="Arial" w:cs="Arial" w:eastAsia="Arial" w:hAnsi="Arial"/>
          <w:sz w:val="13"/>
          <w:szCs w:val="13"/>
          <w:color w:val="auto"/>
        </w:rPr>
        <w:t>(NYSE:GM, TSX: GMM) and its partners produce vehicles in 30 countries, and the company has leadership positions in the world's largest and fastest-growing automotive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3"/>
          <w:szCs w:val="13"/>
          <w:u w:val="single" w:color="auto"/>
          <w:color w:val="0000FF"/>
        </w:rPr>
        <w:t>http://www.gm.com</w:t>
      </w:r>
      <w:r>
        <w:rPr>
          <w:rFonts w:ascii="Arial" w:cs="Arial" w:eastAsia="Arial" w:hAnsi="Arial"/>
          <w:sz w:val="13"/>
          <w:szCs w:val="13"/>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203200</wp:posOffset>
            </wp:positionV>
            <wp:extent cx="6586220" cy="3258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258820"/>
                    </a:xfrm>
                    <a:prstGeom prst="rect">
                      <a:avLst/>
                    </a:prstGeom>
                    <a:noFill/>
                  </pic:spPr>
                </pic:pic>
              </a:graphicData>
            </a:graphic>
          </wp:anchor>
        </w:drawing>
      </w:r>
    </w:p>
    <w:p>
      <w:pPr>
        <w:spacing w:after="0" w:line="326"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80" w:type="dxa"/>
            <w:vAlign w:val="bottom"/>
          </w:tcPr>
          <w:p>
            <w:pPr>
              <w:jc w:val="center"/>
              <w:spacing w:after="0"/>
              <w:rPr>
                <w:sz w:val="20"/>
                <w:szCs w:val="20"/>
                <w:color w:val="auto"/>
              </w:rPr>
            </w:pPr>
            <w:r>
              <w:rPr>
                <w:rFonts w:ascii="Arial" w:cs="Arial" w:eastAsia="Arial" w:hAnsi="Arial"/>
                <w:sz w:val="16"/>
                <w:szCs w:val="16"/>
                <w:b w:val="1"/>
                <w:bCs w:val="1"/>
                <w:color w:val="auto"/>
                <w:w w:val="91"/>
              </w:rPr>
              <w:t>November</w:t>
            </w:r>
          </w:p>
        </w:tc>
        <w:tc>
          <w:tcPr>
            <w:tcW w:w="2040" w:type="dxa"/>
            <w:vAlign w:val="bottom"/>
          </w:tcPr>
          <w:p>
            <w:pPr>
              <w:ind w:left="660"/>
              <w:spacing w:after="0"/>
              <w:rPr>
                <w:sz w:val="20"/>
                <w:szCs w:val="20"/>
                <w:color w:val="auto"/>
              </w:rPr>
            </w:pPr>
            <w:r>
              <w:rPr>
                <w:rFonts w:ascii="Arial" w:cs="Arial" w:eastAsia="Arial" w:hAnsi="Arial"/>
                <w:sz w:val="16"/>
                <w:szCs w:val="16"/>
                <w:b w:val="1"/>
                <w:bCs w:val="1"/>
                <w:color w:val="auto"/>
              </w:rPr>
              <w:t>Total Sales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6"/>
              </w:rPr>
              <w:t>YOY Change</w:t>
            </w:r>
          </w:p>
        </w:tc>
        <w:tc>
          <w:tcPr>
            <w:tcW w:w="2000" w:type="dxa"/>
            <w:vAlign w:val="bottom"/>
          </w:tcPr>
          <w:p>
            <w:pPr>
              <w:ind w:left="600"/>
              <w:spacing w:after="0"/>
              <w:rPr>
                <w:sz w:val="20"/>
                <w:szCs w:val="20"/>
                <w:color w:val="auto"/>
              </w:rPr>
            </w:pPr>
            <w:r>
              <w:rPr>
                <w:rFonts w:ascii="Arial" w:cs="Arial" w:eastAsia="Arial" w:hAnsi="Arial"/>
                <w:sz w:val="16"/>
                <w:szCs w:val="16"/>
                <w:b w:val="1"/>
                <w:bCs w:val="1"/>
                <w:color w:val="auto"/>
              </w:rPr>
              <w:t>Retail Sales</w:t>
            </w:r>
          </w:p>
        </w:tc>
        <w:tc>
          <w:tcPr>
            <w:tcW w:w="2100" w:type="dxa"/>
            <w:vAlign w:val="bottom"/>
          </w:tcPr>
          <w:p>
            <w:pPr>
              <w:ind w:left="600"/>
              <w:spacing w:after="0"/>
              <w:rPr>
                <w:sz w:val="20"/>
                <w:szCs w:val="20"/>
                <w:color w:val="auto"/>
              </w:rPr>
            </w:pPr>
            <w:r>
              <w:rPr>
                <w:rFonts w:ascii="Arial" w:cs="Arial" w:eastAsia="Arial" w:hAnsi="Arial"/>
                <w:sz w:val="16"/>
                <w:szCs w:val="16"/>
                <w:b w:val="1"/>
                <w:bCs w:val="1"/>
                <w:color w:val="auto"/>
              </w:rPr>
              <w:t>YOY Change</w:t>
            </w:r>
          </w:p>
        </w:tc>
      </w:tr>
      <w:tr>
        <w:trPr>
          <w:trHeight w:val="33"/>
        </w:trPr>
        <w:tc>
          <w:tcPr>
            <w:tcW w:w="2080" w:type="dxa"/>
            <w:vAlign w:val="bottom"/>
            <w:tcBorders>
              <w:bottom w:val="single" w:sz="8" w:color="BFBFBF"/>
            </w:tcBorders>
          </w:tcPr>
          <w:p>
            <w:pPr>
              <w:spacing w:after="0"/>
              <w:rPr>
                <w:sz w:val="2"/>
                <w:szCs w:val="2"/>
                <w:color w:val="auto"/>
              </w:rPr>
            </w:pPr>
          </w:p>
        </w:tc>
        <w:tc>
          <w:tcPr>
            <w:tcW w:w="204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8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145,089</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12.6%</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106,767</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20.5%</w:t>
            </w:r>
          </w:p>
        </w:tc>
      </w:tr>
      <w:tr>
        <w:trPr>
          <w:trHeight w:val="33"/>
        </w:trPr>
        <w:tc>
          <w:tcPr>
            <w:tcW w:w="2080" w:type="dxa"/>
            <w:vAlign w:val="bottom"/>
            <w:tcBorders>
              <w:bottom w:val="single" w:sz="8" w:color="BFBFBF"/>
            </w:tcBorders>
          </w:tcPr>
          <w:p>
            <w:pPr>
              <w:spacing w:after="0"/>
              <w:rPr>
                <w:sz w:val="2"/>
                <w:szCs w:val="2"/>
                <w:color w:val="auto"/>
              </w:rPr>
            </w:pPr>
          </w:p>
        </w:tc>
        <w:tc>
          <w:tcPr>
            <w:tcW w:w="204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8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35,727</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19.8%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31,334</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24.8%</w:t>
            </w:r>
          </w:p>
        </w:tc>
      </w:tr>
      <w:tr>
        <w:trPr>
          <w:trHeight w:val="33"/>
        </w:trPr>
        <w:tc>
          <w:tcPr>
            <w:tcW w:w="2080" w:type="dxa"/>
            <w:vAlign w:val="bottom"/>
            <w:tcBorders>
              <w:bottom w:val="single" w:sz="8" w:color="BFBFBF"/>
            </w:tcBorders>
          </w:tcPr>
          <w:p>
            <w:pPr>
              <w:spacing w:after="0"/>
              <w:rPr>
                <w:sz w:val="2"/>
                <w:szCs w:val="2"/>
                <w:color w:val="auto"/>
              </w:rPr>
            </w:pPr>
          </w:p>
        </w:tc>
        <w:tc>
          <w:tcPr>
            <w:tcW w:w="204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80" w:type="dxa"/>
            <w:vAlign w:val="bottom"/>
          </w:tcPr>
          <w:p>
            <w:pPr>
              <w:jc w:val="center"/>
              <w:spacing w:after="0"/>
              <w:rPr>
                <w:sz w:val="20"/>
                <w:szCs w:val="20"/>
                <w:color w:val="auto"/>
              </w:rPr>
            </w:pPr>
            <w:r>
              <w:rPr>
                <w:rFonts w:ascii="Arial" w:cs="Arial" w:eastAsia="Arial" w:hAnsi="Arial"/>
                <w:sz w:val="16"/>
                <w:szCs w:val="16"/>
                <w:color w:val="auto"/>
              </w:rPr>
              <w:t>Buick</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15,072</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13.4%</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14,332</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17.2%</w:t>
            </w:r>
          </w:p>
        </w:tc>
      </w:tr>
      <w:tr>
        <w:trPr>
          <w:trHeight w:val="33"/>
        </w:trPr>
        <w:tc>
          <w:tcPr>
            <w:tcW w:w="2080" w:type="dxa"/>
            <w:vAlign w:val="bottom"/>
            <w:tcBorders>
              <w:bottom w:val="single" w:sz="8" w:color="BFBFBF"/>
            </w:tcBorders>
          </w:tcPr>
          <w:p>
            <w:pPr>
              <w:spacing w:after="0"/>
              <w:rPr>
                <w:sz w:val="2"/>
                <w:szCs w:val="2"/>
                <w:color w:val="auto"/>
              </w:rPr>
            </w:pPr>
          </w:p>
        </w:tc>
        <w:tc>
          <w:tcPr>
            <w:tcW w:w="204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8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16,172</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11.4%</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14,222</w:t>
            </w:r>
          </w:p>
        </w:tc>
        <w:tc>
          <w:tcPr>
            <w:tcW w:w="2100" w:type="dxa"/>
            <w:vAlign w:val="bottom"/>
          </w:tcPr>
          <w:p>
            <w:pPr>
              <w:jc w:val="center"/>
              <w:spacing w:after="0"/>
              <w:rPr>
                <w:sz w:val="20"/>
                <w:szCs w:val="20"/>
                <w:color w:val="auto"/>
              </w:rPr>
            </w:pPr>
            <w:r>
              <w:rPr>
                <w:rFonts w:ascii="Arial" w:cs="Arial" w:eastAsia="Arial" w:hAnsi="Arial"/>
                <w:sz w:val="16"/>
                <w:szCs w:val="16"/>
                <w:color w:val="auto"/>
                <w:w w:val="93"/>
              </w:rPr>
              <w:t>5.0%</w:t>
            </w:r>
          </w:p>
        </w:tc>
      </w:tr>
      <w:tr>
        <w:trPr>
          <w:trHeight w:val="33"/>
        </w:trPr>
        <w:tc>
          <w:tcPr>
            <w:tcW w:w="2080" w:type="dxa"/>
            <w:vAlign w:val="bottom"/>
            <w:tcBorders>
              <w:bottom w:val="single" w:sz="8" w:color="BFBFBF"/>
            </w:tcBorders>
          </w:tcPr>
          <w:p>
            <w:pPr>
              <w:spacing w:after="0"/>
              <w:rPr>
                <w:sz w:val="2"/>
                <w:szCs w:val="2"/>
                <w:color w:val="auto"/>
              </w:rPr>
            </w:pPr>
          </w:p>
        </w:tc>
        <w:tc>
          <w:tcPr>
            <w:tcW w:w="204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8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2040" w:type="dxa"/>
            <w:vAlign w:val="bottom"/>
          </w:tcPr>
          <w:p>
            <w:pPr>
              <w:jc w:val="center"/>
              <w:spacing w:after="0"/>
              <w:rPr>
                <w:sz w:val="20"/>
                <w:szCs w:val="20"/>
                <w:color w:val="auto"/>
              </w:rPr>
            </w:pPr>
            <w:r>
              <w:rPr>
                <w:rFonts w:ascii="Arial" w:cs="Arial" w:eastAsia="Arial" w:hAnsi="Arial"/>
                <w:sz w:val="16"/>
                <w:szCs w:val="16"/>
                <w:color w:val="auto"/>
                <w:w w:val="89"/>
              </w:rPr>
              <w:t>212,060</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13.7%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166,655</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19.4%</w:t>
            </w:r>
          </w:p>
        </w:tc>
      </w:tr>
    </w:tbl>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CYTD</w:t>
            </w:r>
          </w:p>
        </w:tc>
        <w:tc>
          <w:tcPr>
            <w:tcW w:w="2060" w:type="dxa"/>
            <w:vAlign w:val="bottom"/>
          </w:tcPr>
          <w:p>
            <w:pPr>
              <w:ind w:left="680"/>
              <w:spacing w:after="0"/>
              <w:rPr>
                <w:sz w:val="20"/>
                <w:szCs w:val="20"/>
                <w:color w:val="auto"/>
              </w:rPr>
            </w:pPr>
            <w:r>
              <w:rPr>
                <w:rFonts w:ascii="Arial" w:cs="Arial" w:eastAsia="Arial" w:hAnsi="Arial"/>
                <w:sz w:val="16"/>
                <w:szCs w:val="16"/>
                <w:b w:val="1"/>
                <w:bCs w:val="1"/>
                <w:color w:val="auto"/>
              </w:rPr>
              <w:t>Total Sales</w:t>
            </w:r>
          </w:p>
        </w:tc>
        <w:tc>
          <w:tcPr>
            <w:tcW w:w="2140" w:type="dxa"/>
            <w:vAlign w:val="bottom"/>
          </w:tcPr>
          <w:p>
            <w:pPr>
              <w:ind w:left="600"/>
              <w:spacing w:after="0"/>
              <w:rPr>
                <w:sz w:val="20"/>
                <w:szCs w:val="20"/>
                <w:color w:val="auto"/>
              </w:rPr>
            </w:pPr>
            <w:r>
              <w:rPr>
                <w:rFonts w:ascii="Arial" w:cs="Arial" w:eastAsia="Arial" w:hAnsi="Arial"/>
                <w:sz w:val="16"/>
                <w:szCs w:val="16"/>
                <w:b w:val="1"/>
                <w:bCs w:val="1"/>
                <w:color w:val="auto"/>
              </w:rPr>
              <w:t>YOY Change</w:t>
            </w:r>
          </w:p>
        </w:tc>
        <w:tc>
          <w:tcPr>
            <w:tcW w:w="2000" w:type="dxa"/>
            <w:vAlign w:val="bottom"/>
          </w:tcPr>
          <w:p>
            <w:pPr>
              <w:ind w:left="600"/>
              <w:spacing w:after="0"/>
              <w:rPr>
                <w:sz w:val="20"/>
                <w:szCs w:val="20"/>
                <w:color w:val="auto"/>
              </w:rPr>
            </w:pPr>
            <w:r>
              <w:rPr>
                <w:rFonts w:ascii="Arial" w:cs="Arial" w:eastAsia="Arial" w:hAnsi="Arial"/>
                <w:sz w:val="16"/>
                <w:szCs w:val="16"/>
                <w:b w:val="1"/>
                <w:bCs w:val="1"/>
                <w:color w:val="auto"/>
              </w:rPr>
              <w:t>Retail Sales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6"/>
              </w:rPr>
              <w:t>YOY Change</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1,793,632</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1,272,599</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11.0%</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407,781</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10.2%</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354,387</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13.8%</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rPr>
              <w:t>Buick</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190,130</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16.0%</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169,776</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15.2%</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164,378</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150,914</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21.9%</w:t>
            </w:r>
          </w:p>
        </w:tc>
      </w:tr>
      <w:tr>
        <w:trPr>
          <w:trHeight w:val="33"/>
        </w:trPr>
        <w:tc>
          <w:tcPr>
            <w:tcW w:w="2060" w:type="dxa"/>
            <w:vAlign w:val="bottom"/>
            <w:tcBorders>
              <w:bottom w:val="single" w:sz="8" w:color="BFBFBF"/>
            </w:tcBorders>
          </w:tcPr>
          <w:p>
            <w:pPr>
              <w:spacing w:after="0"/>
              <w:rPr>
                <w:sz w:val="2"/>
                <w:szCs w:val="2"/>
                <w:color w:val="auto"/>
              </w:rPr>
            </w:pPr>
          </w:p>
        </w:tc>
        <w:tc>
          <w:tcPr>
            <w:tcW w:w="2060" w:type="dxa"/>
            <w:vAlign w:val="bottom"/>
            <w:tcBorders>
              <w:bottom w:val="single" w:sz="8" w:color="BFBFBF"/>
            </w:tcBorders>
          </w:tcPr>
          <w:p>
            <w:pPr>
              <w:spacing w:after="0"/>
              <w:rPr>
                <w:sz w:val="2"/>
                <w:szCs w:val="2"/>
                <w:color w:val="auto"/>
              </w:rPr>
            </w:pPr>
          </w:p>
        </w:tc>
        <w:tc>
          <w:tcPr>
            <w:tcW w:w="214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6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60" w:type="dxa"/>
            <w:vAlign w:val="bottom"/>
          </w:tcPr>
          <w:p>
            <w:pPr>
              <w:jc w:val="center"/>
              <w:spacing w:after="0"/>
              <w:rPr>
                <w:sz w:val="20"/>
                <w:szCs w:val="20"/>
                <w:color w:val="auto"/>
              </w:rPr>
            </w:pPr>
            <w:r>
              <w:rPr>
                <w:rFonts w:ascii="Arial" w:cs="Arial" w:eastAsia="Arial" w:hAnsi="Arial"/>
                <w:sz w:val="16"/>
                <w:szCs w:val="16"/>
                <w:color w:val="auto"/>
                <w:w w:val="89"/>
              </w:rPr>
              <w:t>2,555,921</w:t>
            </w:r>
          </w:p>
        </w:tc>
        <w:tc>
          <w:tcPr>
            <w:tcW w:w="2140" w:type="dxa"/>
            <w:vAlign w:val="bottom"/>
          </w:tcPr>
          <w:p>
            <w:pPr>
              <w:jc w:val="center"/>
              <w:spacing w:after="0"/>
              <w:rPr>
                <w:sz w:val="20"/>
                <w:szCs w:val="20"/>
                <w:color w:val="auto"/>
              </w:rPr>
            </w:pPr>
            <w:r>
              <w:rPr>
                <w:rFonts w:ascii="Arial" w:cs="Arial" w:eastAsia="Arial" w:hAnsi="Arial"/>
                <w:sz w:val="16"/>
                <w:szCs w:val="16"/>
                <w:color w:val="auto"/>
                <w:w w:val="93"/>
              </w:rPr>
              <w:t>8.8%</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1,947,676</w:t>
            </w:r>
          </w:p>
        </w:tc>
        <w:tc>
          <w:tcPr>
            <w:tcW w:w="2100" w:type="dxa"/>
            <w:vAlign w:val="bottom"/>
          </w:tcPr>
          <w:p>
            <w:pPr>
              <w:jc w:val="center"/>
              <w:spacing w:after="0"/>
              <w:rPr>
                <w:sz w:val="20"/>
                <w:szCs w:val="20"/>
                <w:color w:val="auto"/>
              </w:rPr>
            </w:pPr>
            <w:r>
              <w:rPr>
                <w:rFonts w:ascii="Arial" w:cs="Arial" w:eastAsia="Arial" w:hAnsi="Arial"/>
                <w:sz w:val="16"/>
                <w:szCs w:val="16"/>
                <w:color w:val="auto"/>
                <w:w w:val="92"/>
              </w:rPr>
              <w:t>12.6%</w:t>
            </w:r>
          </w:p>
        </w:tc>
      </w:tr>
    </w:tbl>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174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87"/>
              </w:rPr>
              <w:t>Fleet Segment</w:t>
            </w:r>
          </w:p>
        </w:tc>
        <w:tc>
          <w:tcPr>
            <w:tcW w:w="2240" w:type="dxa"/>
            <w:vAlign w:val="bottom"/>
          </w:tcPr>
          <w:p>
            <w:pPr>
              <w:jc w:val="center"/>
              <w:ind w:left="439"/>
              <w:spacing w:after="0"/>
              <w:rPr>
                <w:sz w:val="20"/>
                <w:szCs w:val="20"/>
                <w:color w:val="auto"/>
              </w:rPr>
            </w:pPr>
            <w:r>
              <w:rPr>
                <w:rFonts w:ascii="Arial" w:cs="Arial" w:eastAsia="Arial" w:hAnsi="Arial"/>
                <w:sz w:val="16"/>
                <w:szCs w:val="16"/>
                <w:b w:val="1"/>
                <w:bCs w:val="1"/>
                <w:color w:val="auto"/>
                <w:w w:val="99"/>
              </w:rPr>
              <w:t>Month</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YOY Change</w:t>
            </w:r>
          </w:p>
        </w:tc>
        <w:tc>
          <w:tcPr>
            <w:tcW w:w="1900" w:type="dxa"/>
            <w:vAlign w:val="bottom"/>
          </w:tcPr>
          <w:p>
            <w:pPr>
              <w:jc w:val="center"/>
              <w:ind w:right="319"/>
              <w:spacing w:after="0"/>
              <w:rPr>
                <w:sz w:val="20"/>
                <w:szCs w:val="20"/>
                <w:color w:val="auto"/>
              </w:rPr>
            </w:pPr>
            <w:r>
              <w:rPr>
                <w:rFonts w:ascii="Arial" w:cs="Arial" w:eastAsia="Arial" w:hAnsi="Arial"/>
                <w:sz w:val="16"/>
                <w:szCs w:val="16"/>
                <w:b w:val="1"/>
                <w:bCs w:val="1"/>
                <w:color w:val="auto"/>
              </w:rPr>
              <w:t>CYTD</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CYTD Change</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40" w:type="dxa"/>
            <w:vAlign w:val="bottom"/>
            <w:gridSpan w:val="2"/>
          </w:tcPr>
          <w:p>
            <w:pPr>
              <w:jc w:val="center"/>
              <w:ind w:left="259"/>
              <w:spacing w:after="0"/>
              <w:rPr>
                <w:sz w:val="20"/>
                <w:szCs w:val="20"/>
                <w:color w:val="auto"/>
              </w:rPr>
            </w:pPr>
            <w:r>
              <w:rPr>
                <w:rFonts w:ascii="Arial" w:cs="Arial" w:eastAsia="Arial" w:hAnsi="Arial"/>
                <w:sz w:val="16"/>
                <w:szCs w:val="16"/>
                <w:color w:val="auto"/>
                <w:w w:val="87"/>
              </w:rPr>
              <w:t>Share of Sales</w:t>
            </w:r>
          </w:p>
        </w:tc>
        <w:tc>
          <w:tcPr>
            <w:tcW w:w="2240" w:type="dxa"/>
            <w:vAlign w:val="bottom"/>
          </w:tcPr>
          <w:p>
            <w:pPr>
              <w:jc w:val="right"/>
              <w:ind w:right="559"/>
              <w:spacing w:after="0"/>
              <w:rPr>
                <w:sz w:val="20"/>
                <w:szCs w:val="20"/>
                <w:color w:val="auto"/>
              </w:rPr>
            </w:pPr>
            <w:r>
              <w:rPr>
                <w:rFonts w:ascii="Arial" w:cs="Arial" w:eastAsia="Arial" w:hAnsi="Arial"/>
                <w:sz w:val="16"/>
                <w:szCs w:val="16"/>
                <w:color w:val="auto"/>
              </w:rPr>
              <w:t>21.4%</w:t>
            </w:r>
          </w:p>
        </w:tc>
        <w:tc>
          <w:tcPr>
            <w:tcW w:w="2540" w:type="dxa"/>
            <w:vAlign w:val="bottom"/>
          </w:tcPr>
          <w:p>
            <w:pPr>
              <w:jc w:val="center"/>
              <w:ind w:right="39"/>
              <w:spacing w:after="0"/>
              <w:rPr>
                <w:sz w:val="20"/>
                <w:szCs w:val="20"/>
                <w:color w:val="auto"/>
              </w:rPr>
            </w:pPr>
            <w:r>
              <w:rPr>
                <w:rFonts w:ascii="Arial" w:cs="Arial" w:eastAsia="Arial" w:hAnsi="Arial"/>
                <w:sz w:val="16"/>
                <w:szCs w:val="16"/>
                <w:color w:val="auto"/>
                <w:w w:val="92"/>
              </w:rPr>
              <w:t>(3.8) points</w:t>
            </w:r>
          </w:p>
        </w:tc>
        <w:tc>
          <w:tcPr>
            <w:tcW w:w="1900" w:type="dxa"/>
            <w:vAlign w:val="bottom"/>
          </w:tcPr>
          <w:p>
            <w:pPr>
              <w:jc w:val="right"/>
              <w:ind w:right="879"/>
              <w:spacing w:after="0"/>
              <w:rPr>
                <w:sz w:val="20"/>
                <w:szCs w:val="20"/>
                <w:color w:val="auto"/>
              </w:rPr>
            </w:pPr>
            <w:r>
              <w:rPr>
                <w:rFonts w:ascii="Arial" w:cs="Arial" w:eastAsia="Arial" w:hAnsi="Arial"/>
                <w:sz w:val="16"/>
                <w:szCs w:val="16"/>
                <w:color w:val="auto"/>
              </w:rPr>
              <w:t>23.8%</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(2.6) points</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20" w:type="dxa"/>
            <w:vAlign w:val="bottom"/>
            <w:tcBorders>
              <w:bottom w:val="single" w:sz="8" w:color="BFBFBF"/>
            </w:tcBorders>
          </w:tcPr>
          <w:p>
            <w:pPr>
              <w:spacing w:after="0"/>
              <w:rPr>
                <w:sz w:val="20"/>
                <w:szCs w:val="20"/>
                <w:color w:val="auto"/>
              </w:rPr>
            </w:pPr>
          </w:p>
        </w:tc>
        <w:tc>
          <w:tcPr>
            <w:tcW w:w="420" w:type="dxa"/>
            <w:vAlign w:val="bottom"/>
            <w:tcBorders>
              <w:bottom w:val="single" w:sz="8" w:color="BFBFBF"/>
            </w:tcBorders>
          </w:tcPr>
          <w:p>
            <w:pPr>
              <w:spacing w:after="0"/>
              <w:rPr>
                <w:sz w:val="20"/>
                <w:szCs w:val="20"/>
                <w:color w:val="auto"/>
              </w:rPr>
            </w:pPr>
          </w:p>
        </w:tc>
        <w:tc>
          <w:tcPr>
            <w:tcW w:w="2240" w:type="dxa"/>
            <w:vAlign w:val="bottom"/>
            <w:tcBorders>
              <w:bottom w:val="single" w:sz="8" w:color="BFBFBF"/>
            </w:tcBorders>
          </w:tcPr>
          <w:p>
            <w:pPr>
              <w:spacing w:after="0"/>
              <w:rPr>
                <w:sz w:val="20"/>
                <w:szCs w:val="20"/>
                <w:color w:val="auto"/>
              </w:rPr>
            </w:pPr>
          </w:p>
        </w:tc>
        <w:tc>
          <w:tcPr>
            <w:tcW w:w="2540" w:type="dxa"/>
            <w:vAlign w:val="bottom"/>
            <w:tcBorders>
              <w:bottom w:val="single" w:sz="8" w:color="BFBFBF"/>
            </w:tcBorders>
          </w:tcPr>
          <w:p>
            <w:pPr>
              <w:spacing w:after="0"/>
              <w:rPr>
                <w:sz w:val="20"/>
                <w:szCs w:val="20"/>
                <w:color w:val="auto"/>
              </w:rPr>
            </w:pPr>
          </w:p>
        </w:tc>
        <w:tc>
          <w:tcPr>
            <w:tcW w:w="1900" w:type="dxa"/>
            <w:vAlign w:val="bottom"/>
            <w:tcBorders>
              <w:bottom w:val="single" w:sz="8" w:color="BFBFBF"/>
            </w:tcBorders>
          </w:tcPr>
          <w:p>
            <w:pPr>
              <w:spacing w:after="0"/>
              <w:rPr>
                <w:sz w:val="20"/>
                <w:szCs w:val="20"/>
                <w:color w:val="auto"/>
              </w:rPr>
            </w:pPr>
          </w:p>
        </w:tc>
        <w:tc>
          <w:tcPr>
            <w:tcW w:w="660" w:type="dxa"/>
            <w:vAlign w:val="bottom"/>
            <w:tcBorders>
              <w:bottom w:val="single" w:sz="8" w:color="BFBFBF"/>
            </w:tcBorders>
          </w:tcPr>
          <w:p>
            <w:pPr>
              <w:spacing w:after="0"/>
              <w:rPr>
                <w:sz w:val="20"/>
                <w:szCs w:val="20"/>
                <w:color w:val="auto"/>
              </w:rPr>
            </w:pPr>
          </w:p>
        </w:tc>
        <w:tc>
          <w:tcPr>
            <w:tcW w:w="1280" w:type="dxa"/>
            <w:vAlign w:val="bottom"/>
            <w:tcBorders>
              <w:bottom w:val="single" w:sz="8" w:color="BFBFB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740" w:type="dxa"/>
            <w:vAlign w:val="bottom"/>
            <w:gridSpan w:val="2"/>
            <w:vMerge w:val="restart"/>
          </w:tcPr>
          <w:p>
            <w:pPr>
              <w:jc w:val="center"/>
              <w:ind w:left="259"/>
              <w:spacing w:after="0"/>
              <w:rPr>
                <w:sz w:val="20"/>
                <w:szCs w:val="20"/>
                <w:color w:val="auto"/>
              </w:rPr>
            </w:pPr>
            <w:r>
              <w:rPr>
                <w:rFonts w:ascii="Arial" w:cs="Arial" w:eastAsia="Arial" w:hAnsi="Arial"/>
                <w:sz w:val="16"/>
                <w:szCs w:val="16"/>
                <w:b w:val="1"/>
                <w:bCs w:val="1"/>
                <w:color w:val="auto"/>
                <w:w w:val="94"/>
              </w:rPr>
              <w:t>Inventory</w:t>
            </w:r>
          </w:p>
        </w:tc>
        <w:tc>
          <w:tcPr>
            <w:tcW w:w="2240" w:type="dxa"/>
            <w:vAlign w:val="bottom"/>
          </w:tcPr>
          <w:p>
            <w:pPr>
              <w:jc w:val="center"/>
              <w:ind w:left="439"/>
              <w:spacing w:after="0"/>
              <w:rPr>
                <w:sz w:val="20"/>
                <w:szCs w:val="20"/>
                <w:color w:val="auto"/>
              </w:rPr>
            </w:pPr>
            <w:r>
              <w:rPr>
                <w:rFonts w:ascii="Arial" w:cs="Arial" w:eastAsia="Arial" w:hAnsi="Arial"/>
                <w:sz w:val="16"/>
                <w:szCs w:val="16"/>
                <w:b w:val="1"/>
                <w:bCs w:val="1"/>
                <w:color w:val="auto"/>
                <w:w w:val="95"/>
              </w:rPr>
              <w:t>Units at</w:t>
            </w:r>
          </w:p>
        </w:tc>
        <w:tc>
          <w:tcPr>
            <w:tcW w:w="25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Days Supply (selling day</w:t>
            </w:r>
          </w:p>
        </w:tc>
        <w:tc>
          <w:tcPr>
            <w:tcW w:w="1900" w:type="dxa"/>
            <w:vAlign w:val="bottom"/>
          </w:tcPr>
          <w:p>
            <w:pPr>
              <w:jc w:val="center"/>
              <w:ind w:right="339"/>
              <w:spacing w:after="0"/>
              <w:rPr>
                <w:sz w:val="20"/>
                <w:szCs w:val="20"/>
                <w:color w:val="auto"/>
              </w:rPr>
            </w:pPr>
            <w:r>
              <w:rPr>
                <w:rFonts w:ascii="Arial" w:cs="Arial" w:eastAsia="Arial" w:hAnsi="Arial"/>
                <w:sz w:val="16"/>
                <w:szCs w:val="16"/>
                <w:b w:val="1"/>
                <w:bCs w:val="1"/>
                <w:color w:val="auto"/>
                <w:w w:val="91"/>
              </w:rPr>
              <w:t>Units at Previous</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Days Supply (selling day</w:t>
            </w:r>
          </w:p>
        </w:tc>
        <w:tc>
          <w:tcPr>
            <w:tcW w:w="0" w:type="dxa"/>
            <w:vAlign w:val="bottom"/>
          </w:tcPr>
          <w:p>
            <w:pPr>
              <w:spacing w:after="0"/>
              <w:rPr>
                <w:sz w:val="1"/>
                <w:szCs w:val="1"/>
                <w:color w:val="auto"/>
              </w:rPr>
            </w:pPr>
          </w:p>
        </w:tc>
      </w:tr>
      <w:tr>
        <w:trPr>
          <w:trHeight w:val="102"/>
        </w:trPr>
        <w:tc>
          <w:tcPr>
            <w:tcW w:w="1740" w:type="dxa"/>
            <w:vAlign w:val="bottom"/>
            <w:gridSpan w:val="2"/>
            <w:vMerge w:val="continue"/>
          </w:tcPr>
          <w:p>
            <w:pPr>
              <w:spacing w:after="0"/>
              <w:rPr>
                <w:sz w:val="8"/>
                <w:szCs w:val="8"/>
                <w:color w:val="auto"/>
              </w:rPr>
            </w:pPr>
          </w:p>
        </w:tc>
        <w:tc>
          <w:tcPr>
            <w:tcW w:w="2240" w:type="dxa"/>
            <w:vAlign w:val="bottom"/>
            <w:vMerge w:val="restart"/>
          </w:tcPr>
          <w:p>
            <w:pPr>
              <w:jc w:val="center"/>
              <w:ind w:left="439"/>
              <w:spacing w:after="0"/>
              <w:rPr>
                <w:sz w:val="20"/>
                <w:szCs w:val="20"/>
                <w:color w:val="auto"/>
              </w:rPr>
            </w:pPr>
            <w:r>
              <w:rPr>
                <w:rFonts w:ascii="Arial" w:cs="Arial" w:eastAsia="Arial" w:hAnsi="Arial"/>
                <w:sz w:val="16"/>
                <w:szCs w:val="16"/>
                <w:b w:val="1"/>
                <w:bCs w:val="1"/>
                <w:color w:val="auto"/>
                <w:w w:val="92"/>
              </w:rPr>
              <w:t>Month-end</w:t>
            </w:r>
          </w:p>
        </w:tc>
        <w:tc>
          <w:tcPr>
            <w:tcW w:w="254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89"/>
              </w:rPr>
              <w:t>adjusted)</w:t>
            </w:r>
          </w:p>
        </w:tc>
        <w:tc>
          <w:tcPr>
            <w:tcW w:w="1900" w:type="dxa"/>
            <w:vAlign w:val="bottom"/>
            <w:vMerge w:val="restart"/>
          </w:tcPr>
          <w:p>
            <w:pPr>
              <w:jc w:val="center"/>
              <w:ind w:right="339"/>
              <w:spacing w:after="0"/>
              <w:rPr>
                <w:sz w:val="20"/>
                <w:szCs w:val="20"/>
                <w:color w:val="auto"/>
              </w:rPr>
            </w:pPr>
            <w:r>
              <w:rPr>
                <w:rFonts w:ascii="Arial" w:cs="Arial" w:eastAsia="Arial" w:hAnsi="Arial"/>
                <w:sz w:val="16"/>
                <w:szCs w:val="16"/>
                <w:b w:val="1"/>
                <w:bCs w:val="1"/>
                <w:color w:val="auto"/>
                <w:w w:val="92"/>
              </w:rPr>
              <w:t>Month-end</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adjusted)</w:t>
            </w:r>
          </w:p>
        </w:tc>
        <w:tc>
          <w:tcPr>
            <w:tcW w:w="0" w:type="dxa"/>
            <w:vAlign w:val="bottom"/>
          </w:tcPr>
          <w:p>
            <w:pPr>
              <w:spacing w:after="0"/>
              <w:rPr>
                <w:sz w:val="1"/>
                <w:szCs w:val="1"/>
                <w:color w:val="auto"/>
              </w:rPr>
            </w:pPr>
          </w:p>
        </w:tc>
      </w:tr>
      <w:tr>
        <w:trPr>
          <w:trHeight w:val="108"/>
        </w:trPr>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40" w:type="dxa"/>
            <w:vAlign w:val="bottom"/>
            <w:gridSpan w:val="2"/>
          </w:tcPr>
          <w:p>
            <w:pPr>
              <w:jc w:val="center"/>
              <w:ind w:left="259"/>
              <w:spacing w:after="0"/>
              <w:rPr>
                <w:sz w:val="20"/>
                <w:szCs w:val="20"/>
                <w:color w:val="auto"/>
              </w:rPr>
            </w:pPr>
            <w:r>
              <w:rPr>
                <w:rFonts w:ascii="Arial" w:cs="Arial" w:eastAsia="Arial" w:hAnsi="Arial"/>
                <w:sz w:val="16"/>
                <w:szCs w:val="16"/>
                <w:color w:val="auto"/>
                <w:w w:val="96"/>
              </w:rPr>
              <w:t>All Vehicles</w:t>
            </w:r>
          </w:p>
        </w:tc>
        <w:tc>
          <w:tcPr>
            <w:tcW w:w="2240" w:type="dxa"/>
            <w:vAlign w:val="bottom"/>
          </w:tcPr>
          <w:p>
            <w:pPr>
              <w:jc w:val="right"/>
              <w:ind w:right="519"/>
              <w:spacing w:after="0"/>
              <w:rPr>
                <w:sz w:val="20"/>
                <w:szCs w:val="20"/>
                <w:color w:val="auto"/>
              </w:rPr>
            </w:pPr>
            <w:r>
              <w:rPr>
                <w:rFonts w:ascii="Arial" w:cs="Arial" w:eastAsia="Arial" w:hAnsi="Arial"/>
                <w:sz w:val="16"/>
                <w:szCs w:val="16"/>
                <w:color w:val="auto"/>
              </w:rPr>
              <w:t>779,517</w:t>
            </w:r>
          </w:p>
        </w:tc>
        <w:tc>
          <w:tcPr>
            <w:tcW w:w="2540" w:type="dxa"/>
            <w:vAlign w:val="bottom"/>
          </w:tcPr>
          <w:p>
            <w:pPr>
              <w:jc w:val="center"/>
              <w:ind w:right="19"/>
              <w:spacing w:after="0"/>
              <w:rPr>
                <w:sz w:val="20"/>
                <w:szCs w:val="20"/>
                <w:color w:val="auto"/>
              </w:rPr>
            </w:pPr>
            <w:r>
              <w:rPr>
                <w:rFonts w:ascii="Arial" w:cs="Arial" w:eastAsia="Arial" w:hAnsi="Arial"/>
                <w:sz w:val="16"/>
                <w:szCs w:val="16"/>
                <w:color w:val="auto"/>
                <w:w w:val="89"/>
              </w:rPr>
              <w:t>96</w:t>
            </w:r>
          </w:p>
        </w:tc>
        <w:tc>
          <w:tcPr>
            <w:tcW w:w="1900" w:type="dxa"/>
            <w:vAlign w:val="bottom"/>
          </w:tcPr>
          <w:p>
            <w:pPr>
              <w:jc w:val="right"/>
              <w:ind w:right="819"/>
              <w:spacing w:after="0"/>
              <w:rPr>
                <w:sz w:val="20"/>
                <w:szCs w:val="20"/>
                <w:color w:val="auto"/>
              </w:rPr>
            </w:pPr>
            <w:r>
              <w:rPr>
                <w:rFonts w:ascii="Arial" w:cs="Arial" w:eastAsia="Arial" w:hAnsi="Arial"/>
                <w:sz w:val="16"/>
                <w:szCs w:val="16"/>
                <w:color w:val="auto"/>
              </w:rPr>
              <w:t>727,812</w:t>
            </w: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87</w:t>
            </w:r>
          </w:p>
        </w:tc>
        <w:tc>
          <w:tcPr>
            <w:tcW w:w="0" w:type="dxa"/>
            <w:vAlign w:val="bottom"/>
          </w:tcPr>
          <w:p>
            <w:pPr>
              <w:spacing w:after="0"/>
              <w:rPr>
                <w:sz w:val="1"/>
                <w:szCs w:val="1"/>
                <w:color w:val="auto"/>
              </w:rPr>
            </w:pPr>
          </w:p>
        </w:tc>
      </w:tr>
      <w:tr>
        <w:trPr>
          <w:trHeight w:val="33"/>
        </w:trPr>
        <w:tc>
          <w:tcPr>
            <w:tcW w:w="132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tcBorders>
          </w:tcPr>
          <w:p>
            <w:pPr>
              <w:spacing w:after="0"/>
              <w:rPr>
                <w:sz w:val="2"/>
                <w:szCs w:val="2"/>
                <w:color w:val="auto"/>
              </w:rPr>
            </w:pPr>
          </w:p>
        </w:tc>
        <w:tc>
          <w:tcPr>
            <w:tcW w:w="254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2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320" w:type="dxa"/>
            <w:vAlign w:val="bottom"/>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2240" w:type="dxa"/>
            <w:vAlign w:val="bottom"/>
            <w:tcBorders>
              <w:bottom w:val="single" w:sz="8" w:color="BFBFBF"/>
            </w:tcBorders>
          </w:tcPr>
          <w:p>
            <w:pPr>
              <w:spacing w:after="0"/>
              <w:rPr>
                <w:sz w:val="24"/>
                <w:szCs w:val="24"/>
                <w:color w:val="auto"/>
              </w:rPr>
            </w:pPr>
          </w:p>
        </w:tc>
        <w:tc>
          <w:tcPr>
            <w:tcW w:w="2540" w:type="dxa"/>
            <w:vAlign w:val="bottom"/>
            <w:tcBorders>
              <w:bottom w:val="single" w:sz="8" w:color="BFBFBF"/>
            </w:tcBorders>
          </w:tcPr>
          <w:p>
            <w:pPr>
              <w:spacing w:after="0"/>
              <w:rPr>
                <w:sz w:val="24"/>
                <w:szCs w:val="24"/>
                <w:color w:val="auto"/>
              </w:rPr>
            </w:pPr>
          </w:p>
        </w:tc>
        <w:tc>
          <w:tcPr>
            <w:tcW w:w="190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20" w:type="dxa"/>
            <w:vAlign w:val="bottom"/>
            <w:tcBorders>
              <w:right w:val="single" w:sz="8" w:color="BFBFBF"/>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right w:val="single" w:sz="8" w:color="BFBFBF"/>
            </w:tcBorders>
          </w:tcPr>
          <w:p>
            <w:pPr>
              <w:jc w:val="center"/>
              <w:ind w:right="379"/>
              <w:spacing w:after="0"/>
              <w:rPr>
                <w:sz w:val="20"/>
                <w:szCs w:val="20"/>
                <w:color w:val="auto"/>
              </w:rPr>
            </w:pPr>
            <w:r>
              <w:rPr>
                <w:rFonts w:ascii="Arial" w:cs="Arial" w:eastAsia="Arial" w:hAnsi="Arial"/>
                <w:sz w:val="16"/>
                <w:szCs w:val="16"/>
                <w:b w:val="1"/>
                <w:bCs w:val="1"/>
                <w:color w:val="auto"/>
                <w:w w:val="89"/>
              </w:rPr>
              <w:t>Industry Sales</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6"/>
                <w:szCs w:val="16"/>
                <w:b w:val="1"/>
                <w:bCs w:val="1"/>
                <w:color w:val="auto"/>
                <w:w w:val="94"/>
              </w:rPr>
              <w:t>Month (est.)</w:t>
            </w:r>
          </w:p>
        </w:tc>
        <w:tc>
          <w:tcPr>
            <w:tcW w:w="1900" w:type="dxa"/>
            <w:vAlign w:val="bottom"/>
          </w:tcPr>
          <w:p>
            <w:pPr>
              <w:jc w:val="center"/>
              <w:ind w:left="539"/>
              <w:spacing w:after="0"/>
              <w:rPr>
                <w:sz w:val="20"/>
                <w:szCs w:val="20"/>
                <w:color w:val="auto"/>
              </w:rPr>
            </w:pPr>
            <w:r>
              <w:rPr>
                <w:rFonts w:ascii="Arial" w:cs="Arial" w:eastAsia="Arial" w:hAnsi="Arial"/>
                <w:sz w:val="16"/>
                <w:szCs w:val="16"/>
                <w:b w:val="1"/>
                <w:bCs w:val="1"/>
                <w:color w:val="auto"/>
                <w:w w:val="97"/>
              </w:rPr>
              <w:t>CYTD (est.)</w:t>
            </w:r>
          </w:p>
        </w:tc>
        <w:tc>
          <w:tcPr>
            <w:tcW w:w="660" w:type="dxa"/>
            <w:vAlign w:val="bottom"/>
            <w:tcBorders>
              <w:right w:val="single" w:sz="8" w:color="BFBFB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20" w:type="dxa"/>
            <w:vAlign w:val="bottom"/>
            <w:tcBorders>
              <w:right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right w:val="single" w:sz="8" w:color="BFBFBF"/>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320" w:type="dxa"/>
            <w:vAlign w:val="bottom"/>
            <w:tcBorders>
              <w:right w:val="single" w:sz="8" w:color="BFBFBF"/>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right w:val="single" w:sz="8" w:color="BFBFBF"/>
            </w:tcBorders>
          </w:tcPr>
          <w:p>
            <w:pPr>
              <w:jc w:val="center"/>
              <w:ind w:right="379"/>
              <w:spacing w:after="0"/>
              <w:rPr>
                <w:sz w:val="20"/>
                <w:szCs w:val="20"/>
                <w:color w:val="auto"/>
              </w:rPr>
            </w:pPr>
            <w:r>
              <w:rPr>
                <w:rFonts w:ascii="Arial" w:cs="Arial" w:eastAsia="Arial" w:hAnsi="Arial"/>
                <w:sz w:val="16"/>
                <w:szCs w:val="16"/>
                <w:color w:val="auto"/>
                <w:w w:val="95"/>
              </w:rPr>
              <w:t>Light Vehicle SAAR</w:t>
            </w:r>
          </w:p>
        </w:tc>
        <w:tc>
          <w:tcPr>
            <w:tcW w:w="2540" w:type="dxa"/>
            <w:vAlign w:val="bottom"/>
            <w:tcBorders>
              <w:right w:val="single" w:sz="8" w:color="BFBFBF"/>
            </w:tcBorders>
          </w:tcPr>
          <w:p>
            <w:pPr>
              <w:jc w:val="center"/>
              <w:spacing w:after="0"/>
              <w:rPr>
                <w:sz w:val="20"/>
                <w:szCs w:val="20"/>
                <w:color w:val="auto"/>
              </w:rPr>
            </w:pPr>
            <w:r>
              <w:rPr>
                <w:rFonts w:ascii="Arial" w:cs="Arial" w:eastAsia="Arial" w:hAnsi="Arial"/>
                <w:sz w:val="16"/>
                <w:szCs w:val="16"/>
                <w:color w:val="auto"/>
                <w:w w:val="97"/>
              </w:rPr>
              <w:t>Above 16 million</w:t>
            </w:r>
          </w:p>
        </w:tc>
        <w:tc>
          <w:tcPr>
            <w:tcW w:w="1900" w:type="dxa"/>
            <w:vAlign w:val="bottom"/>
          </w:tcPr>
          <w:p>
            <w:pPr>
              <w:jc w:val="center"/>
              <w:ind w:left="539"/>
              <w:spacing w:after="0"/>
              <w:rPr>
                <w:sz w:val="20"/>
                <w:szCs w:val="20"/>
                <w:color w:val="auto"/>
              </w:rPr>
            </w:pPr>
            <w:r>
              <w:rPr>
                <w:rFonts w:ascii="Arial" w:cs="Arial" w:eastAsia="Arial" w:hAnsi="Arial"/>
                <w:sz w:val="16"/>
                <w:szCs w:val="16"/>
                <w:color w:val="auto"/>
                <w:w w:val="94"/>
              </w:rPr>
              <w:t>15.6 million range</w:t>
            </w:r>
          </w:p>
        </w:tc>
        <w:tc>
          <w:tcPr>
            <w:tcW w:w="660" w:type="dxa"/>
            <w:vAlign w:val="bottom"/>
            <w:tcBorders>
              <w:right w:val="single" w:sz="8" w:color="BFBFB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20" w:type="dxa"/>
            <w:vAlign w:val="bottom"/>
            <w:tcBorders>
              <w:right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2240" w:type="dxa"/>
            <w:vAlign w:val="bottom"/>
            <w:tcBorders>
              <w:bottom w:val="single" w:sz="8" w:color="BFBFBF"/>
              <w:right w:val="single" w:sz="8" w:color="BFBFBF"/>
            </w:tcBorders>
          </w:tcPr>
          <w:p>
            <w:pPr>
              <w:spacing w:after="0"/>
              <w:rPr>
                <w:sz w:val="2"/>
                <w:szCs w:val="2"/>
                <w:color w:val="auto"/>
              </w:rPr>
            </w:pPr>
          </w:p>
        </w:tc>
        <w:tc>
          <w:tcPr>
            <w:tcW w:w="2540" w:type="dxa"/>
            <w:vAlign w:val="bottom"/>
            <w:tcBorders>
              <w:bottom w:val="single" w:sz="8" w:color="BFBFBF"/>
              <w:right w:val="single" w:sz="8" w:color="BFBFBF"/>
            </w:tcBorders>
          </w:tcPr>
          <w:p>
            <w:pPr>
              <w:spacing w:after="0"/>
              <w:rPr>
                <w:sz w:val="2"/>
                <w:szCs w:val="2"/>
                <w:color w:val="auto"/>
              </w:rPr>
            </w:pPr>
          </w:p>
        </w:tc>
        <w:tc>
          <w:tcPr>
            <w:tcW w:w="1900" w:type="dxa"/>
            <w:vAlign w:val="bottom"/>
            <w:tcBorders>
              <w:bottom w:val="single" w:sz="8" w:color="BFBFBF"/>
            </w:tcBorders>
          </w:tcPr>
          <w:p>
            <w:pPr>
              <w:spacing w:after="0"/>
              <w:rPr>
                <w:sz w:val="2"/>
                <w:szCs w:val="2"/>
                <w:color w:val="auto"/>
              </w:rPr>
            </w:pPr>
          </w:p>
        </w:tc>
        <w:tc>
          <w:tcPr>
            <w:tcW w:w="660" w:type="dxa"/>
            <w:vAlign w:val="bottom"/>
            <w:tcBorders>
              <w:bottom w:val="single" w:sz="8" w:color="BFBFBF"/>
              <w:right w:val="single" w:sz="8" w:color="BFBFBF"/>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582" w:right="27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November</w:t>
            </w:r>
          </w:p>
        </w:tc>
        <w:tc>
          <w:tcPr>
            <w:tcW w:w="10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4"/>
              </w:rPr>
              <w:t>January - November</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01"/>
        </w:trPr>
        <w:tc>
          <w:tcPr>
            <w:tcW w:w="2480" w:type="dxa"/>
            <w:vAlign w:val="bottom"/>
            <w:tcBorders>
              <w:left w:val="single" w:sz="8" w:color="auto"/>
              <w:bottom w:val="single" w:sz="8" w:color="auto"/>
              <w:right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4,687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4,817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1040" w:type="dxa"/>
            <w:vAlign w:val="bottom"/>
          </w:tcPr>
          <w:p>
            <w:pPr>
              <w:jc w:val="right"/>
              <w:spacing w:after="0"/>
              <w:rPr>
                <w:sz w:val="20"/>
                <w:szCs w:val="20"/>
                <w:color w:val="auto"/>
              </w:rPr>
            </w:pPr>
            <w:r>
              <w:rPr>
                <w:rFonts w:ascii="Arial" w:cs="Arial" w:eastAsia="Arial" w:hAnsi="Arial"/>
                <w:sz w:val="14"/>
                <w:szCs w:val="14"/>
                <w:color w:val="auto"/>
              </w:rPr>
              <w:t>55,715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50,651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2,663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29,195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2,980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3,797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(21.5)</w:t>
            </w:r>
          </w:p>
        </w:tc>
        <w:tc>
          <w:tcPr>
            <w:tcW w:w="1040" w:type="dxa"/>
            <w:vAlign w:val="bottom"/>
          </w:tcPr>
          <w:p>
            <w:pPr>
              <w:jc w:val="right"/>
              <w:spacing w:after="0"/>
              <w:rPr>
                <w:sz w:val="20"/>
                <w:szCs w:val="20"/>
                <w:color w:val="auto"/>
              </w:rPr>
            </w:pPr>
            <w:r>
              <w:rPr>
                <w:rFonts w:ascii="Arial" w:cs="Arial" w:eastAsia="Arial" w:hAnsi="Arial"/>
                <w:sz w:val="14"/>
                <w:szCs w:val="14"/>
                <w:color w:val="auto"/>
              </w:rPr>
              <w:t>45,675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53,002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(13.8)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2,018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1,101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83.3</w:t>
            </w:r>
          </w:p>
        </w:tc>
        <w:tc>
          <w:tcPr>
            <w:tcW w:w="1040" w:type="dxa"/>
            <w:vAlign w:val="bottom"/>
          </w:tcPr>
          <w:p>
            <w:pPr>
              <w:jc w:val="right"/>
              <w:spacing w:after="0"/>
              <w:rPr>
                <w:sz w:val="20"/>
                <w:szCs w:val="20"/>
                <w:color w:val="auto"/>
              </w:rPr>
            </w:pPr>
            <w:r>
              <w:rPr>
                <w:rFonts w:ascii="Arial" w:cs="Arial" w:eastAsia="Arial" w:hAnsi="Arial"/>
                <w:sz w:val="14"/>
                <w:szCs w:val="14"/>
                <w:color w:val="auto"/>
              </w:rPr>
              <w:t>16,938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23,090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(26.6)</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2,724</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3,574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(23.8)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42,598</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36,222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17.6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15,072</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13,289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190,130</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163,935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16.0</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3,443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2,152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60.0</w:t>
            </w:r>
          </w:p>
        </w:tc>
        <w:tc>
          <w:tcPr>
            <w:tcW w:w="1040" w:type="dxa"/>
            <w:vAlign w:val="bottom"/>
          </w:tcPr>
          <w:p>
            <w:pPr>
              <w:jc w:val="right"/>
              <w:spacing w:after="0"/>
              <w:rPr>
                <w:sz w:val="20"/>
                <w:szCs w:val="20"/>
                <w:color w:val="auto"/>
              </w:rPr>
            </w:pPr>
            <w:r>
              <w:rPr>
                <w:rFonts w:ascii="Arial" w:cs="Arial" w:eastAsia="Arial" w:hAnsi="Arial"/>
                <w:sz w:val="14"/>
                <w:szCs w:val="14"/>
                <w:color w:val="auto"/>
              </w:rPr>
              <w:t>34,432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4,029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754.6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2,643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2,798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(5.5)</w:t>
            </w:r>
          </w:p>
        </w:tc>
        <w:tc>
          <w:tcPr>
            <w:tcW w:w="1040" w:type="dxa"/>
            <w:vAlign w:val="bottom"/>
          </w:tcPr>
          <w:p>
            <w:pPr>
              <w:jc w:val="right"/>
              <w:spacing w:after="0"/>
              <w:rPr>
                <w:sz w:val="20"/>
                <w:szCs w:val="20"/>
                <w:color w:val="auto"/>
              </w:rPr>
            </w:pPr>
            <w:r>
              <w:rPr>
                <w:rFonts w:ascii="Arial" w:cs="Arial" w:eastAsia="Arial" w:hAnsi="Arial"/>
                <w:sz w:val="14"/>
                <w:szCs w:val="14"/>
                <w:color w:val="auto"/>
              </w:rPr>
              <w:t>29,126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43,607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(33.2)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1,100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960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14.6</w:t>
            </w:r>
          </w:p>
        </w:tc>
        <w:tc>
          <w:tcPr>
            <w:tcW w:w="1040" w:type="dxa"/>
            <w:vAlign w:val="bottom"/>
          </w:tcPr>
          <w:p>
            <w:pPr>
              <w:jc w:val="right"/>
              <w:spacing w:after="0"/>
              <w:rPr>
                <w:sz w:val="20"/>
                <w:szCs w:val="20"/>
                <w:color w:val="auto"/>
              </w:rPr>
            </w:pPr>
            <w:r>
              <w:rPr>
                <w:rFonts w:ascii="Arial" w:cs="Arial" w:eastAsia="Arial" w:hAnsi="Arial"/>
                <w:sz w:val="14"/>
                <w:szCs w:val="14"/>
                <w:color w:val="auto"/>
              </w:rPr>
              <w:t>11,122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11,244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651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693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040" w:type="dxa"/>
            <w:vAlign w:val="bottom"/>
          </w:tcPr>
          <w:p>
            <w:pPr>
              <w:jc w:val="right"/>
              <w:spacing w:after="0"/>
              <w:rPr>
                <w:sz w:val="20"/>
                <w:szCs w:val="20"/>
                <w:color w:val="auto"/>
              </w:rPr>
            </w:pPr>
            <w:r>
              <w:rPr>
                <w:rFonts w:ascii="Arial" w:cs="Arial" w:eastAsia="Arial" w:hAnsi="Arial"/>
                <w:sz w:val="14"/>
                <w:szCs w:val="14"/>
                <w:color w:val="auto"/>
              </w:rPr>
              <w:t>7,175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7,156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156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(39.1)</w:t>
            </w:r>
          </w:p>
        </w:tc>
        <w:tc>
          <w:tcPr>
            <w:tcW w:w="1040" w:type="dxa"/>
            <w:vAlign w:val="bottom"/>
          </w:tcPr>
          <w:p>
            <w:pPr>
              <w:jc w:val="right"/>
              <w:spacing w:after="0"/>
              <w:rPr>
                <w:sz w:val="20"/>
                <w:szCs w:val="20"/>
                <w:color w:val="auto"/>
              </w:rPr>
            </w:pPr>
            <w:r>
              <w:rPr>
                <w:rFonts w:ascii="Arial" w:cs="Arial" w:eastAsia="Arial" w:hAnsi="Arial"/>
                <w:sz w:val="14"/>
                <w:szCs w:val="14"/>
                <w:color w:val="auto"/>
              </w:rPr>
              <w:t>1,906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1,678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4,823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5,340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(9.7)</w:t>
            </w:r>
          </w:p>
        </w:tc>
        <w:tc>
          <w:tcPr>
            <w:tcW w:w="1040" w:type="dxa"/>
            <w:vAlign w:val="bottom"/>
          </w:tcPr>
          <w:p>
            <w:pPr>
              <w:jc w:val="right"/>
              <w:spacing w:after="0"/>
              <w:rPr>
                <w:sz w:val="20"/>
                <w:szCs w:val="20"/>
                <w:color w:val="auto"/>
              </w:rPr>
            </w:pPr>
            <w:r>
              <w:rPr>
                <w:rFonts w:ascii="Arial" w:cs="Arial" w:eastAsia="Arial" w:hAnsi="Arial"/>
                <w:sz w:val="14"/>
                <w:szCs w:val="14"/>
                <w:color w:val="auto"/>
              </w:rPr>
              <w:t>50,702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51,085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(0.7)</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3,417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2,414</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41.5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29,889</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12,110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146.8</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16,172</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14,517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164,378</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131,534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25.0</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1,778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(85.7)</w:t>
            </w:r>
          </w:p>
        </w:tc>
        <w:tc>
          <w:tcPr>
            <w:tcW w:w="1040" w:type="dxa"/>
            <w:vAlign w:val="bottom"/>
          </w:tcPr>
          <w:p>
            <w:pPr>
              <w:jc w:val="right"/>
              <w:spacing w:after="0"/>
              <w:rPr>
                <w:sz w:val="20"/>
                <w:szCs w:val="20"/>
                <w:color w:val="auto"/>
              </w:rPr>
            </w:pPr>
            <w:r>
              <w:rPr>
                <w:rFonts w:ascii="Arial" w:cs="Arial" w:eastAsia="Arial" w:hAnsi="Arial"/>
                <w:sz w:val="14"/>
                <w:szCs w:val="14"/>
                <w:color w:val="auto"/>
              </w:rPr>
              <w:t>16,399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21,258</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(22.9)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5,068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4,464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13.5</w:t>
            </w:r>
          </w:p>
        </w:tc>
        <w:tc>
          <w:tcPr>
            <w:tcW w:w="1040" w:type="dxa"/>
            <w:vAlign w:val="bottom"/>
          </w:tcPr>
          <w:p>
            <w:pPr>
              <w:jc w:val="right"/>
              <w:spacing w:after="0"/>
              <w:rPr>
                <w:sz w:val="20"/>
                <w:szCs w:val="20"/>
                <w:color w:val="auto"/>
              </w:rPr>
            </w:pPr>
            <w:r>
              <w:rPr>
                <w:rFonts w:ascii="Arial" w:cs="Arial" w:eastAsia="Arial" w:hAnsi="Arial"/>
                <w:sz w:val="14"/>
                <w:szCs w:val="14"/>
                <w:color w:val="auto"/>
              </w:rPr>
              <w:t>75,552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78,554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281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1040" w:type="dxa"/>
            <w:vAlign w:val="bottom"/>
          </w:tcPr>
          <w:p>
            <w:pPr>
              <w:jc w:val="right"/>
              <w:spacing w:after="0"/>
              <w:rPr>
                <w:sz w:val="20"/>
                <w:szCs w:val="20"/>
                <w:color w:val="auto"/>
              </w:rPr>
            </w:pPr>
            <w:r>
              <w:rPr>
                <w:rFonts w:ascii="Arial" w:cs="Arial" w:eastAsia="Arial" w:hAnsi="Arial"/>
                <w:sz w:val="14"/>
                <w:szCs w:val="14"/>
                <w:color w:val="auto"/>
              </w:rPr>
              <w:t>3,487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3,489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4,476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3,672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21.9</w:t>
            </w:r>
          </w:p>
        </w:tc>
        <w:tc>
          <w:tcPr>
            <w:tcW w:w="1040" w:type="dxa"/>
            <w:vAlign w:val="bottom"/>
          </w:tcPr>
          <w:p>
            <w:pPr>
              <w:jc w:val="right"/>
              <w:spacing w:after="0"/>
              <w:rPr>
                <w:sz w:val="20"/>
                <w:szCs w:val="20"/>
                <w:color w:val="auto"/>
              </w:rPr>
            </w:pPr>
            <w:r>
              <w:rPr>
                <w:rFonts w:ascii="Arial" w:cs="Arial" w:eastAsia="Arial" w:hAnsi="Arial"/>
                <w:sz w:val="14"/>
                <w:szCs w:val="14"/>
                <w:color w:val="auto"/>
              </w:rPr>
              <w:t>44,966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34,228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31.4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1,327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c>
          <w:tcPr>
            <w:tcW w:w="1040" w:type="dxa"/>
            <w:vAlign w:val="bottom"/>
          </w:tcPr>
          <w:p>
            <w:pPr>
              <w:jc w:val="right"/>
              <w:spacing w:after="0"/>
              <w:rPr>
                <w:sz w:val="20"/>
                <w:szCs w:val="20"/>
                <w:color w:val="auto"/>
              </w:rPr>
            </w:pPr>
            <w:r>
              <w:rPr>
                <w:rFonts w:ascii="Arial" w:cs="Arial" w:eastAsia="Arial" w:hAnsi="Arial"/>
                <w:sz w:val="14"/>
                <w:szCs w:val="14"/>
                <w:color w:val="auto"/>
              </w:rPr>
              <w:t>3,410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35,547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(90.4)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2,527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1,104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128.9</w:t>
            </w:r>
          </w:p>
        </w:tc>
        <w:tc>
          <w:tcPr>
            <w:tcW w:w="1040" w:type="dxa"/>
            <w:vAlign w:val="bottom"/>
          </w:tcPr>
          <w:p>
            <w:pPr>
              <w:jc w:val="right"/>
              <w:spacing w:after="0"/>
              <w:rPr>
                <w:sz w:val="20"/>
                <w:szCs w:val="20"/>
                <w:color w:val="auto"/>
              </w:rPr>
            </w:pPr>
            <w:r>
              <w:rPr>
                <w:rFonts w:ascii="Arial" w:cs="Arial" w:eastAsia="Arial" w:hAnsi="Arial"/>
                <w:sz w:val="14"/>
                <w:szCs w:val="14"/>
                <w:color w:val="auto"/>
              </w:rPr>
              <w:t>14,286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12,841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18,200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16,807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8.3</w:t>
            </w:r>
          </w:p>
        </w:tc>
        <w:tc>
          <w:tcPr>
            <w:tcW w:w="1040" w:type="dxa"/>
            <w:vAlign w:val="bottom"/>
          </w:tcPr>
          <w:p>
            <w:pPr>
              <w:jc w:val="right"/>
              <w:spacing w:after="0"/>
              <w:rPr>
                <w:sz w:val="20"/>
                <w:szCs w:val="20"/>
                <w:color w:val="auto"/>
              </w:rPr>
            </w:pPr>
            <w:r>
              <w:rPr>
                <w:rFonts w:ascii="Arial" w:cs="Arial" w:eastAsia="Arial" w:hAnsi="Arial"/>
                <w:sz w:val="14"/>
                <w:szCs w:val="14"/>
                <w:color w:val="auto"/>
              </w:rPr>
              <w:t>230,062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216,528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18,397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16,821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9.4</w:t>
            </w:r>
          </w:p>
        </w:tc>
        <w:tc>
          <w:tcPr>
            <w:tcW w:w="1040" w:type="dxa"/>
            <w:vAlign w:val="bottom"/>
          </w:tcPr>
          <w:p>
            <w:pPr>
              <w:jc w:val="right"/>
              <w:spacing w:after="0"/>
              <w:rPr>
                <w:sz w:val="20"/>
                <w:szCs w:val="20"/>
                <w:color w:val="auto"/>
              </w:rPr>
            </w:pPr>
            <w:r>
              <w:rPr>
                <w:rFonts w:ascii="Arial" w:cs="Arial" w:eastAsia="Arial" w:hAnsi="Arial"/>
                <w:sz w:val="14"/>
                <w:szCs w:val="14"/>
                <w:color w:val="auto"/>
              </w:rPr>
              <w:t>220,980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199,070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5,779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6,007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(3.8)</w:t>
            </w:r>
          </w:p>
        </w:tc>
        <w:tc>
          <w:tcPr>
            <w:tcW w:w="1040" w:type="dxa"/>
            <w:vAlign w:val="bottom"/>
          </w:tcPr>
          <w:p>
            <w:pPr>
              <w:jc w:val="right"/>
              <w:spacing w:after="0"/>
              <w:rPr>
                <w:sz w:val="20"/>
                <w:szCs w:val="20"/>
                <w:color w:val="auto"/>
              </w:rPr>
            </w:pPr>
            <w:r>
              <w:rPr>
                <w:rFonts w:ascii="Arial" w:cs="Arial" w:eastAsia="Arial" w:hAnsi="Arial"/>
                <w:sz w:val="14"/>
                <w:szCs w:val="14"/>
                <w:color w:val="auto"/>
              </w:rPr>
              <w:t>71,928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69,421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13,418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11,163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20.2</w:t>
            </w:r>
          </w:p>
        </w:tc>
        <w:tc>
          <w:tcPr>
            <w:tcW w:w="1040" w:type="dxa"/>
            <w:vAlign w:val="bottom"/>
          </w:tcPr>
          <w:p>
            <w:pPr>
              <w:jc w:val="right"/>
              <w:spacing w:after="0"/>
              <w:rPr>
                <w:sz w:val="20"/>
                <w:szCs w:val="20"/>
                <w:color w:val="auto"/>
              </w:rPr>
            </w:pPr>
            <w:r>
              <w:rPr>
                <w:rFonts w:ascii="Arial" w:cs="Arial" w:eastAsia="Arial" w:hAnsi="Arial"/>
                <w:sz w:val="14"/>
                <w:szCs w:val="14"/>
                <w:color w:val="auto"/>
              </w:rPr>
              <w:t>146,164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159,710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14,405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10,227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40.9</w:t>
            </w:r>
          </w:p>
        </w:tc>
        <w:tc>
          <w:tcPr>
            <w:tcW w:w="1040" w:type="dxa"/>
            <w:vAlign w:val="bottom"/>
          </w:tcPr>
          <w:p>
            <w:pPr>
              <w:jc w:val="right"/>
              <w:spacing w:after="0"/>
              <w:rPr>
                <w:sz w:val="20"/>
                <w:szCs w:val="20"/>
                <w:color w:val="auto"/>
              </w:rPr>
            </w:pPr>
            <w:r>
              <w:rPr>
                <w:rFonts w:ascii="Arial" w:cs="Arial" w:eastAsia="Arial" w:hAnsi="Arial"/>
                <w:sz w:val="14"/>
                <w:szCs w:val="14"/>
                <w:color w:val="auto"/>
              </w:rPr>
              <w:t>185,101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199,321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34,386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30,674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12.1</w:t>
            </w:r>
          </w:p>
        </w:tc>
        <w:tc>
          <w:tcPr>
            <w:tcW w:w="1040" w:type="dxa"/>
            <w:vAlign w:val="bottom"/>
          </w:tcPr>
          <w:p>
            <w:pPr>
              <w:jc w:val="right"/>
              <w:spacing w:after="0"/>
              <w:rPr>
                <w:sz w:val="20"/>
                <w:szCs w:val="20"/>
                <w:color w:val="auto"/>
              </w:rPr>
            </w:pPr>
            <w:r>
              <w:rPr>
                <w:rFonts w:ascii="Arial" w:cs="Arial" w:eastAsia="Arial" w:hAnsi="Arial"/>
                <w:sz w:val="14"/>
                <w:szCs w:val="14"/>
                <w:color w:val="auto"/>
              </w:rPr>
              <w:t>437,821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367,613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4,712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5,016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040" w:type="dxa"/>
            <w:vAlign w:val="bottom"/>
          </w:tcPr>
          <w:p>
            <w:pPr>
              <w:jc w:val="right"/>
              <w:spacing w:after="0"/>
              <w:rPr>
                <w:sz w:val="20"/>
                <w:szCs w:val="20"/>
                <w:color w:val="auto"/>
              </w:rPr>
            </w:pPr>
            <w:r>
              <w:rPr>
                <w:rFonts w:ascii="Arial" w:cs="Arial" w:eastAsia="Arial" w:hAnsi="Arial"/>
                <w:sz w:val="14"/>
                <w:szCs w:val="14"/>
                <w:color w:val="auto"/>
              </w:rPr>
              <w:t>81,211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75,257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1,741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1,709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1.9</w:t>
            </w:r>
          </w:p>
        </w:tc>
        <w:tc>
          <w:tcPr>
            <w:tcW w:w="1040" w:type="dxa"/>
            <w:vAlign w:val="bottom"/>
          </w:tcPr>
          <w:p>
            <w:pPr>
              <w:jc w:val="right"/>
              <w:spacing w:after="0"/>
              <w:rPr>
                <w:sz w:val="20"/>
                <w:szCs w:val="20"/>
                <w:color w:val="auto"/>
              </w:rPr>
            </w:pPr>
            <w:r>
              <w:rPr>
                <w:rFonts w:ascii="Arial" w:cs="Arial" w:eastAsia="Arial" w:hAnsi="Arial"/>
                <w:sz w:val="14"/>
                <w:szCs w:val="14"/>
                <w:color w:val="auto"/>
              </w:rPr>
              <w:t>32,418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10,156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5,212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4,705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10.8</w:t>
            </w:r>
          </w:p>
        </w:tc>
        <w:tc>
          <w:tcPr>
            <w:tcW w:w="1040" w:type="dxa"/>
            <w:vAlign w:val="bottom"/>
          </w:tcPr>
          <w:p>
            <w:pPr>
              <w:jc w:val="right"/>
              <w:spacing w:after="0"/>
              <w:rPr>
                <w:sz w:val="20"/>
                <w:szCs w:val="20"/>
                <w:color w:val="auto"/>
              </w:rPr>
            </w:pPr>
            <w:r>
              <w:rPr>
                <w:rFonts w:ascii="Arial" w:cs="Arial" w:eastAsia="Arial" w:hAnsi="Arial"/>
                <w:sz w:val="14"/>
                <w:szCs w:val="14"/>
                <w:color w:val="auto"/>
              </w:rPr>
              <w:t>45,440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42,160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7,272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5,895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23.4</w:t>
            </w:r>
          </w:p>
        </w:tc>
        <w:tc>
          <w:tcPr>
            <w:tcW w:w="1040" w:type="dxa"/>
            <w:vAlign w:val="bottom"/>
          </w:tcPr>
          <w:p>
            <w:pPr>
              <w:jc w:val="right"/>
              <w:spacing w:after="0"/>
              <w:rPr>
                <w:sz w:val="20"/>
                <w:szCs w:val="20"/>
                <w:color w:val="auto"/>
              </w:rPr>
            </w:pPr>
            <w:r>
              <w:rPr>
                <w:rFonts w:ascii="Arial" w:cs="Arial" w:eastAsia="Arial" w:hAnsi="Arial"/>
                <w:sz w:val="14"/>
                <w:szCs w:val="14"/>
                <w:color w:val="auto"/>
              </w:rPr>
              <w:t>74,856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60,302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6,889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5,697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20.9</w:t>
            </w:r>
          </w:p>
        </w:tc>
        <w:tc>
          <w:tcPr>
            <w:tcW w:w="1040" w:type="dxa"/>
            <w:vAlign w:val="bottom"/>
          </w:tcPr>
          <w:p>
            <w:pPr>
              <w:jc w:val="right"/>
              <w:spacing w:after="0"/>
              <w:rPr>
                <w:sz w:val="20"/>
                <w:szCs w:val="20"/>
                <w:color w:val="auto"/>
              </w:rPr>
            </w:pPr>
            <w:r>
              <w:rPr>
                <w:rFonts w:ascii="Arial" w:cs="Arial" w:eastAsia="Arial" w:hAnsi="Arial"/>
                <w:sz w:val="14"/>
                <w:szCs w:val="14"/>
                <w:color w:val="auto"/>
              </w:rPr>
              <w:t>88,665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78,176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13.4</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1,920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1,519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26.4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20,702</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20,828</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(0.6)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145,089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128,867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1,793,632</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1,684,555</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6.5</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7,566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3,631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108.4</w:t>
            </w:r>
          </w:p>
        </w:tc>
        <w:tc>
          <w:tcPr>
            <w:tcW w:w="1040" w:type="dxa"/>
            <w:vAlign w:val="bottom"/>
          </w:tcPr>
          <w:p>
            <w:pPr>
              <w:jc w:val="right"/>
              <w:spacing w:after="0"/>
              <w:rPr>
                <w:sz w:val="20"/>
                <w:szCs w:val="20"/>
                <w:color w:val="auto"/>
              </w:rPr>
            </w:pPr>
            <w:r>
              <w:rPr>
                <w:rFonts w:ascii="Arial" w:cs="Arial" w:eastAsia="Arial" w:hAnsi="Arial"/>
                <w:sz w:val="14"/>
                <w:szCs w:val="14"/>
                <w:color w:val="auto"/>
              </w:rPr>
              <w:t>81,870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73,101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330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(98.8)</w:t>
            </w:r>
          </w:p>
        </w:tc>
        <w:tc>
          <w:tcPr>
            <w:tcW w:w="1040" w:type="dxa"/>
            <w:vAlign w:val="bottom"/>
          </w:tcPr>
          <w:p>
            <w:pPr>
              <w:jc w:val="right"/>
              <w:spacing w:after="0"/>
              <w:rPr>
                <w:sz w:val="20"/>
                <w:szCs w:val="20"/>
                <w:color w:val="auto"/>
              </w:rPr>
            </w:pPr>
            <w:r>
              <w:rPr>
                <w:rFonts w:ascii="Arial" w:cs="Arial" w:eastAsia="Arial" w:hAnsi="Arial"/>
                <w:sz w:val="14"/>
                <w:szCs w:val="14"/>
                <w:color w:val="auto"/>
              </w:rPr>
              <w:t>927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8,420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(89.0)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1,532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1,014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51.1</w:t>
            </w:r>
          </w:p>
        </w:tc>
        <w:tc>
          <w:tcPr>
            <w:tcW w:w="1040" w:type="dxa"/>
            <w:vAlign w:val="bottom"/>
          </w:tcPr>
          <w:p>
            <w:pPr>
              <w:jc w:val="right"/>
              <w:spacing w:after="0"/>
              <w:rPr>
                <w:sz w:val="20"/>
                <w:szCs w:val="20"/>
                <w:color w:val="auto"/>
              </w:rPr>
            </w:pPr>
            <w:r>
              <w:rPr>
                <w:rFonts w:ascii="Arial" w:cs="Arial" w:eastAsia="Arial" w:hAnsi="Arial"/>
                <w:sz w:val="14"/>
                <w:szCs w:val="14"/>
                <w:color w:val="auto"/>
              </w:rPr>
              <w:t>14,117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19,320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14,362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11,726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22.5</w:t>
            </w:r>
          </w:p>
        </w:tc>
        <w:tc>
          <w:tcPr>
            <w:tcW w:w="1040" w:type="dxa"/>
            <w:vAlign w:val="bottom"/>
          </w:tcPr>
          <w:p>
            <w:pPr>
              <w:jc w:val="right"/>
              <w:spacing w:after="0"/>
              <w:rPr>
                <w:sz w:val="20"/>
                <w:szCs w:val="20"/>
                <w:color w:val="auto"/>
              </w:rPr>
            </w:pPr>
            <w:r>
              <w:rPr>
                <w:rFonts w:ascii="Arial" w:cs="Arial" w:eastAsia="Arial" w:hAnsi="Arial"/>
                <w:sz w:val="14"/>
                <w:szCs w:val="14"/>
                <w:color w:val="auto"/>
              </w:rPr>
              <w:t>166,535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138,475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6,821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8,158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(16.4)</w:t>
            </w:r>
          </w:p>
        </w:tc>
        <w:tc>
          <w:tcPr>
            <w:tcW w:w="1040" w:type="dxa"/>
            <w:vAlign w:val="bottom"/>
          </w:tcPr>
          <w:p>
            <w:pPr>
              <w:jc w:val="right"/>
              <w:spacing w:after="0"/>
              <w:rPr>
                <w:sz w:val="20"/>
                <w:szCs w:val="20"/>
                <w:color w:val="auto"/>
              </w:rPr>
            </w:pPr>
            <w:r>
              <w:rPr>
                <w:rFonts w:ascii="Arial" w:cs="Arial" w:eastAsia="Arial" w:hAnsi="Arial"/>
                <w:sz w:val="14"/>
                <w:szCs w:val="14"/>
                <w:color w:val="auto"/>
              </w:rPr>
              <w:t>91,527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86,270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2,777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2,438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13.9</w:t>
            </w:r>
          </w:p>
        </w:tc>
        <w:tc>
          <w:tcPr>
            <w:tcW w:w="1040" w:type="dxa"/>
            <w:vAlign w:val="bottom"/>
          </w:tcPr>
          <w:p>
            <w:pPr>
              <w:jc w:val="right"/>
              <w:spacing w:after="0"/>
              <w:rPr>
                <w:sz w:val="20"/>
                <w:szCs w:val="20"/>
                <w:color w:val="auto"/>
              </w:rPr>
            </w:pPr>
            <w:r>
              <w:rPr>
                <w:rFonts w:ascii="Arial" w:cs="Arial" w:eastAsia="Arial" w:hAnsi="Arial"/>
                <w:sz w:val="14"/>
                <w:szCs w:val="14"/>
                <w:color w:val="auto"/>
              </w:rPr>
              <w:t>24,705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23,876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3.5</w:t>
            </w:r>
          </w:p>
        </w:tc>
      </w:tr>
      <w:tr>
        <w:trPr>
          <w:trHeight w:val="289"/>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2,535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5.1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28,100</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20,498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37.1</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35,727</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29,832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19.8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407,781</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369,960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10.2</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212,060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186,505</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2,555,921</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2,349,984</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8.8</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26 selling days for the November period this year and 25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models: Buick Lucerne, Cadillac DTS and STS, Chevrolet Aveo, Cobalt and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2019-12-07T20:46:31Z</dcterms:created>
  <dcterms:modified xsi:type="dcterms:W3CDTF">2019-12-07T20:46:31Z</dcterms:modified>
</cp:coreProperties>
</file>