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333-236276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February 5, 2020)</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00A887"/>
        </w:rPr>
        <w:t>$2,250,000,000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1830705</wp:posOffset>
            </wp:positionH>
            <wp:positionV relativeFrom="paragraph">
              <wp:posOffset>177800</wp:posOffset>
            </wp:positionV>
            <wp:extent cx="348043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04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3"/>
          <w:szCs w:val="23"/>
          <w:b w:val="1"/>
          <w:bCs w:val="1"/>
          <w:color w:val="00A887"/>
        </w:rPr>
        <w:t>$1,000,000,000 5.400% Senior Notes due 2029</w:t>
      </w:r>
    </w:p>
    <w:p>
      <w:pPr>
        <w:spacing w:after="0" w:line="36"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3"/>
          <w:szCs w:val="23"/>
          <w:b w:val="1"/>
          <w:bCs w:val="1"/>
          <w:color w:val="00A887"/>
        </w:rPr>
        <w:t>$1,250,000,000 5.600% Senior Notes due 2032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238760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ind w:right="340" w:firstLine="449"/>
        <w:spacing w:after="0" w:line="298" w:lineRule="auto"/>
        <w:rPr>
          <w:sz w:val="20"/>
          <w:szCs w:val="20"/>
          <w:color w:val="auto"/>
        </w:rPr>
      </w:pPr>
      <w:r>
        <w:rPr>
          <w:rFonts w:ascii="Times New Roman" w:cs="Times New Roman" w:eastAsia="Times New Roman" w:hAnsi="Times New Roman"/>
          <w:sz w:val="16"/>
          <w:szCs w:val="16"/>
          <w:color w:val="auto"/>
        </w:rPr>
        <w:t>General Motors Company is offering $1,000,000,000 in aggregate principal amount of 5.400% Senior Notes due 2029 (the “2029 Notes”) and $1,250,000,000 in aggregate principal amount of 5.600% Senior Notes due 2032 (the “2032 Notes” and, collectively with the 2029 Notes, the “Notes”).</w:t>
      </w:r>
    </w:p>
    <w:p>
      <w:pPr>
        <w:spacing w:after="0" w:line="164" w:lineRule="exact"/>
        <w:rPr>
          <w:sz w:val="24"/>
          <w:szCs w:val="24"/>
          <w:color w:val="auto"/>
        </w:rPr>
      </w:pPr>
    </w:p>
    <w:p>
      <w:pPr>
        <w:ind w:right="40" w:firstLine="449"/>
        <w:spacing w:after="0" w:line="281" w:lineRule="auto"/>
        <w:rPr>
          <w:sz w:val="20"/>
          <w:szCs w:val="20"/>
          <w:color w:val="auto"/>
        </w:rPr>
      </w:pPr>
      <w:r>
        <w:rPr>
          <w:rFonts w:ascii="Times New Roman" w:cs="Times New Roman" w:eastAsia="Times New Roman" w:hAnsi="Times New Roman"/>
          <w:sz w:val="16"/>
          <w:szCs w:val="16"/>
          <w:color w:val="auto"/>
        </w:rPr>
        <w:t>The 2029 Notes will mature on October 15, 2029 and the 2032 Notes will mature on October 15, 2032. Interest on the Notes will accrue from August 2, 2022. We will pay interest on the Notes semi-annually on April 15 and October 15 of each year, commencing on October 15, 2022. The Notes will be our senior unsecured obligations and will rank equally in right of payment with all of our existing and future senior unsecured indebtedness.</w:t>
      </w:r>
    </w:p>
    <w:p>
      <w:pPr>
        <w:spacing w:after="0" w:line="177" w:lineRule="exact"/>
        <w:rPr>
          <w:sz w:val="24"/>
          <w:szCs w:val="24"/>
          <w:color w:val="auto"/>
        </w:rPr>
      </w:pPr>
    </w:p>
    <w:p>
      <w:pPr>
        <w:ind w:right="360" w:firstLine="449"/>
        <w:spacing w:after="0" w:line="298" w:lineRule="auto"/>
        <w:rPr>
          <w:sz w:val="20"/>
          <w:szCs w:val="20"/>
          <w:color w:val="auto"/>
        </w:rPr>
      </w:pPr>
      <w:r>
        <w:rPr>
          <w:rFonts w:ascii="Times New Roman" w:cs="Times New Roman" w:eastAsia="Times New Roman" w:hAnsi="Times New Roman"/>
          <w:sz w:val="16"/>
          <w:szCs w:val="16"/>
          <w:color w:val="auto"/>
        </w:rPr>
        <w:t>We may, at our option, redeem some or all of the 2029 Notes and the 2032 Notes at any time and from time to time at the applicable redemption prices described under “Description of the Notes—Optional Redemption.”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198755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right="780" w:firstLine="449"/>
        <w:spacing w:after="0" w:line="300" w:lineRule="auto"/>
        <w:rPr>
          <w:sz w:val="20"/>
          <w:szCs w:val="20"/>
          <w:color w:val="auto"/>
        </w:rPr>
      </w:pPr>
      <w:r>
        <w:rPr>
          <w:rFonts w:ascii="Times New Roman" w:cs="Times New Roman" w:eastAsia="Times New Roman" w:hAnsi="Times New Roman"/>
          <w:sz w:val="19"/>
          <w:szCs w:val="19"/>
          <w:b w:val="1"/>
          <w:bCs w:val="1"/>
          <w:color w:val="auto"/>
        </w:rPr>
        <w:t>Investing in the Notes involves risks. See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beginning on page S-6 of this prospectus supplement, in the accompanying prospectus and in our periodic reports filed from time to time with the Securities and Exchange Commission.</w:t>
      </w:r>
    </w:p>
    <w:p>
      <w:pPr>
        <w:spacing w:after="0" w:line="142" w:lineRule="exact"/>
        <w:rPr>
          <w:sz w:val="24"/>
          <w:szCs w:val="24"/>
          <w:color w:val="auto"/>
        </w:rPr>
      </w:pPr>
    </w:p>
    <w:p>
      <w:pPr>
        <w:ind w:right="40" w:firstLine="449"/>
        <w:spacing w:after="0" w:line="298" w:lineRule="auto"/>
        <w:rPr>
          <w:sz w:val="20"/>
          <w:szCs w:val="20"/>
          <w:color w:val="auto"/>
        </w:rPr>
      </w:pPr>
      <w:r>
        <w:rPr>
          <w:rFonts w:ascii="Times New Roman" w:cs="Times New Roman" w:eastAsia="Times New Roman" w:hAnsi="Times New Roman"/>
          <w:sz w:val="16"/>
          <w:szCs w:val="16"/>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16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780" w:type="dxa"/>
            <w:vAlign w:val="bottom"/>
            <w:gridSpan w:val="3"/>
          </w:tcPr>
          <w:p>
            <w:pPr>
              <w:jc w:val="center"/>
              <w:ind w:left="1662"/>
              <w:spacing w:after="0"/>
              <w:rPr>
                <w:sz w:val="20"/>
                <w:szCs w:val="20"/>
                <w:color w:val="auto"/>
              </w:rPr>
            </w:pPr>
            <w:r>
              <w:rPr>
                <w:rFonts w:ascii="Times New Roman" w:cs="Times New Roman" w:eastAsia="Times New Roman" w:hAnsi="Times New Roman"/>
                <w:sz w:val="14"/>
                <w:szCs w:val="14"/>
                <w:b w:val="1"/>
                <w:bCs w:val="1"/>
                <w:color w:val="auto"/>
                <w:w w:val="98"/>
              </w:rPr>
              <w:t>Per 2029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3"/>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Per 2032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Price to Public</w:t>
            </w:r>
            <w:r>
              <w:rPr>
                <w:rFonts w:ascii="Times New Roman" w:cs="Times New Roman" w:eastAsia="Times New Roman" w:hAnsi="Times New Roman"/>
                <w:sz w:val="22"/>
                <w:szCs w:val="22"/>
                <w:color w:val="auto"/>
                <w:vertAlign w:val="superscript"/>
              </w:rPr>
              <w:t>(1)</w:t>
            </w:r>
          </w:p>
        </w:tc>
        <w:tc>
          <w:tcPr>
            <w:tcW w:w="20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99.908%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999,080,000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99.756%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1,246,950,000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w:t>
            </w:r>
          </w:p>
        </w:tc>
        <w:tc>
          <w:tcPr>
            <w:tcW w:w="2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Proceeds, before expenses, to us</w:t>
            </w:r>
            <w:r>
              <w:rPr>
                <w:rFonts w:ascii="Times New Roman" w:cs="Times New Roman" w:eastAsia="Times New Roman" w:hAnsi="Times New Roman"/>
                <w:sz w:val="23"/>
                <w:szCs w:val="23"/>
                <w:color w:val="auto"/>
                <w:vertAlign w:val="superscript"/>
              </w:rPr>
              <w:t>(1)</w:t>
            </w:r>
          </w:p>
        </w:tc>
        <w:tc>
          <w:tcPr>
            <w:tcW w:w="2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99.508%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995,080,000</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99.306%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1,241,325,000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and including August 2, 2022 to but excluding the delivery date.</w:t>
      </w:r>
    </w:p>
    <w:p>
      <w:pPr>
        <w:spacing w:after="0" w:line="235" w:lineRule="exact"/>
        <w:rPr>
          <w:sz w:val="24"/>
          <w:szCs w:val="24"/>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The underwriters expect to deliver the Notes to purchasers in book-entry form through the facilities of The Depository Trust Company and its participants, including Euroclear Bank SA/NV (“Euroclear”) and Clearstream Banking, S.A. (“Clearstream”), on or about 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198755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Joint Book-Running Managers</w:t>
      </w:r>
    </w:p>
    <w:p>
      <w:pPr>
        <w:sectPr>
          <w:pgSz w:w="11900" w:h="16838" w:orient="portrait"/>
          <w:cols w:equalWidth="0" w:num="1">
            <w:col w:w="11240"/>
          </w:cols>
          <w:pgMar w:left="320" w:top="226" w:right="339" w:bottom="1035" w:gutter="0" w:footer="0" w:header="0"/>
        </w:sect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BNP PARIBAS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45" w:lineRule="exact"/>
        <w:rPr>
          <w:sz w:val="24"/>
          <w:szCs w:val="24"/>
          <w:color w:val="auto"/>
        </w:rPr>
      </w:pPr>
    </w:p>
    <w:p>
      <w:pPr>
        <w:sectPr>
          <w:pgSz w:w="11900" w:h="16838" w:orient="portrait"/>
          <w:cols w:equalWidth="0" w:num="4">
            <w:col w:w="1900" w:space="720"/>
            <w:col w:w="4240" w:space="720"/>
            <w:col w:w="2040" w:space="720"/>
            <w:col w:w="900"/>
          </w:cols>
          <w:pgMar w:left="320" w:top="226" w:right="339" w:bottom="1035" w:gutter="0" w:footer="0" w:header="0"/>
          <w:type w:val="continuous"/>
        </w:sectPr>
      </w:pPr>
    </w:p>
    <w:p>
      <w:pPr>
        <w:ind w:left="2620"/>
        <w:spacing w:after="0"/>
        <w:rPr>
          <w:sz w:val="20"/>
          <w:szCs w:val="20"/>
          <w:color w:val="auto"/>
        </w:rPr>
      </w:pPr>
      <w:r>
        <w:rPr>
          <w:rFonts w:ascii="Times New Roman" w:cs="Times New Roman" w:eastAsia="Times New Roman" w:hAnsi="Times New Roman"/>
          <w:sz w:val="21"/>
          <w:szCs w:val="21"/>
          <w:i w:val="1"/>
          <w:iCs w:val="1"/>
          <w:color w:val="auto"/>
        </w:rPr>
        <w:t>Sustainability Agent</w:t>
      </w:r>
    </w:p>
    <w:p>
      <w:pPr>
        <w:sectPr>
          <w:pgSz w:w="11900" w:h="16838" w:orient="portrait"/>
          <w:cols w:equalWidth="0" w:num="1">
            <w:col w:w="11240"/>
          </w:cols>
          <w:pgMar w:left="320" w:top="226" w:right="339" w:bottom="1035" w:gutter="0" w:footer="0" w:header="0"/>
          <w:type w:val="continuous"/>
        </w:sectPr>
      </w:pP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Credit Agricole CIB</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Morgan Stanley</w:t>
      </w:r>
    </w:p>
    <w:p>
      <w:pPr>
        <w:spacing w:after="0" w:line="35" w:lineRule="exact"/>
        <w:rPr>
          <w:sz w:val="24"/>
          <w:szCs w:val="24"/>
          <w:color w:val="auto"/>
        </w:rPr>
      </w:pPr>
    </w:p>
    <w:p>
      <w:pPr>
        <w:sectPr>
          <w:pgSz w:w="11900" w:h="16838" w:orient="portrait"/>
          <w:cols w:equalWidth="0" w:num="4">
            <w:col w:w="1900" w:space="720"/>
            <w:col w:w="4540" w:space="720"/>
            <w:col w:w="1160" w:space="720"/>
            <w:col w:w="1480"/>
          </w:cols>
          <w:pgMar w:left="320" w:top="226" w:right="339" w:bottom="1035" w:gutter="0" w:footer="0" w:header="0"/>
          <w:type w:val="continuous"/>
        </w:sectPr>
      </w:pPr>
    </w:p>
    <w:p>
      <w:pPr>
        <w:spacing w:after="0"/>
        <w:rPr>
          <w:sz w:val="20"/>
          <w:szCs w:val="20"/>
          <w:color w:val="auto"/>
        </w:rPr>
      </w:pPr>
      <w:r>
        <w:rPr>
          <w:rFonts w:ascii="Times New Roman" w:cs="Times New Roman" w:eastAsia="Times New Roman" w:hAnsi="Times New Roman"/>
          <w:sz w:val="22"/>
          <w:szCs w:val="22"/>
          <w:i w:val="1"/>
          <w:iCs w:val="1"/>
          <w:color w:val="auto"/>
        </w:rPr>
        <w:t>Sustainability Agent</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Joint Lead Managers</w:t>
      </w:r>
    </w:p>
    <w:p>
      <w:pPr>
        <w:sectPr>
          <w:pgSz w:w="11900" w:h="16838" w:orient="portrait"/>
          <w:cols w:equalWidth="0" w:num="1">
            <w:col w:w="11240"/>
          </w:cols>
          <w:pgMar w:left="320" w:top="226" w:right="339" w:bottom="1035" w:gutter="0" w:footer="0" w:header="0"/>
          <w:type w:val="continuous"/>
        </w:sectPr>
      </w:pPr>
    </w:p>
    <w:p>
      <w:pPr>
        <w:spacing w:after="0" w:line="25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BBVA</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Mizuho Securities</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Deutsche Bank Securities</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Santander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IMI – Intesa Sanpaolo</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SOCIETE GENERALE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Lloyds Securities</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SMBC Nikko</w:t>
      </w:r>
    </w:p>
    <w:p>
      <w:pPr>
        <w:spacing w:after="0" w:line="200" w:lineRule="exact"/>
        <w:rPr>
          <w:sz w:val="24"/>
          <w:szCs w:val="24"/>
          <w:color w:val="auto"/>
        </w:rPr>
      </w:pPr>
    </w:p>
    <w:p>
      <w:pPr>
        <w:sectPr>
          <w:pgSz w:w="11900" w:h="16838" w:orient="portrait"/>
          <w:cols w:equalWidth="0" w:num="4">
            <w:col w:w="2420" w:space="720"/>
            <w:col w:w="2860" w:space="720"/>
            <w:col w:w="2240" w:space="720"/>
            <w:col w:w="1560"/>
          </w:cols>
          <w:pgMar w:left="320" w:top="226" w:right="339" w:bottom="1035"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Co-Managers</w:t>
      </w:r>
    </w:p>
    <w:p>
      <w:pPr>
        <w:sectPr>
          <w:pgSz w:w="11900" w:h="16838" w:orient="portrait"/>
          <w:cols w:equalWidth="0" w:num="1">
            <w:col w:w="11240"/>
          </w:cols>
          <w:pgMar w:left="320" w:top="226" w:right="339" w:bottom="1035" w:gutter="0" w:footer="0" w:header="0"/>
          <w:type w:val="continuous"/>
        </w:sectPr>
      </w:pPr>
    </w:p>
    <w:p>
      <w:pPr>
        <w:spacing w:after="0" w:line="262" w:lineRule="exact"/>
        <w:rPr>
          <w:sz w:val="24"/>
          <w:szCs w:val="24"/>
          <w:color w:val="auto"/>
        </w:rPr>
      </w:pPr>
    </w:p>
    <w:p>
      <w:pPr>
        <w:ind w:left="420" w:right="460" w:firstLine="99"/>
        <w:spacing w:after="0" w:line="281" w:lineRule="auto"/>
        <w:rPr>
          <w:sz w:val="20"/>
          <w:szCs w:val="20"/>
          <w:color w:val="auto"/>
        </w:rPr>
      </w:pPr>
      <w:r>
        <w:rPr>
          <w:rFonts w:ascii="Times New Roman" w:cs="Times New Roman" w:eastAsia="Times New Roman" w:hAnsi="Times New Roman"/>
          <w:sz w:val="16"/>
          <w:szCs w:val="16"/>
          <w:b w:val="1"/>
          <w:bCs w:val="1"/>
          <w:color w:val="auto"/>
        </w:rPr>
        <w:t>COMMERZBANK ICBC Standard Bank Scotiabank TD Securities Wells Fargo Securities C.L. King &amp; Associates Ramirez &amp; Co., Inc.</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Truist Securities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Loop Capital Markets</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RBC Capital Markets</w:t>
      </w:r>
    </w:p>
    <w:p>
      <w:pPr>
        <w:spacing w:after="0" w:line="28"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UniCredit Capital Markets</w:t>
      </w:r>
    </w:p>
    <w:p>
      <w:pPr>
        <w:spacing w:after="0" w:line="1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Mischler Financial Group, Inc.</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Siebert Williams Shank</w:t>
      </w:r>
    </w:p>
    <w:p>
      <w:pPr>
        <w:spacing w:after="0" w:line="200" w:lineRule="exact"/>
        <w:rPr>
          <w:sz w:val="24"/>
          <w:szCs w:val="24"/>
          <w:color w:val="auto"/>
        </w:rPr>
      </w:pPr>
    </w:p>
    <w:p>
      <w:pPr>
        <w:sectPr>
          <w:pgSz w:w="11900" w:h="16838" w:orient="portrait"/>
          <w:cols w:equalWidth="0" w:num="3">
            <w:col w:w="5100" w:space="720"/>
            <w:col w:w="1540" w:space="100"/>
            <w:col w:w="3780"/>
          </w:cols>
          <w:pgMar w:left="320" w:top="226" w:right="339" w:bottom="1035" w:gutter="0" w:footer="0" w:header="0"/>
          <w:type w:val="continuous"/>
        </w:sectPr>
      </w:pP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July 28, 2022.</w:t>
      </w:r>
    </w:p>
    <w:p>
      <w:pPr>
        <w:sectPr>
          <w:pgSz w:w="11900" w:h="16838" w:orient="portrait"/>
          <w:cols w:equalWidth="0" w:num="1">
            <w:col w:w="11240"/>
          </w:cols>
          <w:pgMar w:left="320" w:top="226" w:right="339" w:bottom="103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60" w:type="dxa"/>
            <w:vAlign w:val="bottom"/>
          </w:tcPr>
          <w:p>
            <w:pPr>
              <w:spacing w:after="0"/>
              <w:rPr>
                <w:sz w:val="17"/>
                <w:szCs w:val="17"/>
                <w:color w:val="auto"/>
              </w:rPr>
            </w:pPr>
          </w:p>
        </w:tc>
      </w:tr>
      <w:tr>
        <w:trPr>
          <w:trHeight w:val="533"/>
        </w:trPr>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6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60" w:type="dxa"/>
            <w:vAlign w:val="bottom"/>
          </w:tcPr>
          <w:p>
            <w:pPr>
              <w:spacing w:after="0"/>
              <w:rPr>
                <w:sz w:val="24"/>
                <w:szCs w:val="24"/>
                <w:color w:val="auto"/>
              </w:rPr>
            </w:pPr>
          </w:p>
        </w:tc>
      </w:tr>
      <w:tr>
        <w:trPr>
          <w:trHeight w:val="418"/>
        </w:trPr>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29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500" w:type="dxa"/>
            <w:vAlign w:val="bottom"/>
            <w:tcBorders>
              <w:top w:val="single" w:sz="8" w:color="0000EE"/>
            </w:tcBorders>
            <w:gridSpan w:val="6"/>
          </w:tcPr>
          <w:p>
            <w:pPr>
              <w:spacing w:after="0"/>
              <w:rPr>
                <w:sz w:val="17"/>
                <w:szCs w:val="17"/>
                <w:color w:val="auto"/>
              </w:rPr>
            </w:pPr>
          </w:p>
        </w:tc>
        <w:tc>
          <w:tcPr>
            <w:tcW w:w="52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SUMMARY</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46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NOTES</w:t>
            </w:r>
          </w:p>
        </w:tc>
        <w:tc>
          <w:tcPr>
            <w:tcW w:w="624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U.S. FEDERAL TAX CONSIDERATIONS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4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UNDERWRITING</w:t>
            </w:r>
          </w:p>
        </w:tc>
        <w:tc>
          <w:tcPr>
            <w:tcW w:w="1760" w:type="dxa"/>
            <w:vAlign w:val="bottom"/>
            <w:tcBorders>
              <w:top w:val="single" w:sz="8" w:color="0000EE"/>
            </w:tcBorders>
            <w:gridSpan w:val="12"/>
          </w:tcPr>
          <w:p>
            <w:pPr>
              <w:spacing w:after="0"/>
              <w:rPr>
                <w:sz w:val="17"/>
                <w:szCs w:val="17"/>
                <w:color w:val="auto"/>
              </w:rPr>
            </w:pPr>
          </w:p>
        </w:tc>
        <w:tc>
          <w:tcPr>
            <w:tcW w:w="556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364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561"/>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6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60" w:type="dxa"/>
            <w:vAlign w:val="bottom"/>
          </w:tcPr>
          <w:p>
            <w:pPr>
              <w:spacing w:after="0"/>
              <w:rPr>
                <w:sz w:val="24"/>
                <w:szCs w:val="24"/>
                <w:color w:val="auto"/>
              </w:rPr>
            </w:pPr>
          </w:p>
        </w:tc>
      </w:tr>
      <w:tr>
        <w:trPr>
          <w:trHeight w:val="418"/>
        </w:trPr>
        <w:tc>
          <w:tcPr>
            <w:tcW w:w="2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6480" w:type="dxa"/>
            <w:vAlign w:val="bottom"/>
            <w:gridSpan w:val="14"/>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3800" w:type="dxa"/>
            <w:vAlign w:val="bottom"/>
            <w:tcBorders>
              <w:top w:val="single" w:sz="8" w:color="0000EE"/>
            </w:tcBorders>
            <w:gridSpan w:val="17"/>
          </w:tcPr>
          <w:p>
            <w:pPr>
              <w:spacing w:after="0"/>
              <w:rPr>
                <w:sz w:val="17"/>
                <w:szCs w:val="17"/>
                <w:color w:val="auto"/>
              </w:rPr>
            </w:pPr>
          </w:p>
        </w:tc>
        <w:tc>
          <w:tcPr>
            <w:tcW w:w="366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GENERAL MOTORS COMPANY</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5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16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578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0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OVERVIEW OF OUR CAPITAL STOCK</w:t>
            </w:r>
          </w:p>
        </w:tc>
        <w:tc>
          <w:tcPr>
            <w:tcW w:w="56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DESCRIPTION OF SECURITIES THAT MAY BE OFFERED</w:t>
            </w:r>
          </w:p>
        </w:tc>
        <w:tc>
          <w:tcPr>
            <w:tcW w:w="324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8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PREFERRED STOCK</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9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180" w:type="dxa"/>
            <w:vAlign w:val="bottom"/>
            <w:tcBorders>
              <w:top w:val="single" w:sz="8" w:color="0000EE"/>
            </w:tcBorders>
            <w:gridSpan w:val="3"/>
          </w:tcPr>
          <w:p>
            <w:pPr>
              <w:spacing w:after="0"/>
              <w:rPr>
                <w:sz w:val="17"/>
                <w:szCs w:val="17"/>
                <w:color w:val="auto"/>
              </w:rPr>
            </w:pPr>
          </w:p>
        </w:tc>
        <w:tc>
          <w:tcPr>
            <w:tcW w:w="55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0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420" w:type="dxa"/>
            <w:vAlign w:val="bottom"/>
            <w:tcBorders>
              <w:top w:val="single" w:sz="8" w:color="0000EE"/>
            </w:tcBorders>
            <w:gridSpan w:val="2"/>
          </w:tcPr>
          <w:p>
            <w:pPr>
              <w:spacing w:after="0"/>
              <w:rPr>
                <w:sz w:val="17"/>
                <w:szCs w:val="17"/>
                <w:color w:val="auto"/>
              </w:rPr>
            </w:pPr>
          </w:p>
        </w:tc>
        <w:tc>
          <w:tcPr>
            <w:tcW w:w="624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5"/>
          </w:tcPr>
          <w:p>
            <w:pPr>
              <w:spacing w:after="0"/>
              <w:rPr>
                <w:sz w:val="17"/>
                <w:szCs w:val="17"/>
                <w:color w:val="auto"/>
              </w:rPr>
            </w:pPr>
          </w:p>
        </w:tc>
        <w:tc>
          <w:tcPr>
            <w:tcW w:w="726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80"/>
          </w:cols>
          <w:pgMar w:left="320" w:top="446"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8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this prospectus supplement, unless the context indicates otherwise, references to “we,” “our,” “us,” “ourselves,” the “Company,” “General Motors” or “GM” refer to General Motors Company and, where appropriate, its subsidiaries. However, in the “Summary—The Offering,” “Risk Factors,”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80"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20"/>
          </w:cols>
          <w:pgMar w:left="320" w:top="45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preferences in the automotive industry; (2) our ability to timely fund and introduce new and improved vehicle models, including electric vehicles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w:t>
      </w:r>
    </w:p>
    <w:p>
      <w:pPr>
        <w:spacing w:after="0" w:line="1" w:lineRule="exact"/>
        <w:rPr>
          <w:sz w:val="20"/>
          <w:szCs w:val="20"/>
          <w:color w:val="auto"/>
        </w:rPr>
      </w:pPr>
    </w:p>
    <w:p>
      <w:pPr>
        <w:ind w:right="20" w:firstLine="8"/>
        <w:spacing w:after="0" w:line="266" w:lineRule="auto"/>
        <w:tabs>
          <w:tab w:leader="none" w:pos="2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unique technological, operational, regulatory and competitive risks related to the timing and commercialization of autonomous vehicles (“AVs”); (7) risks associated with climate change, including increased regulation of greenhouse gas emissions, our transition to EVs and the potential increased impacts of severe weather events; (8) global automobile market sales volume, which can be volatile; (9)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the ongoing COVID-19 pandemic; (16) the success of any restructurings or other cost reduction actions; (17) the possibility that competitors may independently develop products and services similar to ours, or that our intellectual property rights are not sufficient to prevent competitors from developing or selling those products or services; (18) our ability to manage risks related to security breaches and other disruptions to our information technology systems and networked products, including connected vehicles and in-vehicle systems; (19) our ability to comply with increasingly complex, restrictive and punitive regulations relating to our enterprise data practices, including the collection, use, sharing and security of the Personal Identifiable Information of our customers, employees, or suppliers; (20) our ability to comply with extensive laws, regulations and policies applicable to our operations and products, including those relating to fuel economy, emissions and AVs; (21) costs and risks associated with litigation and government investigations; (22) the costs and effect on our reputation of product safety recalls and alleged defects in products and services; (23) any additional tax expense or exposure; (24) our continued ability to develop captive financing capability through GM Financial; and (25) any significant increase in our pension funding requirements.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240"/>
          </w:cols>
          <w:pgMar w:left="320" w:top="4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For a further discussion of these and other risks and uncertainties, refer to our Annual Report on Form 10-K for the year ended December 31, 2021, as updated by our subsequent filings under the Exchange Act, including Forms 10-Q and 8-K. 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80"/>
          </w:cols>
          <w:pgMar w:left="320" w:top="455"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98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200" w:firstLine="434"/>
        <w:spacing w:after="0" w:line="274" w:lineRule="auto"/>
        <w:rPr>
          <w:sz w:val="20"/>
          <w:szCs w:val="20"/>
          <w:color w:val="auto"/>
        </w:rPr>
      </w:pPr>
      <w:r>
        <w:rPr>
          <w:rFonts w:ascii="Times New Roman" w:cs="Times New Roman" w:eastAsia="Times New Roman" w:hAnsi="Times New Roman"/>
          <w:sz w:val="17"/>
          <w:szCs w:val="17"/>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20" w:firstLine="434"/>
        <w:spacing w:after="0" w:line="266"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cars, trucks, crossovers and automobile parts worldwide. Cruise is our global segment responsible for the development and commercialization of autonomous vehicle technology. We also provide automotive financing services through General Motors Financial Company, Inc. (“GM Financial”).</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automotive segments: GM North America (GMNA) and GM 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and Wuling brands.</w:t>
      </w:r>
    </w:p>
    <w:p>
      <w:pPr>
        <w:spacing w:after="0" w:line="187"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Financing—GM Financial</w:t>
      </w:r>
    </w:p>
    <w:p>
      <w:pPr>
        <w:spacing w:after="0" w:line="121" w:lineRule="exact"/>
        <w:rPr>
          <w:sz w:val="20"/>
          <w:szCs w:val="20"/>
          <w:color w:val="auto"/>
        </w:rPr>
      </w:pPr>
    </w:p>
    <w:p>
      <w:pPr>
        <w:ind w:left="200" w:right="580" w:firstLine="434"/>
        <w:spacing w:after="0" w:line="282" w:lineRule="auto"/>
        <w:rPr>
          <w:sz w:val="20"/>
          <w:szCs w:val="20"/>
          <w:color w:val="auto"/>
        </w:rPr>
      </w:pPr>
      <w:r>
        <w:rPr>
          <w:rFonts w:ascii="Times New Roman" w:cs="Times New Roman" w:eastAsia="Times New Roman" w:hAnsi="Times New Roman"/>
          <w:sz w:val="18"/>
          <w:szCs w:val="18"/>
          <w:color w:val="auto"/>
        </w:rPr>
        <w:t>GM Financial is our global captive automotive finance company and our global provider of automobile finance solutions. GM Financial conducts its business in North America, South America and through joint ventures in Asia/Pacific.</w:t>
      </w:r>
    </w:p>
    <w:p>
      <w:pPr>
        <w:spacing w:after="0" w:line="162"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Additionally, GM Financial offers commercial lending products to dealers including new and used vehicle inventory floorplan financing and dealer loans, which are loans to finance improvements to dealership facilities, to provide working capital, and to purchase and/or finance dealership real estate. Other commercial lending products include financing for parts and accessories, dealer fleets and storage centers.</w:t>
      </w:r>
    </w:p>
    <w:p>
      <w:pPr>
        <w:spacing w:after="0" w:line="3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00"/>
          </w:cols>
          <w:pgMar w:left="320" w:top="455"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124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124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firstLine="434"/>
        <w:spacing w:after="0" w:line="266" w:lineRule="auto"/>
        <w:rPr>
          <w:sz w:val="20"/>
          <w:szCs w:val="20"/>
          <w:color w:val="auto"/>
        </w:rPr>
      </w:pPr>
      <w:r>
        <w:rPr>
          <w:rFonts w:ascii="Times New Roman" w:cs="Times New Roman" w:eastAsia="Times New Roman" w:hAnsi="Times New Roman"/>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176" w:lineRule="exact"/>
        <w:rPr>
          <w:sz w:val="20"/>
          <w:szCs w:val="20"/>
          <w:color w:val="auto"/>
        </w:rPr>
      </w:pPr>
    </w:p>
    <w:p>
      <w:pPr>
        <w:jc w:val="both"/>
        <w:ind w:left="200" w:right="40" w:firstLine="434"/>
        <w:spacing w:after="0" w:line="266"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Autonomous</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Cruise is our global segment responsible for the development and commercialization of autonomous vehicle technology, and includes autonomous vehicle-related engineering and other costs. Cruise is driving leadership in the development and commercialization of AV technology. We believe that building all-electric vehicles with autonomous capabilities integrated from the beginning, rather than through retrofits, is the most efficient way to unlock the tremendous potential societal benefits of self-driving cars.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left="200" w:right="420" w:firstLine="43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3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20"/>
          </w:cols>
          <w:pgMar w:left="320" w:top="455"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579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200" w:right="180" w:firstLine="434"/>
        <w:spacing w:after="0" w:line="261" w:lineRule="auto"/>
        <w:rPr>
          <w:sz w:val="20"/>
          <w:szCs w:val="20"/>
          <w:color w:val="auto"/>
        </w:rPr>
      </w:pPr>
      <w:r>
        <w:rPr>
          <w:rFonts w:ascii="Times New Roman" w:cs="Times New Roman" w:eastAsia="Times New Roman" w:hAnsi="Times New Roman"/>
          <w:sz w:val="18"/>
          <w:szCs w:val="18"/>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454"/>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$1,000,000,000 in aggregate principal amount of 5.400% Senior Notes due 2029 and</w:t>
            </w:r>
          </w:p>
        </w:tc>
      </w:tr>
      <w:tr>
        <w:trPr>
          <w:trHeight w:val="234"/>
        </w:trPr>
        <w:tc>
          <w:tcPr>
            <w:tcW w:w="3160" w:type="dxa"/>
            <w:vAlign w:val="bottom"/>
          </w:tcPr>
          <w:p>
            <w:pPr>
              <w:spacing w:after="0"/>
              <w:rPr>
                <w:sz w:val="20"/>
                <w:szCs w:val="20"/>
                <w:color w:val="auto"/>
              </w:rPr>
            </w:pP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$1,250,000,000 in aggregate principal amount of 5.600% Senior Notes due 2032.</w:t>
            </w:r>
          </w:p>
        </w:tc>
      </w:tr>
      <w:tr>
        <w:trPr>
          <w:trHeight w:val="459"/>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Original Issue Date</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August 2, 2022.</w:t>
            </w:r>
          </w:p>
        </w:tc>
      </w:tr>
      <w:tr>
        <w:trPr>
          <w:trHeight w:val="454"/>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Maturity Dates</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2029 Notes will mature on October 15, 2029 and the 2032 Notes will mature on October</w:t>
            </w:r>
          </w:p>
        </w:tc>
      </w:tr>
      <w:tr>
        <w:trPr>
          <w:trHeight w:val="234"/>
        </w:trPr>
        <w:tc>
          <w:tcPr>
            <w:tcW w:w="3160" w:type="dxa"/>
            <w:vAlign w:val="bottom"/>
          </w:tcPr>
          <w:p>
            <w:pPr>
              <w:spacing w:after="0"/>
              <w:rPr>
                <w:sz w:val="20"/>
                <w:szCs w:val="20"/>
                <w:color w:val="auto"/>
              </w:rPr>
            </w:pP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15, 2032.</w:t>
            </w:r>
          </w:p>
        </w:tc>
      </w:tr>
      <w:tr>
        <w:trPr>
          <w:trHeight w:val="441"/>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Interest on the 2029 Notes will accrue at a rate of 5.400% per year and interest on the 2032</w:t>
            </w:r>
          </w:p>
        </w:tc>
      </w:tr>
      <w:tr>
        <w:trPr>
          <w:trHeight w:val="234"/>
        </w:trPr>
        <w:tc>
          <w:tcPr>
            <w:tcW w:w="3160" w:type="dxa"/>
            <w:vAlign w:val="bottom"/>
          </w:tcPr>
          <w:p>
            <w:pPr>
              <w:spacing w:after="0"/>
              <w:rPr>
                <w:sz w:val="20"/>
                <w:szCs w:val="20"/>
                <w:color w:val="auto"/>
              </w:rPr>
            </w:pP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Notes will accrue at a rate of 5.600% per year.</w:t>
            </w:r>
          </w:p>
        </w:tc>
      </w:tr>
      <w:tr>
        <w:trPr>
          <w:trHeight w:val="441"/>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Interest on each series of Notes will be paid semi-annually and in arrears on April 15 and</w:t>
            </w:r>
          </w:p>
        </w:tc>
      </w:tr>
      <w:tr>
        <w:trPr>
          <w:trHeight w:val="234"/>
        </w:trPr>
        <w:tc>
          <w:tcPr>
            <w:tcW w:w="3160" w:type="dxa"/>
            <w:vAlign w:val="bottom"/>
          </w:tcPr>
          <w:p>
            <w:pPr>
              <w:spacing w:after="0"/>
              <w:rPr>
                <w:sz w:val="20"/>
                <w:szCs w:val="20"/>
                <w:color w:val="auto"/>
              </w:rPr>
            </w:pP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October 15, commencing on October 15, 2022, and will accrue from August 2, 2022.</w:t>
            </w:r>
          </w:p>
        </w:tc>
      </w:tr>
      <w:tr>
        <w:trPr>
          <w:trHeight w:val="459"/>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Ranking of the Notes</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Notes will be our general unsecured obligations and will be:</w:t>
            </w:r>
          </w:p>
        </w:tc>
      </w:tr>
      <w:tr>
        <w:trPr>
          <w:trHeight w:val="333"/>
        </w:trPr>
        <w:tc>
          <w:tcPr>
            <w:tcW w:w="3160" w:type="dxa"/>
            <w:vAlign w:val="bottom"/>
          </w:tcPr>
          <w:p>
            <w:pPr>
              <w:spacing w:after="0"/>
              <w:rPr>
                <w:sz w:val="24"/>
                <w:szCs w:val="24"/>
                <w:color w:val="auto"/>
              </w:rPr>
            </w:pPr>
          </w:p>
        </w:tc>
        <w:tc>
          <w:tcPr>
            <w:tcW w:w="80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equal in right of payment to all of our existing and future indebtedness and other</w:t>
            </w:r>
          </w:p>
        </w:tc>
      </w:tr>
      <w:tr>
        <w:trPr>
          <w:trHeight w:val="216"/>
        </w:trPr>
        <w:tc>
          <w:tcPr>
            <w:tcW w:w="3160" w:type="dxa"/>
            <w:vAlign w:val="bottom"/>
          </w:tcPr>
          <w:p>
            <w:pPr>
              <w:spacing w:after="0"/>
              <w:rPr>
                <w:sz w:val="18"/>
                <w:szCs w:val="18"/>
                <w:color w:val="auto"/>
              </w:rPr>
            </w:pPr>
          </w:p>
        </w:tc>
        <w:tc>
          <w:tcPr>
            <w:tcW w:w="80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obligations that are not, by their terms, expressly subordinated in right of payment to the</w:t>
            </w:r>
          </w:p>
        </w:tc>
      </w:tr>
      <w:tr>
        <w:trPr>
          <w:trHeight w:val="234"/>
        </w:trPr>
        <w:tc>
          <w:tcPr>
            <w:tcW w:w="3160" w:type="dxa"/>
            <w:vAlign w:val="bottom"/>
          </w:tcPr>
          <w:p>
            <w:pPr>
              <w:spacing w:after="0"/>
              <w:rPr>
                <w:sz w:val="20"/>
                <w:szCs w:val="20"/>
                <w:color w:val="auto"/>
              </w:rPr>
            </w:pPr>
          </w:p>
        </w:tc>
        <w:tc>
          <w:tcPr>
            <w:tcW w:w="80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160" w:type="dxa"/>
            <w:vAlign w:val="bottom"/>
          </w:tcPr>
          <w:p>
            <w:pPr>
              <w:spacing w:after="0"/>
              <w:rPr>
                <w:sz w:val="24"/>
                <w:szCs w:val="24"/>
                <w:color w:val="auto"/>
              </w:rPr>
            </w:pPr>
          </w:p>
        </w:tc>
        <w:tc>
          <w:tcPr>
            <w:tcW w:w="80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senior in right of payment to any of our existing or future indebtedness and other</w:t>
            </w:r>
          </w:p>
        </w:tc>
      </w:tr>
      <w:tr>
        <w:trPr>
          <w:trHeight w:val="216"/>
        </w:trPr>
        <w:tc>
          <w:tcPr>
            <w:tcW w:w="3160" w:type="dxa"/>
            <w:vAlign w:val="bottom"/>
          </w:tcPr>
          <w:p>
            <w:pPr>
              <w:spacing w:after="0"/>
              <w:rPr>
                <w:sz w:val="18"/>
                <w:szCs w:val="18"/>
                <w:color w:val="auto"/>
              </w:rPr>
            </w:pPr>
          </w:p>
        </w:tc>
        <w:tc>
          <w:tcPr>
            <w:tcW w:w="80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obligations that are, by their terms, expressly subordinated in right of payment to the</w:t>
            </w:r>
          </w:p>
        </w:tc>
      </w:tr>
      <w:tr>
        <w:trPr>
          <w:trHeight w:val="234"/>
        </w:trPr>
        <w:tc>
          <w:tcPr>
            <w:tcW w:w="3160" w:type="dxa"/>
            <w:vAlign w:val="bottom"/>
          </w:tcPr>
          <w:p>
            <w:pPr>
              <w:spacing w:after="0"/>
              <w:rPr>
                <w:sz w:val="20"/>
                <w:szCs w:val="20"/>
                <w:color w:val="auto"/>
              </w:rPr>
            </w:pPr>
          </w:p>
        </w:tc>
        <w:tc>
          <w:tcPr>
            <w:tcW w:w="80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160" w:type="dxa"/>
            <w:vAlign w:val="bottom"/>
          </w:tcPr>
          <w:p>
            <w:pPr>
              <w:spacing w:after="0"/>
              <w:rPr>
                <w:sz w:val="24"/>
                <w:szCs w:val="24"/>
                <w:color w:val="auto"/>
              </w:rPr>
            </w:pPr>
          </w:p>
        </w:tc>
        <w:tc>
          <w:tcPr>
            <w:tcW w:w="80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effectively subordinated to all of our secured indebtedness and other secured obligations</w:t>
            </w:r>
          </w:p>
        </w:tc>
      </w:tr>
      <w:tr>
        <w:trPr>
          <w:trHeight w:val="216"/>
        </w:trPr>
        <w:tc>
          <w:tcPr>
            <w:tcW w:w="3160" w:type="dxa"/>
            <w:vAlign w:val="bottom"/>
          </w:tcPr>
          <w:p>
            <w:pPr>
              <w:spacing w:after="0"/>
              <w:rPr>
                <w:sz w:val="18"/>
                <w:szCs w:val="18"/>
                <w:color w:val="auto"/>
              </w:rPr>
            </w:pPr>
          </w:p>
        </w:tc>
        <w:tc>
          <w:tcPr>
            <w:tcW w:w="80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to the extent of the value of the assets securing such secured indebtedness or other secured</w:t>
            </w:r>
          </w:p>
        </w:tc>
      </w:tr>
      <w:tr>
        <w:trPr>
          <w:trHeight w:val="234"/>
        </w:trPr>
        <w:tc>
          <w:tcPr>
            <w:tcW w:w="3160" w:type="dxa"/>
            <w:vAlign w:val="bottom"/>
          </w:tcPr>
          <w:p>
            <w:pPr>
              <w:spacing w:after="0"/>
              <w:rPr>
                <w:sz w:val="20"/>
                <w:szCs w:val="20"/>
                <w:color w:val="auto"/>
              </w:rPr>
            </w:pPr>
          </w:p>
        </w:tc>
        <w:tc>
          <w:tcPr>
            <w:tcW w:w="80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obligations; and</w:t>
            </w:r>
          </w:p>
        </w:tc>
      </w:tr>
      <w:tr>
        <w:trPr>
          <w:trHeight w:val="338"/>
        </w:trPr>
        <w:tc>
          <w:tcPr>
            <w:tcW w:w="3160" w:type="dxa"/>
            <w:vAlign w:val="bottom"/>
          </w:tcPr>
          <w:p>
            <w:pPr>
              <w:spacing w:after="0"/>
              <w:rPr>
                <w:sz w:val="24"/>
                <w:szCs w:val="24"/>
                <w:color w:val="auto"/>
              </w:rPr>
            </w:pPr>
          </w:p>
        </w:tc>
        <w:tc>
          <w:tcPr>
            <w:tcW w:w="80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structurally subordinated to all indebtedness and other obligations of our subsidiaries.</w:t>
            </w:r>
          </w:p>
        </w:tc>
      </w:tr>
      <w:tr>
        <w:trPr>
          <w:trHeight w:val="441"/>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We may, at our option, redeem some or all of the 2029 Notes and the 2032 Notes at any time</w:t>
            </w:r>
          </w:p>
        </w:tc>
      </w:tr>
      <w:tr>
        <w:trPr>
          <w:trHeight w:val="216"/>
        </w:trPr>
        <w:tc>
          <w:tcPr>
            <w:tcW w:w="3160" w:type="dxa"/>
            <w:vAlign w:val="bottom"/>
          </w:tcPr>
          <w:p>
            <w:pPr>
              <w:spacing w:after="0"/>
              <w:rPr>
                <w:sz w:val="18"/>
                <w:szCs w:val="18"/>
                <w:color w:val="auto"/>
              </w:rPr>
            </w:pP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and from time to time at redemption prices described under “Description of the Notes—</w:t>
            </w:r>
          </w:p>
        </w:tc>
      </w:tr>
      <w:tr>
        <w:trPr>
          <w:trHeight w:val="234"/>
        </w:trPr>
        <w:tc>
          <w:tcPr>
            <w:tcW w:w="3160" w:type="dxa"/>
            <w:vAlign w:val="bottom"/>
          </w:tcPr>
          <w:p>
            <w:pPr>
              <w:spacing w:after="0"/>
              <w:rPr>
                <w:sz w:val="20"/>
                <w:szCs w:val="20"/>
                <w:color w:val="auto"/>
              </w:rPr>
            </w:pP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59"/>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8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Notes will be issued under the Indenture, which will contain covenants that will limit:</w:t>
            </w:r>
          </w:p>
        </w:tc>
      </w:tr>
      <w:tr>
        <w:trPr>
          <w:trHeight w:val="333"/>
        </w:trPr>
        <w:tc>
          <w:tcPr>
            <w:tcW w:w="3160" w:type="dxa"/>
            <w:vAlign w:val="bottom"/>
          </w:tcPr>
          <w:p>
            <w:pPr>
              <w:spacing w:after="0"/>
              <w:rPr>
                <w:sz w:val="24"/>
                <w:szCs w:val="24"/>
                <w:color w:val="auto"/>
              </w:rPr>
            </w:pPr>
          </w:p>
        </w:tc>
        <w:tc>
          <w:tcPr>
            <w:tcW w:w="80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the ability of GM and certain of its subsidiaries to incur indebtedness secured by certain</w:t>
            </w:r>
          </w:p>
        </w:tc>
      </w:tr>
      <w:tr>
        <w:trPr>
          <w:trHeight w:val="234"/>
        </w:trPr>
        <w:tc>
          <w:tcPr>
            <w:tcW w:w="3160" w:type="dxa"/>
            <w:vAlign w:val="bottom"/>
          </w:tcPr>
          <w:p>
            <w:pPr>
              <w:spacing w:after="0"/>
              <w:rPr>
                <w:sz w:val="20"/>
                <w:szCs w:val="20"/>
                <w:color w:val="auto"/>
              </w:rPr>
            </w:pPr>
          </w:p>
        </w:tc>
        <w:tc>
          <w:tcPr>
            <w:tcW w:w="80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principal domestic manufacturing</w:t>
            </w:r>
          </w:p>
        </w:tc>
      </w:tr>
      <w:tr>
        <w:trPr>
          <w:trHeight w:val="172"/>
        </w:trPr>
        <w:tc>
          <w:tcPr>
            <w:tcW w:w="3160" w:type="dxa"/>
            <w:vAlign w:val="bottom"/>
            <w:tcBorders>
              <w:bottom w:val="single" w:sz="8" w:color="auto"/>
            </w:tcBorders>
          </w:tcPr>
          <w:p>
            <w:pPr>
              <w:spacing w:after="0"/>
              <w:rPr>
                <w:sz w:val="14"/>
                <w:szCs w:val="14"/>
                <w:color w:val="auto"/>
              </w:rPr>
            </w:pPr>
          </w:p>
        </w:tc>
        <w:tc>
          <w:tcPr>
            <w:tcW w:w="8080" w:type="dxa"/>
            <w:vAlign w:val="bottom"/>
            <w:tcBorders>
              <w:bottom w:val="single" w:sz="8" w:color="auto"/>
            </w:tcBorders>
          </w:tcPr>
          <w:p>
            <w:pPr>
              <w:spacing w:after="0"/>
              <w:rPr>
                <w:sz w:val="14"/>
                <w:szCs w:val="14"/>
                <w:color w:val="auto"/>
              </w:rPr>
            </w:pPr>
          </w:p>
        </w:tc>
      </w:tr>
      <w:tr>
        <w:trPr>
          <w:trHeight w:val="361"/>
        </w:trPr>
        <w:tc>
          <w:tcPr>
            <w:tcW w:w="3160" w:type="dxa"/>
            <w:vAlign w:val="bottom"/>
          </w:tcPr>
          <w:p>
            <w:pPr>
              <w:spacing w:after="0"/>
              <w:rPr>
                <w:sz w:val="24"/>
                <w:szCs w:val="24"/>
                <w:color w:val="auto"/>
              </w:rPr>
            </w:pPr>
          </w:p>
        </w:tc>
        <w:tc>
          <w:tcPr>
            <w:tcW w:w="8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45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56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20" w:right="260"/>
        <w:spacing w:after="0" w:line="266" w:lineRule="auto"/>
        <w:rPr>
          <w:sz w:val="20"/>
          <w:szCs w:val="20"/>
          <w:color w:val="auto"/>
        </w:rPr>
      </w:pPr>
      <w:r>
        <w:rPr>
          <w:rFonts w:ascii="Times New Roman" w:cs="Times New Roman" w:eastAsia="Times New Roman" w:hAnsi="Times New Roman"/>
          <w:sz w:val="18"/>
          <w:szCs w:val="18"/>
          <w:color w:val="auto"/>
        </w:rPr>
        <w:t>properties or by any shares of stock or indebtedness of certain manufacturing subsidiaries and to enter into certain sale and leaseback transactions with respect to certain principal domestic manufacturing properties; and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the ability of GM to enter into certain mergers or certain conveyances, transfers or leases</w:t>
            </w:r>
          </w:p>
        </w:tc>
      </w:tr>
      <w:tr>
        <w:trPr>
          <w:trHeight w:val="234"/>
        </w:trPr>
        <w:tc>
          <w:tcPr>
            <w:tcW w:w="3200" w:type="dxa"/>
            <w:vAlign w:val="bottom"/>
          </w:tcPr>
          <w:p>
            <w:pPr>
              <w:spacing w:after="0"/>
              <w:rPr>
                <w:sz w:val="20"/>
                <w:szCs w:val="20"/>
                <w:color w:val="auto"/>
              </w:rPr>
            </w:pPr>
          </w:p>
        </w:tc>
        <w:tc>
          <w:tcPr>
            <w:tcW w:w="80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of all or substantially all of its properties and assets.</w:t>
            </w:r>
          </w:p>
        </w:tc>
      </w:tr>
      <w:tr>
        <w:trPr>
          <w:trHeight w:val="441"/>
        </w:trPr>
        <w:tc>
          <w:tcPr>
            <w:tcW w:w="3200" w:type="dxa"/>
            <w:vAlign w:val="bottom"/>
          </w:tcPr>
          <w:p>
            <w:pPr>
              <w:spacing w:after="0"/>
              <w:rPr>
                <w:sz w:val="24"/>
                <w:szCs w:val="24"/>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Each of these covenants, however, is subject to significant exceptions. See “Description of</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Notes—Certain Covenants” in this prospectus supplement and “Description of Debt</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Securities—Consolidation, Merger or Sale of Assets” in the accompanying prospectus.</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Indenture does not limit the amount of Notes that we may issue. We may issue additional</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Notes of any series up to an aggregate principal amount as our board of directors may</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authorize from time to time; provided that if the additional Notes are not fungible with the</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Notes of a particular series for U.S. federal income tax purposes, the additional Notes will</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have a separate CUSIP number.</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 Prior Markets</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will be new securities for which there are currently no existing markets. The</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Notes will not be listed on any securities exchange. Although the underwriters have advised</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us that they currently intend to make a market in the Notes of each series, they are not</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obligated to do so and may discontinue any market-making activities at any time without</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notice. Accordingly, we cannot assure you as to the liquidity of, or the trading markets for,</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will be issued in fully registered form and will be represented by global notes</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without interest coupons. The global notes will be deposited with a custodian for and</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registered in the name of a nominee of The Depository Trust Company (“DTC”) in New</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York, New York. Investors may elect to hold interests in the global notes through DTC and</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its direct or indirect participants as described under “Description of Debt Securities—Book-</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Entry; Delivery and Form; Global Securities” in the accompanying prospectus. The Notes of</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each series will be issued only in minimum denominations of $2,000 and integral multiples</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of $1,000 in excess thereof.</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August 2, 2022, which will be the third business day following the date of pricing of the</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Notes (such settlement cycle being referred to herein as “T+3”). Under Rule 15c6-1 of the</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Exchange Act, trades in the secondary market generally are required to settle in two business</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days, unless the parties to any such trade expressly agree otherwise. Accordingly, purchasers</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who wish to trade the Notes on the date of pricing will be required, by virtue of the fact that</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initially will settle in T+3, to specify an alternate</w:t>
            </w:r>
          </w:p>
        </w:tc>
      </w:tr>
      <w:tr>
        <w:trPr>
          <w:trHeight w:val="172"/>
        </w:trPr>
        <w:tc>
          <w:tcPr>
            <w:tcW w:w="320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361"/>
        </w:trPr>
        <w:tc>
          <w:tcPr>
            <w:tcW w:w="3200" w:type="dxa"/>
            <w:vAlign w:val="bottom"/>
          </w:tcPr>
          <w:p>
            <w:pPr>
              <w:spacing w:after="0"/>
              <w:rPr>
                <w:sz w:val="24"/>
                <w:szCs w:val="24"/>
                <w:color w:val="auto"/>
              </w:rPr>
            </w:pPr>
          </w:p>
        </w:tc>
        <w:tc>
          <w:tcPr>
            <w:tcW w:w="80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4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2860" w:type="dxa"/>
            <w:vAlign w:val="bottom"/>
            <w:tcBorders>
              <w:top w:val="single" w:sz="8" w:color="auto"/>
              <w:left w:val="single" w:sz="8" w:color="auto"/>
            </w:tcBorders>
          </w:tcPr>
          <w:p>
            <w:pPr>
              <w:spacing w:after="0"/>
              <w:rPr>
                <w:sz w:val="24"/>
                <w:szCs w:val="24"/>
                <w:color w:val="auto"/>
              </w:rPr>
            </w:pPr>
          </w:p>
        </w:tc>
        <w:tc>
          <w:tcPr>
            <w:tcW w:w="838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settlement cycle at the time of any such trade to prevent a failed settlement. Purchasers of the</w:t>
            </w:r>
          </w:p>
        </w:tc>
      </w:tr>
      <w:tr>
        <w:trPr>
          <w:trHeight w:val="234"/>
        </w:trPr>
        <w:tc>
          <w:tcPr>
            <w:tcW w:w="286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Notes who wish to trade those Notes on the date of pricing should consult their own advisor.</w:t>
            </w:r>
          </w:p>
        </w:tc>
      </w:tr>
      <w:tr>
        <w:trPr>
          <w:trHeight w:val="473"/>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Bank of New York Mellon (the “Trustee”).</w:t>
            </w:r>
          </w:p>
        </w:tc>
      </w:tr>
      <w:tr>
        <w:trPr>
          <w:trHeight w:val="454"/>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finance or</w:t>
            </w:r>
          </w:p>
        </w:tc>
      </w:tr>
      <w:tr>
        <w:trPr>
          <w:trHeight w:val="216"/>
        </w:trPr>
        <w:tc>
          <w:tcPr>
            <w:tcW w:w="286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refinance, in whole or in part, one or more new or existing Eligible Projects (as defined</w:t>
            </w:r>
          </w:p>
        </w:tc>
      </w:tr>
      <w:tr>
        <w:trPr>
          <w:trHeight w:val="234"/>
        </w:trPr>
        <w:tc>
          <w:tcPr>
            <w:tcW w:w="286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herein). See “Use of Proceeds.”</w:t>
            </w:r>
          </w:p>
        </w:tc>
      </w:tr>
      <w:tr>
        <w:trPr>
          <w:trHeight w:val="459"/>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454"/>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See “Risk Factors” beginning on page S-6 of this prospectus supplement, in the</w:t>
            </w:r>
          </w:p>
        </w:tc>
      </w:tr>
      <w:tr>
        <w:trPr>
          <w:trHeight w:val="216"/>
        </w:trPr>
        <w:tc>
          <w:tcPr>
            <w:tcW w:w="286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accompanying prospectus and in our periodic reports filed from time to time with the SEC</w:t>
            </w:r>
          </w:p>
        </w:tc>
      </w:tr>
      <w:tr>
        <w:trPr>
          <w:trHeight w:val="234"/>
        </w:trPr>
        <w:tc>
          <w:tcPr>
            <w:tcW w:w="286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for a discussion of risks you should carefully consider before deciding to invest in the Notes.</w:t>
            </w:r>
          </w:p>
        </w:tc>
      </w:tr>
      <w:tr>
        <w:trPr>
          <w:trHeight w:val="432"/>
        </w:trPr>
        <w:tc>
          <w:tcPr>
            <w:tcW w:w="286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 * * * * * *</w:t>
            </w:r>
          </w:p>
        </w:tc>
      </w:tr>
      <w:tr>
        <w:trPr>
          <w:trHeight w:val="172"/>
        </w:trPr>
        <w:tc>
          <w:tcPr>
            <w:tcW w:w="2860" w:type="dxa"/>
            <w:vAlign w:val="bottom"/>
            <w:tcBorders>
              <w:left w:val="single" w:sz="8" w:color="auto"/>
              <w:bottom w:val="single" w:sz="8" w:color="auto"/>
            </w:tcBorders>
          </w:tcPr>
          <w:p>
            <w:pPr>
              <w:spacing w:after="0"/>
              <w:rPr>
                <w:sz w:val="14"/>
                <w:szCs w:val="14"/>
                <w:color w:val="auto"/>
              </w:rPr>
            </w:pPr>
          </w:p>
        </w:tc>
        <w:tc>
          <w:tcPr>
            <w:tcW w:w="8380" w:type="dxa"/>
            <w:vAlign w:val="bottom"/>
            <w:tcBorders>
              <w:bottom w:val="single" w:sz="8" w:color="auto"/>
              <w:right w:val="single" w:sz="8" w:color="auto"/>
            </w:tcBorders>
          </w:tcPr>
          <w:p>
            <w:pPr>
              <w:spacing w:after="0"/>
              <w:rPr>
                <w:sz w:val="14"/>
                <w:szCs w:val="14"/>
                <w:color w:val="auto"/>
              </w:rPr>
            </w:pPr>
          </w:p>
        </w:tc>
      </w:tr>
      <w:tr>
        <w:trPr>
          <w:trHeight w:val="361"/>
        </w:trPr>
        <w:tc>
          <w:tcPr>
            <w:tcW w:w="2860" w:type="dxa"/>
            <w:vAlign w:val="bottom"/>
          </w:tcPr>
          <w:p>
            <w:pPr>
              <w:spacing w:after="0"/>
              <w:rPr>
                <w:sz w:val="24"/>
                <w:szCs w:val="24"/>
                <w:color w:val="auto"/>
              </w:rPr>
            </w:pP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4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2021, as updated by our subsequent filings under the Exchange Act that are incorporated by reference herein, including our Quarterly Reports on Form 10-Q and our Current Reports on Form 8-K and any amendments thereof, before investing in the Notes.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June 30, 2022, we had total consolidated liabilities of approximately $185.1 billion (including consolidated indebtedness of approximately $110.4 billion), of which $15.7 billion represents the aggregate principal amount of indebtedness of General Motors Company (parent company only) under our 4.875% senior notes due 2023, 5.400% senior notes due 2023, 4.000% senior notes due 2025, 6.125% senior notes due 2025, 4.200% senior notes due 2027, 6.800% senior notes due 2027, 5.000% senior notes due 2028, 5.000% senior notes due 2035, 6.600% senior notes due 2036, 5.150% senior notes due 2038, 6.250% senior notes due 2043, 5.200% senior notes due 2045, 6.750% senior notes due 2046, 5.400% senior notes due 2048 and 5.950% senior notes due 2049 and substantially all of the remainder of which are liabilities of our subsidiaries. Furthermore, the credit agreements governing our revolving credit facilities (which provide for undrawn availability of up to $17.1 billion, which represents the full amount of our revolving credit facilities, less $0.4 billion of letters of credit outstanding thereunder, as of June 30, 2022) provide that, during any period in which our long term corporate credit rating is rated below investment grade by at least two of Moody’s Investors Service, Inc., Standard &amp; Poor’s Ratings Service or Fitch Ratings, certain of our domestic subsidiaries must guarantee the obligations of General Motors Company under such revolving credit facilities. In such event, the Notes would be structurally subordinated to the obligations of such subsidiaries under our revolving credit facilities.</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5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Because we are a holding company and conduct substantially all of our operations through subsidiaries, our cash flow and ability to service debt, including the Notes and $15.7 billion in aggregate principal amount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20"/>
          </w:cols>
          <w:pgMar w:left="320" w:top="45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will not:</w:t>
      </w:r>
    </w:p>
    <w:p>
      <w:pPr>
        <w:spacing w:after="0" w:line="131" w:lineRule="exact"/>
        <w:rPr>
          <w:sz w:val="20"/>
          <w:szCs w:val="20"/>
          <w:color w:val="auto"/>
        </w:rPr>
      </w:pPr>
    </w:p>
    <w:p>
      <w:pPr>
        <w:ind w:left="1000" w:right="140" w:hanging="439"/>
        <w:spacing w:after="0" w:line="312"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45" w:lineRule="exact"/>
        <w:rPr>
          <w:rFonts w:ascii="Times New Roman" w:cs="Times New Roman" w:eastAsia="Times New Roman" w:hAnsi="Times New Roman"/>
          <w:sz w:val="17"/>
          <w:szCs w:val="17"/>
          <w:color w:val="auto"/>
        </w:rPr>
      </w:pPr>
    </w:p>
    <w:p>
      <w:pPr>
        <w:ind w:left="1000" w:right="280" w:hanging="439"/>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67" w:lineRule="exact"/>
        <w:rPr>
          <w:rFonts w:ascii="Times New Roman" w:cs="Times New Roman" w:eastAsia="Times New Roman" w:hAnsi="Times New Roman"/>
          <w:sz w:val="18"/>
          <w:szCs w:val="18"/>
          <w:color w:val="auto"/>
        </w:rPr>
      </w:pPr>
    </w:p>
    <w:p>
      <w:pPr>
        <w:ind w:left="1000" w:right="160" w:hanging="439"/>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entirely limit our ability to incur secured indebtedness that would effectively rank senior to the Notes to the extent of the value of the assets securing the indebtedness;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or subordinate in right of payment to the Notes (other than certain secured indebtedness);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equity securities or prepay our other indebtedness;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ability to make investments or pay dividends or make other payments in respect of our equity securities or our other indebtedness;</w:t>
      </w:r>
    </w:p>
    <w:p>
      <w:pPr>
        <w:spacing w:after="0" w:line="142"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make an offer to repurchase the Notes in the event of a change in control transaction.</w:t>
      </w:r>
    </w:p>
    <w:p>
      <w:pPr>
        <w:spacing w:after="0" w:line="225"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Although the Notes are referred to as “senior notes,” the Notes will be unsecured and will be effectively subordinated to any of our secured debt.</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or any of our subsidiaries defaults on obligations to pay indebtedness, we may not be able to make payments on the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default under agreements governing our indebtedness or the indebtedness of our subsidiaries, including any default under our three-year,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billion revolving credit facility, our five-year, $11.2 billion revolving credit facility, our 364-day $2.0 billion revolving credit facility or any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that we may enter into by us or certain of our subsidiaries, that is not waived by the required lenders, and the remedies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80"/>
          </w:cols>
          <w:pgMar w:left="320" w:top="455"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currently no markets for the Notes, and we cannot assure you that active trading markets for the Notes will develop.</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Notes will be new securities for which there currently are no established markets. The Notes will not be listed on any securities exchange, including any dedicated “green,” “environmental,” “social,” “sustainable” or other equivalently labeled segment of any stock exchange or securities market. See “Risk Factors—</w:t>
      </w:r>
      <w:r>
        <w:rPr>
          <w:rFonts w:ascii="Times New Roman" w:cs="Times New Roman" w:eastAsia="Times New Roman" w:hAnsi="Times New Roman"/>
          <w:sz w:val="18"/>
          <w:szCs w:val="18"/>
          <w:i w:val="1"/>
          <w:iCs w:val="1"/>
          <w:color w:val="auto"/>
        </w:rPr>
        <w:t>We do not intend to list Notes on, and the Notes may never be listed or admitted to, any dedicated “green,”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“social,” “sustainable” or other equivalently labeled segment of any stock exchange or securities market, and the Notes may not be included in any green bond or similar index, and any such potential listing, admission or inclusion may not be indicative that the Notes will be suitable for the investment criteria of an investor.</w:t>
      </w:r>
      <w:r>
        <w:rPr>
          <w:rFonts w:ascii="Times New Roman" w:cs="Times New Roman" w:eastAsia="Times New Roman" w:hAnsi="Times New Roman"/>
          <w:sz w:val="18"/>
          <w:szCs w:val="18"/>
          <w:color w:val="auto"/>
        </w:rPr>
        <w:t>” We can give you no assurance as to whether any trading markets for the Notes will ever develop or continue, as to your ability to sell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 discontinue such market-making at any time without notice. If no active trading markets develop or continue, you may be unable to resell the Notes at their fair value or at any price.</w:t>
      </w:r>
    </w:p>
    <w:p>
      <w:pPr>
        <w:spacing w:after="0" w:line="19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Additionally, the market price may be impacted by any failure by us to use the aggregated net proceeds of the Notes on Eligible Projects or to meet or continue to meet the investment requirements of certain environmentally or socially focused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trading markets do develop, changes in our credit ratings or the debt markets could adversely affect the market prices of the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prices for the Notes will depend on many factors, including, among others:</w:t>
      </w:r>
    </w:p>
    <w:p>
      <w:pPr>
        <w:spacing w:after="0" w:line="131" w:lineRule="exact"/>
        <w:rPr>
          <w:sz w:val="20"/>
          <w:szCs w:val="20"/>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on us and our debt securities, including the Notes, assigned by rating agencies;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condition and prospects;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financial markets.</w:t>
      </w:r>
    </w:p>
    <w:p>
      <w:pPr>
        <w:spacing w:after="0" w:line="225"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4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anticipated use of proceeds to finance or refinance, in whole or in part, Eligible Projects will be suitable for the investment criteria of an investor.</w:t>
      </w:r>
    </w:p>
    <w:p>
      <w:pPr>
        <w:spacing w:after="0" w:line="51"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the sale of the Notes to finance or refinance, in whole or in part, one or more new or existing Eligible Projects (as defined under “Use of Proceeds”), but no assurance can be given that any such Eligible Projects will be capable of being implemented in or substantially in such manner or in accordance with any timing schedule, or that such Eligible Projects will be completed within any specified period or at all or with the results or outcome (whether or not related to the environmental, sustainability or social impact) as we originally expected or anticipated. The examples of projects set forth in “Use of Proceeds” in this prospectus supplement are for illustrative purposes only, and no assurance can be provided that disbursements for projects with these specific characteristics will be made by us with the net proceeds from the Notes. We have significant flexibility in allocating the net proceeds of the Notes (including the ability to reallocate the net proceeds in the event we determine in our discretion that projects receiving allocation no longer meet the criteria for Eligible Projects) and there can be no assurance that the net proceeds will be totally or partially disbursed for any such Eligible Projects. Moreover, in the event that a project is divested, cannot be completed or no longer meets the criteria for being an Eligible Project, there is no assurance that there will be available another Eligible Project to which we can reallocate the proceeds or that any such reallocation will occur within a timeframe that an investor believes is reasonable. None of the underwriters for this offering are responsible for assessing or verifying whether or not the Eligible Projects to which we allocate the net proceeds of the Notes meet the criteria described in “Use of Proceeds,” or for the monitoring of the use of proceeds.</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Prospective investors should carefully review the information set out in this prospectus supplement regarding such use of the net proceeds of the Notes and must determine for themselves the relevance of such information for the purpose of any investment in the Notes together with any other investigation such investor deems necessary. In particular, no assurance is given by us or any underwriter of the Notes that the use of such net proceeds to fund any Eligible Projects will satisfy (or will continue to satisfy),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bylaws or other governing rules or investment portfolio mandates, ratings mandates or criteria, taxonomies or standards, or other independent expectations, in particular with regard to any direct or indirect environmental, sustainability or social impact of any projects or uses, the subject of or related to, any Eligible Projects. Any failure by us to allocate an amount equal to the net proceeds from the sale of the Notes to one or more Eligible Projects or the failure of those investments or financings to satisfy investor expectations or requirements or achieve expected outcomes could have a material adverse effect on the market price of the Notes.</w:t>
      </w:r>
    </w:p>
    <w:p>
      <w:pPr>
        <w:spacing w:after="0" w:line="2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legal, regulatory or market definition of or standardized criteria for what constitutes a “green,” “social,” “sustainable” or other equivalently labeled project, and any such designations made by third parties with respect to the Notes may not be suitable for the investment criteria of an investor.</w:t>
      </w:r>
    </w:p>
    <w:p>
      <w:pPr>
        <w:spacing w:after="0" w:line="67"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There is currently no single, agreed-upon definition (legal, regulatory or otherwise) of, nor market consensus as to what constitutes, a “green,” “social,” “sustainable” or an equivalently labeled project, or as to what precise attributes are required for a particular project to be defined as “green,” “social,” “sustainable” or such other equivalent label, and no assurance can be given that such a clear definition or consensus will develop over time or, if such definition or consensus develops in the future, that the Eligible Projects will meet such criteria. Accordingly, no assurance is or can be given to investors that any Eligible Projects selected to receive an allocation of funds from the net proceeds of the Notes will meet any or all investor expectations regarding such “green,” “social,” “sustainable” or other equivalently labeled performance objectives, or that any adverse environmental, social or other impacts, ESG controversies or material changes will not occur during the design, construction, operation or implementation of any Eligible Projects financed or refinanced in whole or in part by the net proceeds from the sale of the Notes.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00"/>
          </w:cols>
          <w:pgMar w:left="320" w:top="455"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assurance or representation is given as to the suitability or reliability for any purpose whatsoever of any opinion or certification of any third party (whether or not solicited by us), including the Second Party Opinion discussed under “Use of Proceeds” in this prospectus supplement, that may be made available in connection with the issuance of the Notes.</w:t>
      </w:r>
    </w:p>
    <w:p>
      <w:pPr>
        <w:spacing w:after="0" w:line="6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No assurance or representation is given as to the suitability or reliability for any purpose whatsoever of any opinion or certification of any third party (whether or not solicited by us) that may be made available in connection with the issuance of the Notes and, in particular, with respect to whether any Eligible Projects fulfill any environmental, social, sustainability or other criteria. For the avoidance of doubt, any such opinion or certification is not and shall not be deemed to be incorporated into or form part of this prospectus supplement and the accompanying prospectus. Any such opinion or certification is not, and should not be deemed to be, a recommendation by us or any underwriter, or any other person to buy, sell or hold the Notes. Any such opinion or certification is only current as of the date that opinion or certification was initially issued. Prospective investors must determine for themselves the relevance of any such opinion or certification or the information contained therein or the provider of such opinion or certification for the purpose of any investment in the Notes. Any withdrawal of any such opinion or certification or any additional opinion or certification attesting that we are not complying in whole or in part with any matters for which such opinion or certification is opining or certifying may have a material adverse effect on the market price of the Notes or result in adverse consequences for certain investors with mandates to invest in securities to be used for a particular purpose.</w:t>
      </w:r>
    </w:p>
    <w:p>
      <w:pPr>
        <w:spacing w:after="0" w:line="298" w:lineRule="exact"/>
        <w:rPr>
          <w:sz w:val="20"/>
          <w:szCs w:val="20"/>
          <w:color w:val="auto"/>
        </w:rPr>
      </w:pPr>
    </w:p>
    <w:p>
      <w:pPr>
        <w:jc w:val="both"/>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list Notes on, and the Notes may never be listed or admitted to, any dedicated “green,” “environmental,” “social,” “sustainable” or other equivalently labeled segment of any stock exchange or securities market, and the Notes may not be included in any green bond or similar index, and any such potential listing, admission or inclusion may not be indicative that the Notes will be suitable for the investment criteria of an investor.</w:t>
      </w:r>
    </w:p>
    <w:p>
      <w:pPr>
        <w:spacing w:after="0" w:line="4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do not intend to apply for the Notes to be listed or admitted to trading on any dedicated “green,” “environmental,” “social,” “sustainable” or other equivalently labeled segment of any stock exchange or securities market (whether or not regulated), and there is no assurance that the Notes will be included in any green bond or similar index. Moreover, even if the Notes were to be listed or admitted to trading on any such segment of any stock exchange or securities market or included in any green bond or similar index, no representation or assurance can be given by us, any underwriter or any other person:</w:t>
      </w:r>
    </w:p>
    <w:p>
      <w:pPr>
        <w:spacing w:after="0" w:line="89" w:lineRule="exact"/>
        <w:rPr>
          <w:sz w:val="20"/>
          <w:szCs w:val="20"/>
          <w:color w:val="auto"/>
        </w:rPr>
      </w:pPr>
    </w:p>
    <w:p>
      <w:pPr>
        <w:ind w:left="1000" w:right="40" w:hanging="439"/>
        <w:spacing w:after="0" w:line="25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listing, admission or inclusion would satisfy (or would continue to satisfy),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bylaws or other governing rules or investment portfolio mandates, ratings mandates or other expectations, in particular with regard to any direct or indirect environmental, social or sustainability impact of any projects or uses, the subject of or related to, any Eligible Projects (and it should be noted that the criteria for any such listing, admission to trading or inclusion in an index may vary from one stock exchange, securities market or index to another); or</w:t>
      </w:r>
    </w:p>
    <w:p>
      <w:pPr>
        <w:spacing w:after="0" w:line="94"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such listing or admission to trading or inclusion in any index will be maintained during the life of the Notes.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the event that the Notes are listed on any such exchange or securities market or included in any such index, any change to the listing or admission status of the Notes or their inclusion in any such index, including but not limited to any change that causes the Notes to no longer be listed or admitted to trading on any stock exchange or securities market or included in any index, may have a material adverse effect on the market price of the Notes or result in adverse consequences for certain investors with portfolio mandates to invest in securities to be used for a particular purpose.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4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Notes may be negatively affected to the extent that perception by investors of the suitability of the Notes as “green,” “social” or “sustainable” bonds deteriorates or demand for green or sustainability-themed investment products diminishes.</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Perception by investors of the suitability of the Notes as “green,” “social” or “sustainable” bonds could be negatively affected by dissatisfaction with the framework, our compliance with the framework, how we determine Eligible Projects described under “Use of Proceeds,” controversies involving the environmental, social or sustainability impact of our business or industry, as well as our determination of whether controversies are material, evolving standards or market consensus as to what constitutes a “green,” “social” or “sustainable” bond or the desirability of investing in “green,” “social” or “sustainable” bonds or any opinion or certification as to the suitability of the Notes as “green,” “social” or “sustainable” bonds no longer being in effect.</w:t>
      </w:r>
    </w:p>
    <w:p>
      <w:pPr>
        <w:spacing w:after="0" w:line="18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Eligible Projects to which we may allocate the proceeds from the Notes may have complex direct or indirect environmental, sustainability or social impacts, and adverse environmental or social impacts may occur during the design, construction and operation of such Eligible Projects. In addition, projects may become controversial or criticized by activist groups or other stakeholders, which could have a negative effect on the trading price of the Notes.</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market price of the Notes may be negatively affected to the extent investors are required or choose to sell their holdings due to deterioration in the perception by the investor or the market in general as to the suitability of this offering as “green,” “social” or “sustainable” bonds. The market price of the Notes may be also negatively affected to the extent demand for sustainability-themed investment products diminishes due to evolving investor preferences, increased regulatory or market scrutiny on funds and strategies dedicated to sustainability or environmental, social or governance themed investing or for other reasons. The market for investments denoted as “green,” “social” or “sustainable” is new and may be volatile.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have no remedies under the Notes or the governing indenture if we fail to allocate an amount equal to the net proceeds from the sale of the Notes to Eligible Projects or to satisfy related reporting obligations and other undertakings.</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Neither the Notes nor the indenture governing the Notes requires or will require us to use the net proceeds from the sale of the Notes as described under “Use of Proceeds” or to satisfy the reporting and other undertakings described under “Use of Proceeds—Reporting.” Any failure by us to comply with the foregoing will not constitute a breach of or default under the Notes or the indenture governing the Notes. As a result, it will not be an event of default under the indenture if we fail to allocate an amount equivalent to the net proceeds from the sale of the Notes to Eligible Projects or to satisfy the reporting and other undertakings as described under “Use of Proceeds” in this prospectus supplement and holders of the Notes will have no remedies under the Notes or the indenture for any such failure.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80"/>
          </w:cols>
          <w:pgMar w:left="320" w:top="455"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 xml:space="preserve">We expect to receive total net proceeds of approximately $2.24 billion from the issuance of the Notes, after deducting estimated underwriting discounts and commissions and estimated offering expenses payable by us. We intend to allocate an amount equal to the net proceeds from the Notes to finance or refinance, in whole or in part, new or existing green projects, assets, or activities (each, an “Eligible Project” and together, “Eligible Projects”) undertaken or owned by GM that meet one or more of the eligibility criteria described below (the “Eligibility Criteria”). In accordance with our strategy, we have established a Sustainability Financing Framework (the “Framework”) as a </w:t>
      </w:r>
      <w:r>
        <w:rPr>
          <w:rFonts w:ascii="Times New Roman" w:cs="Times New Roman" w:eastAsia="Times New Roman" w:hAnsi="Times New Roman"/>
          <w:sz w:val="18"/>
          <w:szCs w:val="18"/>
          <w:b w:val="1"/>
          <w:bCs w:val="1"/>
          <w:u w:val="single" w:color="auto"/>
          <w:color w:val="auto"/>
        </w:rPr>
        <w:t>voluntary</w:t>
      </w:r>
      <w:r>
        <w:rPr>
          <w:rFonts w:ascii="Times New Roman" w:cs="Times New Roman" w:eastAsia="Times New Roman" w:hAnsi="Times New Roman"/>
          <w:sz w:val="18"/>
          <w:szCs w:val="18"/>
          <w:color w:val="auto"/>
        </w:rPr>
        <w:t xml:space="preserve"> framework of guidelines for issuances of green, social and sustainability financings, including the Notes, by us or any of our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Criteria</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Eligible Projects allocations are limited to investments and expenditures made by GM, as applicable, beginning with the issuance or incurrence of the Notes or in the 24 months prior to the issuance of the Notes. GM may allocate amounts equal to the net proceeds from the Notes to a single Eligible Project or any combination of Eligible Projects, and no assurances can be provided that any amount will be allocated to fund any particular category of Eligible Projects. Examples are for illustrative purposes only and no assurance can be made that disbursements for projects with these specific characteristics will be made with the net proceeds of the Notes.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following will be deemed an “Eligible Project”:</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Clean Transportation</w:t>
      </w:r>
    </w:p>
    <w:p>
      <w:pPr>
        <w:spacing w:after="0" w:line="119"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Investments (including equity investments in joint ventures) and expenditures for the design, development or manufacture of clean transportation technology and enabling solutions (jointly “Clean Transportation Solutions”), including:</w:t>
      </w:r>
    </w:p>
    <w:p>
      <w:pPr>
        <w:spacing w:after="0" w:line="67" w:lineRule="exact"/>
        <w:rPr>
          <w:sz w:val="20"/>
          <w:szCs w:val="20"/>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Zero-Emission Vehicles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Technology, Battery Storage and Battery Management Systems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Cell Technology</w:t>
      </w:r>
    </w:p>
    <w:p>
      <w:pPr>
        <w:spacing w:after="0" w:line="130"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Batteries, Battery Cells, Fuel Cells, Electric Motors and Other Components used in Zero-Emission Propulsion Solutions for the Auto and Other Industries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Charging Solutions and Equipment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Energy-As-A-Service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Microgrid and Vehicle-to-Grid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Eligible Projects will fall into one or more of the categories below following the Clean Transportation Solution life cycle:</w:t>
      </w:r>
    </w:p>
    <w:p>
      <w:pPr>
        <w:spacing w:after="0" w:line="131" w:lineRule="exact"/>
        <w:rPr>
          <w:sz w:val="20"/>
          <w:szCs w:val="20"/>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expenditures dedicated to the advancement of Clean Transportation Solutions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Infrastructure</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capital and operating expenditures related to:</w:t>
      </w:r>
    </w:p>
    <w:p>
      <w:pPr>
        <w:spacing w:after="0" w:line="130"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manufacturing facilities</w:t>
      </w:r>
    </w:p>
    <w:p>
      <w:pPr>
        <w:spacing w:after="0" w:line="130" w:lineRule="exact"/>
        <w:rPr>
          <w:rFonts w:ascii="Times New Roman" w:cs="Times New Roman" w:eastAsia="Times New Roman" w:hAnsi="Times New Roman"/>
          <w:sz w:val="18"/>
          <w:szCs w:val="18"/>
          <w:color w:val="auto"/>
        </w:rPr>
      </w:pPr>
    </w:p>
    <w:p>
      <w:pPr>
        <w:ind w:left="2120" w:right="20" w:hanging="546"/>
        <w:spacing w:after="0" w:line="282" w:lineRule="auto"/>
        <w:tabs>
          <w:tab w:leader="none" w:pos="21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Upgrades and modifications to existing manufacturing facilities, including conversion of Internal Combustion Engine (“ICE”) facilities to add capability to produce Clean Transportation Solutions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45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120" w:hanging="546"/>
        <w:spacing w:after="0"/>
        <w:tabs>
          <w:tab w:leader="none" w:pos="21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related to Clean Transportation Solutions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w:t>
      </w:r>
    </w:p>
    <w:p>
      <w:pPr>
        <w:spacing w:after="0" w:line="130" w:lineRule="exact"/>
        <w:rPr>
          <w:rFonts w:ascii="Times New Roman" w:cs="Times New Roman" w:eastAsia="Times New Roman" w:hAnsi="Times New Roman"/>
          <w:sz w:val="18"/>
          <w:szCs w:val="18"/>
          <w:color w:val="auto"/>
        </w:rPr>
      </w:pPr>
    </w:p>
    <w:p>
      <w:pPr>
        <w:ind w:left="1460" w:right="80" w:hanging="332"/>
        <w:spacing w:after="0" w:line="282" w:lineRule="auto"/>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capital and operating expenditures related to the development and deployment of resource-efficient Clean Transportation Solutions, including:</w:t>
      </w:r>
    </w:p>
    <w:p>
      <w:pPr>
        <w:spacing w:after="0" w:line="67"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waste from landfills including recycling facilities</w:t>
      </w:r>
    </w:p>
    <w:p>
      <w:pPr>
        <w:spacing w:after="0" w:line="130"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Wastewater technologies and water efficiency upgrades</w:t>
      </w:r>
    </w:p>
    <w:p>
      <w:pPr>
        <w:spacing w:after="0" w:line="130"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upgrades and sourcing of renewable energy</w:t>
      </w:r>
    </w:p>
    <w:p>
      <w:pPr>
        <w:spacing w:after="0" w:line="225"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examples of Eligible Projects noted above are for illustrative purposes only, and no assurance can be provided that disbursements for projects with these specific characteristics will be made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of Project Evaluation and Selection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Sustainable Financing Council</w:t>
      </w:r>
    </w:p>
    <w:p>
      <w:pPr>
        <w:spacing w:after="0" w:line="119"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We have established a Sustainable Financing Council (the “Council”) that is responsible for monitoring compliance and alignment of Eligible Projects with the Sustainable Finance Framework (the “Framework”).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Council will consist of GM senior representatives from:</w:t>
      </w:r>
    </w:p>
    <w:p>
      <w:pPr>
        <w:spacing w:after="0" w:line="131" w:lineRule="exact"/>
        <w:rPr>
          <w:sz w:val="20"/>
          <w:szCs w:val="20"/>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Controllership;</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Finance;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Relations;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Council will meet at least once a year and is responsible for:</w:t>
      </w:r>
    </w:p>
    <w:p>
      <w:pPr>
        <w:spacing w:after="0" w:line="131" w:lineRule="exact"/>
        <w:rPr>
          <w:sz w:val="20"/>
          <w:szCs w:val="20"/>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Framework and any subsequent amendments thereto,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annual Sustainable Finance Report.</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GM Sustainable Finance Working Groups</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To manage the entity specific responsibilities, GM will establish a Sustainable Finance Working Group (the “Working Group”). The Working Group, as appointed by the Council, will consist of representatives from the Treasury team, and representatives from the teams comprising the Council, as applicable. The Working Group will meet once a year, or more often as needed, and will be responsible for:</w:t>
      </w:r>
    </w:p>
    <w:p>
      <w:pPr>
        <w:spacing w:after="0" w:line="81" w:lineRule="exact"/>
        <w:rPr>
          <w:sz w:val="20"/>
          <w:szCs w:val="20"/>
          <w:color w:val="auto"/>
        </w:rPr>
      </w:pPr>
    </w:p>
    <w:p>
      <w:pPr>
        <w:ind w:left="1000" w:right="260" w:hanging="439"/>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selecting eligible investments and expenditures that meet the Eligibility Criteria, including confirming that a review of the environmental and social risks, as applicable, of an Eligible Project has been performed prior to selection:</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adjusting the balance of tracked proceeds to match allocation to Eligible Projects</w:t>
      </w:r>
    </w:p>
    <w:p>
      <w:pPr>
        <w:spacing w:after="0" w:line="130" w:lineRule="exact"/>
        <w:rPr>
          <w:rFonts w:ascii="Times New Roman" w:cs="Times New Roman" w:eastAsia="Times New Roman" w:hAnsi="Times New Roman"/>
          <w:sz w:val="18"/>
          <w:szCs w:val="18"/>
          <w:color w:val="auto"/>
        </w:rPr>
      </w:pPr>
    </w:p>
    <w:p>
      <w:pPr>
        <w:ind w:left="1460" w:hanging="332"/>
        <w:spacing w:after="0" w:line="312" w:lineRule="auto"/>
        <w:tabs>
          <w:tab w:leader="none" w:pos="14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reviewing the Eligible Projects for conformance to the Eligibility Criteria and for material controversies, and replacing projects that no longer meet the Eligibility Criteria, are divested, or are subject to material controversies that are not promptly remedied</w:t>
      </w:r>
    </w:p>
    <w:p>
      <w:pPr>
        <w:spacing w:after="0" w:line="45"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internal register to track allocation of funds from the Notes to Eligible Projects;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00"/>
          </w:cols>
          <w:pgMar w:left="320" w:top="455"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hanging="439"/>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reviewing the annual Sustainable Finance Report;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external limited assurance as described in “External Verification.”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Proceeds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So long as the Notes remain outstanding, our internal records will show the amount of the net proceeds from the issuance of the Notes allocated to Eligible Projects, as well as the amount of net proceeds pending allocation. Ultimately, an amount equal to the net proceeds of the Notes is intended to be allocated to finance or refinance new or existing Eligible Projects, within 24 months after issuance of the Notes, under the review of relevant members from GM’s Working Group. Pending full allocation, proceeds may be invested in cash or cash equivalents, used to repay existing borrowings, and/or held in accordance with GM general liquidity policy. We will not knowingly invest any unallocated proceeds in securities related to fossil fuels or other controversial activities. Payment of principal and interest on the Notes will be made from our general account and not be linked to the performance of the Eligible Projects.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jc w:val="both"/>
        <w:ind w:right="400" w:firstLine="449"/>
        <w:spacing w:after="0" w:line="266" w:lineRule="auto"/>
        <w:rPr>
          <w:sz w:val="20"/>
          <w:szCs w:val="20"/>
          <w:color w:val="auto"/>
        </w:rPr>
      </w:pPr>
      <w:r>
        <w:rPr>
          <w:rFonts w:ascii="Times New Roman" w:cs="Times New Roman" w:eastAsia="Times New Roman" w:hAnsi="Times New Roman"/>
          <w:sz w:val="18"/>
          <w:szCs w:val="18"/>
          <w:color w:val="auto"/>
        </w:rPr>
        <w:t>In alignment with the company’s commitment to transparency and public reporting on ESG topics, on an annual basis until full allocation of an amount equal to the net proceeds of the Notes, GM will publish a Sustainable Finance Report (a “Sustainable Finance Report”) on its website that will include:</w:t>
      </w:r>
    </w:p>
    <w:p>
      <w:pPr>
        <w:spacing w:after="0" w:line="81" w:lineRule="exact"/>
        <w:rPr>
          <w:sz w:val="20"/>
          <w:szCs w:val="20"/>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raised from the Notes;</w:t>
      </w:r>
    </w:p>
    <w:p>
      <w:pPr>
        <w:spacing w:after="0" w:line="130" w:lineRule="exact"/>
        <w:rPr>
          <w:rFonts w:ascii="Times New Roman" w:cs="Times New Roman" w:eastAsia="Times New Roman" w:hAnsi="Times New Roman"/>
          <w:sz w:val="18"/>
          <w:szCs w:val="18"/>
          <w:color w:val="auto"/>
        </w:rPr>
      </w:pPr>
    </w:p>
    <w:p>
      <w:pPr>
        <w:ind w:left="1000" w:right="1000" w:hanging="439"/>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of funds allocated to each of the Eligible Projects either individually or by category, subject to confidentiality considerations;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financed or refinanced;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amount of third-party financing used for the Eligible Projects;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of unallocated proceeds;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reporting elements, where feasible and subject to confidentiality considerations, as described in the next sub-section; and</w:t>
      </w:r>
    </w:p>
    <w:p>
      <w:pPr>
        <w:spacing w:after="0" w:line="130" w:lineRule="exact"/>
        <w:rPr>
          <w:rFonts w:ascii="Times New Roman" w:cs="Times New Roman" w:eastAsia="Times New Roman" w:hAnsi="Times New Roman"/>
          <w:sz w:val="18"/>
          <w:szCs w:val="18"/>
          <w:color w:val="auto"/>
        </w:rPr>
      </w:pPr>
    </w:p>
    <w:p>
      <w:pPr>
        <w:ind w:left="1000" w:right="20" w:hanging="439"/>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developments related to the projects or assets financed, including ESG controversies, where feasible and subject to confidentiality considerations. In the case of material developments that impact allocation, GM will publish a revised allocation overview in a revised Sustainable Finance Report, including external verification as described below under “External Verification.”</w:t>
      </w:r>
    </w:p>
    <w:p>
      <w:pPr>
        <w:spacing w:after="0" w:line="176"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Where feasible, we intend to align our reporting practices with the ICMA recommendations as detailed in the ‘Handbook—Harmonized Framework for Impact Reporting (June 2021)’.</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Reporting</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Subject to confidentiality considerations, where feasible and applicable, GM will include certain estimated impact metrics in the Sustainable Finance Report and the respective calculation methodology and key assumptions for each metric reported related to Eligible Projects that were included in the allocation of proceeds. Performance on estimated impact metrics will not be tied to the pricing or other characteristics of the Notes. Sample impact metrics are listed as follows (for the avoidance of doubt, GM would not expect to report on each example metric for each project): number of zero-emission vehicles sold; incremental capacity from use of proceeds of battery plant; annual Greenhouse Gas (GHG) emissions avoided (tCO2e) from vehicle use; annual energy savings; number of recharging stations installed; water use reduction; and installed renewable energy capacity.</w:t>
      </w:r>
    </w:p>
    <w:p>
      <w:pPr>
        <w:spacing w:after="0" w:line="187"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information on or accessible through our website is not part of this prospectus supplement or the accompanying prospectus (except for the SEC filings specifically incorporated by reference under “Incorporation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4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Certain Documents by Reference”) and should not be relied upon in connection with making any investment decision with respect to the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Review</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Second Party Opinion</w:t>
      </w:r>
    </w:p>
    <w:p>
      <w:pPr>
        <w:spacing w:after="0" w:line="119" w:lineRule="exact"/>
        <w:rPr>
          <w:sz w:val="20"/>
          <w:szCs w:val="20"/>
          <w:color w:val="auto"/>
        </w:rPr>
      </w:pPr>
    </w:p>
    <w:p>
      <w:pPr>
        <w:jc w:val="both"/>
        <w:ind w:firstLine="449"/>
        <w:spacing w:after="0" w:line="289" w:lineRule="auto"/>
        <w:rPr>
          <w:sz w:val="20"/>
          <w:szCs w:val="20"/>
          <w:color w:val="auto"/>
        </w:rPr>
      </w:pPr>
      <w:r>
        <w:rPr>
          <w:rFonts w:ascii="Times New Roman" w:cs="Times New Roman" w:eastAsia="Times New Roman" w:hAnsi="Times New Roman"/>
          <w:sz w:val="17"/>
          <w:szCs w:val="17"/>
          <w:color w:val="auto"/>
        </w:rPr>
        <w:t>We have retained a consultant with recognized environmental and social expertise to provide a Second Party Opinion (“SPO”) on the environmental and social benefits of our Framework as well as its alignment with the Green Bond Principles (2021), Social Bond Principles (2021), Sustainability Bond Guidelines (2021) and Green Loan Principles (2021) (collectively, the “ Principles”). The opinion can be found on the SPO provider’s website.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External Verification</w:t>
      </w:r>
    </w:p>
    <w:p>
      <w:pPr>
        <w:spacing w:after="0" w:line="119"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Each Sustainable Finance Report will be accompanied by a limited assurance report from an independent party in respect of its examination of management’s assertions about allocation of proceeds to Eligible Projects individually or by category under the Framework.</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For the avoidance of doubt, none of the Framework, the Second Party Opinion, or the Sustainable Finance Report, are, and none shall be deemed to be, incorporated by reference into or form a part of this prospectus supplement or the accompanying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seventh supplemental indenture (the “Supplemental Indenture”) to be dated on or about August 2, 2022 between us and the Trustee. The Base Indenture and the Supplemental Indenture, as amended and supplemented, are together referred to herein as the “Indenture.” The Indenture and the Notes are governed by, and construed in accordance with, the laws of the State of New York, United States.</w:t>
      </w:r>
    </w:p>
    <w:p>
      <w:pPr>
        <w:spacing w:after="0" w:line="183"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87"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62"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2029 Notes will mature on October 15, 2029 and the 2032 Notes will mature on October 15, 2032; in both cases unless we redeem such Notes prior to their respective maturity dates, as described below under “—Optional Redemption.”</w:t>
      </w:r>
    </w:p>
    <w:p>
      <w:pPr>
        <w:spacing w:after="0" w:line="162" w:lineRule="exact"/>
        <w:rPr>
          <w:sz w:val="20"/>
          <w:szCs w:val="20"/>
          <w:color w:val="auto"/>
        </w:rPr>
      </w:pPr>
    </w:p>
    <w:p>
      <w:pPr>
        <w:ind w:right="840" w:firstLine="449"/>
        <w:spacing w:after="0" w:line="282" w:lineRule="auto"/>
        <w:rPr>
          <w:sz w:val="20"/>
          <w:szCs w:val="20"/>
          <w:color w:val="auto"/>
        </w:rPr>
      </w:pPr>
      <w:r>
        <w:rPr>
          <w:rFonts w:ascii="Times New Roman" w:cs="Times New Roman" w:eastAsia="Times New Roman" w:hAnsi="Times New Roman"/>
          <w:sz w:val="18"/>
          <w:szCs w:val="18"/>
          <w:color w:val="auto"/>
        </w:rPr>
        <w:t>The Notes will be issued in book-entry form only through the facilities of DTC, including its participants, Euroclear and Clearstream. See “Description of Debt Securities—Book-Entry; Delivery and Form; Global Securities” in the accompanying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 2029 Notes will initially be limited to $1,000,000,000 aggregate principal amount and the 2032 Notes will initially be limited to $1,250,000,000 aggregate principal amount.</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2029 Notes will bear interest at a rate of 5.400% per year and the 2032 Notes will bear interest at a rate of 5.600% per year. Each series of Notes will accrue interest, calculated on the basis of a 360-day year consisting of twelve 30-day months, from August 2, 2022, or, in each case, from the most recent interest payment date to which interest has been paid or duly provided for, which, in each case, will be payable in arrears on April 15 and October 15 of each year, with the first payment to be made on October 15, 2022, to the person in whose name such Notes are registered at the close of business on the April 1 or October 1, as the case may be, next preceding the relevant interest payment date.</w:t>
      </w:r>
    </w:p>
    <w:p>
      <w:pPr>
        <w:spacing w:after="0" w:line="183"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date for any series of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All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of each series will be issued in fully registered form only, in denominations of $2,000 and integral multiples of $1,000 in excess thereof.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320" w:top="45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Amounts due on the respective stated maturity date of the Notes (or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83"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term “Business Day”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provided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Prior to (i) August 15, 2029 (two months prior to their maturity date) in the case of the 2029 Notes and (ii) July 15, 2032 (three months prior to their maturity date) in the case of the 2032 Notes (the foregoing dates in respect of the applicable series of Notes, the “Par Call Dates”), the Company may redeem the Notes of either series at its option, in whole or in part, at any time and from time to time, at a redemption price (expressed as a percentage of principal amount and rounded to three decimal places) equal to the greater of:</w:t>
      </w:r>
    </w:p>
    <w:p>
      <w:pPr>
        <w:spacing w:after="0" w:line="72" w:lineRule="exact"/>
        <w:rPr>
          <w:sz w:val="20"/>
          <w:szCs w:val="20"/>
          <w:color w:val="auto"/>
        </w:rPr>
      </w:pPr>
    </w:p>
    <w:p>
      <w:pPr>
        <w:jc w:val="both"/>
        <w:ind w:left="460" w:right="200" w:hanging="3"/>
        <w:spacing w:after="0" w:line="261" w:lineRule="auto"/>
        <w:tabs>
          <w:tab w:leader="none" w:pos="7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Treasury Rate plus 45 basis points with respect to the 2029 Notes and 45 basis points with respect to the 2032 Notes less (b) interest accrued to the date of redemption, and</w:t>
      </w:r>
    </w:p>
    <w:p>
      <w:pPr>
        <w:spacing w:after="0" w:line="71"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such series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the Company may redeem the Notes of the applicable series, in whole or in part, at any time and from time to time, at a redemption price equal to 100% of the principal amount of the Notes of such series being redeemed plus accrued and unpaid interest thereon to the redemption date.</w:t>
      </w:r>
    </w:p>
    <w:p>
      <w:pPr>
        <w:spacing w:after="0" w:line="174" w:lineRule="exact"/>
        <w:rPr>
          <w:sz w:val="20"/>
          <w:szCs w:val="20"/>
          <w:color w:val="auto"/>
        </w:rPr>
      </w:pPr>
    </w:p>
    <w:p>
      <w:pPr>
        <w:ind w:right="60"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in respect of a series of Notes means, with respect to any redemption date, the yield determined by the Company in accordance with the following two paragraphs.</w:t>
      </w:r>
    </w:p>
    <w:p>
      <w:pPr>
        <w:spacing w:after="0" w:line="16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4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for such series of Notes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for such series of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U.S. Treasury security maturing on, or with a maturity that is closest to, the Par Call Date for the relevant series of Notes, as applicable. If there is no U.S. Treasury security maturing on the applicable Par Call Date for such series of Notes but there are two or more U.S. Treasury securities with a maturity date equally distant from the applicable Par Call Date, one with a maturity date preceding the applicable Par Call Date and one with a maturity date following the applicable Par Call Date, the Company shall select the U.S. Treasury security with a maturity date preceding applicable the applicable Par Call Date. If there are two or more U.S. Treasury securities maturing on the applicable Par Call Date for such series of Notes or two or more U.S. Treasury securities meeting the criteria of the preceding sentence, the Company shall select from among these two or more U.S. Treasury securities the U.S. Treasury security that is trading closest to par based upon the average of the bid and asked prices for such U.S. Treasury securities at 11:00 a.m., New York City time. In determining the Treasury Rate in accordance with the terms of this paragraph, the semi-annual yield to maturity of the applicable U.S. Treasury security shall be based upon the average of the bid and asked prices (expressed as a percentage of principal amount) at 11:00 a.m., New York City time, of such U.S. Treasury security, and rounded to three decimal places.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of the Notes of a series,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a series are held by DTC (or another depositary), the redemption of the Notes of such series shall be done in accordance with the policies and procedures of the depositary.</w:t>
      </w:r>
    </w:p>
    <w:p>
      <w:pPr>
        <w:spacing w:after="0" w:line="187"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40"/>
          </w:cols>
          <w:pgMar w:left="320" w:top="4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applicable to the covenants specified below:</w:t>
      </w:r>
    </w:p>
    <w:p>
      <w:pPr>
        <w:spacing w:after="0" w:line="225"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87"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means, on the date of determination, total assets less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225"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Manufacturing Subsidiary</w:t>
      </w:r>
      <w:r>
        <w:rPr>
          <w:rFonts w:ascii="Times New Roman" w:cs="Times New Roman" w:eastAsia="Times New Roman" w:hAnsi="Times New Roman"/>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225"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83" w:lineRule="exact"/>
        <w:rPr>
          <w:sz w:val="20"/>
          <w:szCs w:val="20"/>
          <w:color w:val="auto"/>
        </w:rPr>
      </w:pPr>
    </w:p>
    <w:p>
      <w:pPr>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of which at least a majority of the outstanding stock having by the terms thereof ordinary voting power to elect a majority of the board of directors of such corporation (irrespective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45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6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For the benefit of the Notes, we will not, nor will we permit any Manufacturing Subsidiary to, issue or assume any Debt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131" w:lineRule="exact"/>
        <w:rPr>
          <w:sz w:val="20"/>
          <w:szCs w:val="20"/>
          <w:color w:val="auto"/>
        </w:rPr>
      </w:pPr>
    </w:p>
    <w:p>
      <w:pPr>
        <w:ind w:left="1000" w:right="320" w:hanging="54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67" w:lineRule="exact"/>
        <w:rPr>
          <w:rFonts w:ascii="Times New Roman" w:cs="Times New Roman" w:eastAsia="Times New Roman" w:hAnsi="Times New Roman"/>
          <w:sz w:val="18"/>
          <w:szCs w:val="18"/>
          <w:color w:val="auto"/>
        </w:rPr>
      </w:pPr>
    </w:p>
    <w:p>
      <w:pPr>
        <w:ind w:left="1000" w:right="240" w:hanging="547"/>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us or to another Manufacturing Subsidiary;</w:t>
      </w:r>
    </w:p>
    <w:p>
      <w:pPr>
        <w:spacing w:after="0" w:line="130" w:lineRule="exact"/>
        <w:rPr>
          <w:rFonts w:ascii="Times New Roman" w:cs="Times New Roman" w:eastAsia="Times New Roman" w:hAnsi="Times New Roman"/>
          <w:sz w:val="18"/>
          <w:szCs w:val="18"/>
          <w:color w:val="auto"/>
        </w:rPr>
      </w:pPr>
    </w:p>
    <w:p>
      <w:pPr>
        <w:ind w:left="1000" w:hanging="54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81" w:lineRule="exact"/>
        <w:rPr>
          <w:rFonts w:ascii="Times New Roman" w:cs="Times New Roman" w:eastAsia="Times New Roman" w:hAnsi="Times New Roman"/>
          <w:sz w:val="18"/>
          <w:szCs w:val="18"/>
          <w:color w:val="auto"/>
        </w:rPr>
      </w:pPr>
    </w:p>
    <w:p>
      <w:pPr>
        <w:ind w:left="1000" w:right="40" w:hanging="547"/>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21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issuance of the Notes; or</w:t>
      </w:r>
    </w:p>
    <w:p>
      <w:pPr>
        <w:spacing w:after="0" w:line="130" w:lineRule="exact"/>
        <w:rPr>
          <w:rFonts w:ascii="Times New Roman" w:cs="Times New Roman" w:eastAsia="Times New Roman" w:hAnsi="Times New Roman"/>
          <w:sz w:val="18"/>
          <w:szCs w:val="18"/>
          <w:color w:val="auto"/>
        </w:rPr>
      </w:pPr>
    </w:p>
    <w:p>
      <w:pPr>
        <w:ind w:left="1000" w:right="20" w:hanging="547"/>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1" w:lineRule="exact"/>
        <w:rPr>
          <w:sz w:val="20"/>
          <w:szCs w:val="20"/>
          <w:color w:val="auto"/>
        </w:rPr>
      </w:pPr>
    </w:p>
    <w:p>
      <w:pPr>
        <w:ind w:right="2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Limitation on Sales and Lease-Backs</w:t>
      </w:r>
      <w:r>
        <w:rPr>
          <w:rFonts w:ascii="Times New Roman" w:cs="Times New Roman" w:eastAsia="Times New Roman" w:hAnsi="Times New Roman"/>
          <w:sz w:val="18"/>
          <w:szCs w:val="18"/>
          <w:color w:val="auto"/>
        </w:rPr>
        <w:t>. For the benefit of the Notes, we will not, nor will we permit any Manufacturing Subsidiary to, enter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with any person providing for the leasing by us or 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4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85" w:lineRule="exact"/>
        <w:rPr>
          <w:sz w:val="20"/>
          <w:szCs w:val="20"/>
          <w:color w:val="auto"/>
        </w:rPr>
      </w:pPr>
    </w:p>
    <w:p>
      <w:pPr>
        <w:ind w:left="1000" w:right="100" w:hanging="547"/>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94" w:lineRule="exact"/>
        <w:rPr>
          <w:rFonts w:ascii="Times New Roman" w:cs="Times New Roman" w:eastAsia="Times New Roman" w:hAnsi="Times New Roman"/>
          <w:sz w:val="18"/>
          <w:szCs w:val="18"/>
          <w:color w:val="auto"/>
        </w:rPr>
      </w:pPr>
    </w:p>
    <w:p>
      <w:pPr>
        <w:ind w:left="1000" w:right="40" w:hanging="547"/>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229"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4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FEDERAL TAX CONSIDERATIONS</w:t>
      </w:r>
    </w:p>
    <w:p>
      <w:pPr>
        <w:spacing w:after="0" w:line="22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83"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76" w:lineRule="exact"/>
        <w:rPr>
          <w:sz w:val="20"/>
          <w:szCs w:val="20"/>
          <w:color w:val="auto"/>
        </w:rPr>
      </w:pPr>
    </w:p>
    <w:p>
      <w:pPr>
        <w:ind w:right="260"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75"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87"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term “Non-U.S. Holder” means a beneficial owner of a Note that is, for U.S. federal income tax purposes, an individual, corporation, estate or trust that is not a U.S. Holder. For purposes of this “U.S. Federal Tax Considerations” section only, the term “Holder” means a U.S. Holder or a Non-U.S. Holder (as those terms are defined 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40"/>
          </w:cols>
          <w:pgMar w:left="320" w:top="4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Original Issue Discount</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Notes are expected to be issued with less than a de minimis amount of original issue discount (“OID”) for U.S. federal income tax purposes. However, if the stated principal amount of any series of Notes exceeds their issue price (as defined above) by at least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Taxable Disposition of the Notes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 and Disposition of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discussion below:</w:t>
      </w:r>
    </w:p>
    <w:p>
      <w:pPr>
        <w:spacing w:after="0" w:line="131" w:lineRule="exact"/>
        <w:rPr>
          <w:sz w:val="20"/>
          <w:szCs w:val="20"/>
          <w:color w:val="auto"/>
        </w:rPr>
      </w:pPr>
    </w:p>
    <w:p>
      <w:pPr>
        <w:ind w:left="1000" w:right="42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to a Non-U.S. Holder (which, for purposes of this discussion of Non-U.S. Holders, includes any accrued OID) with respect to a Note generally will not be subject to U.S. federal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4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right="80"/>
        <w:spacing w:after="0" w:line="261" w:lineRule="auto"/>
        <w:rPr>
          <w:sz w:val="20"/>
          <w:szCs w:val="20"/>
          <w:color w:val="auto"/>
        </w:rPr>
      </w:pPr>
      <w:r>
        <w:rPr>
          <w:rFonts w:ascii="Times New Roman" w:cs="Times New Roman" w:eastAsia="Times New Roman" w:hAnsi="Times New Roman"/>
          <w:sz w:val="18"/>
          <w:szCs w:val="18"/>
          <w:color w:val="auto"/>
        </w:rPr>
        <w:t>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85" w:lineRule="exact"/>
        <w:rPr>
          <w:sz w:val="20"/>
          <w:szCs w:val="20"/>
          <w:color w:val="auto"/>
        </w:rPr>
      </w:pPr>
    </w:p>
    <w:p>
      <w:pPr>
        <w:ind w:left="1000" w:hanging="547"/>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U.S., and if interest on the Notes, or any gain realized on the sale, exchange, redemption, retirement or other taxable disposition of the Notes, is effectively connected with such trade or business (and, if required by an applicable tax treaty, is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92"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Provisions in the Code commonly referred to as “FATCA” impose withholding of 30% on payments of interest on the Notes and, subject to the discussion of proposed Treasury regulations below,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45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entitled to a refund of any amounts withheld by filing a U.S. federal income tax return (which may entail a significant administrative burden). Proposed Treasury regulations eliminate the 30% FATCA withholding on payments of gross proceeds. The preamble to those proposed Treasury regulations provides that taxpayers may rely on the proposed Treasury regulations until final Treasury regulations are issued. There can be no assurance, however, that final Treasury regulations would provide an exemption from FATCA withholding for gross proceeds. Prospective investors should consult their tax advisers regarding the effects of FATCA on their investment in the Notes.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76"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Federal Estate Tax</w:t>
      </w:r>
    </w:p>
    <w:p>
      <w:pPr>
        <w:spacing w:after="0" w:line="121" w:lineRule="exact"/>
        <w:rPr>
          <w:sz w:val="20"/>
          <w:szCs w:val="20"/>
          <w:color w:val="auto"/>
        </w:rPr>
      </w:pPr>
    </w:p>
    <w:p>
      <w:pPr>
        <w:ind w:right="20" w:firstLine="449"/>
        <w:spacing w:after="0" w:line="276" w:lineRule="auto"/>
        <w:rPr>
          <w:sz w:val="20"/>
          <w:szCs w:val="20"/>
          <w:color w:val="auto"/>
        </w:rPr>
      </w:pPr>
      <w:r>
        <w:rPr>
          <w:rFonts w:ascii="Times New Roman" w:cs="Times New Roman" w:eastAsia="Times New Roman" w:hAnsi="Times New Roman"/>
          <w:sz w:val="17"/>
          <w:szCs w:val="17"/>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w:t>
      </w:r>
    </w:p>
    <w:p>
      <w:pPr>
        <w:spacing w:after="0" w:line="1" w:lineRule="exact"/>
        <w:rPr>
          <w:sz w:val="20"/>
          <w:szCs w:val="20"/>
          <w:color w:val="auto"/>
        </w:rPr>
      </w:pPr>
    </w:p>
    <w:p>
      <w:pPr>
        <w:ind w:right="60" w:firstLine="8"/>
        <w:spacing w:after="0" w:line="260"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does not actually or constructively own 10% or more of the combined voting power of all classes of GM’s stock and (ii) amounts treated as interest earned on the Note are not effectively connected with the conduct of a trade or business in the United States by such Non-U.S. Holder.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4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for whom Barclays Capital Inc., BNP Paribas Securities Corp., BofA Securities, Inc., Citigroup Global Markets Inc., Credit Agricole Securities (USA) Inc., Goldman Sachs &amp; Co. LLC, J.P. Morgan Securities LLC and Morgan Stanley &amp; Co. LLC are acting as representatives, have severally agreed to purchase, and we have agreed to sell to each underwriter, the principal amount of the Notes set forth opposite the underwriter’s name.</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2029</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2032</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4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Notes to be</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Notes 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67,849,000</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84,813,000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67,849,000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84,813,000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67,849,000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84,813,000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67,849,000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84,813,000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67,849,000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84,813,000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67,849,000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84,812,000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67,849,000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84,812,000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67,849,000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84,812,000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S.p.A.</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Santander Investment Securities Inc.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33,913,000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42,391,000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Commerz Markets LLC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16,956,000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21,194,000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 King &amp; Associates, Inc.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6,660,000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8,325,000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6,660,000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8,325,000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1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6,660,000</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8,325,000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6,660,000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8,325,000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6,660,000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8,325,000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89"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58"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prices that appear on the cover page of this prospectus supplement. The underwriters may offer the Notes to selected dealers at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320" w:top="45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public offering price minus a concession of up to 0.225% of the principal amount of the 2029 Notes and 0.250% of the principal amount of the 2032 Notes. In addition, the underwriters may allow, and those selected dealers may reallow, a concession of up to 0.175% of the principal amount of the 2029 Notes and 0.200% of the principal amount of the 2032 Notes to certain other dealers. After the 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83"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 on behalf of the underwriters.</w:t>
      </w:r>
    </w:p>
    <w:p>
      <w:pPr>
        <w:spacing w:after="0" w:line="180"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of each series. However, they are not obligated to do so and they may discontinue any market-making activities with respect to the Notes at any time without notice. Accordingly, we cannot assure you as to the liquidity of, or the maintenance of any trading market for, the Notes.</w:t>
      </w:r>
    </w:p>
    <w:p>
      <w:pPr>
        <w:spacing w:after="0" w:line="187"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20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2029 Note (expressed as a percentage)</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0.400%</w:t>
            </w: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2032 Note (expressed as a percentage)</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w:t>
            </w:r>
          </w:p>
        </w:tc>
      </w:tr>
      <w:tr>
        <w:trPr>
          <w:trHeight w:val="234"/>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$5,625,000</w:t>
            </w:r>
          </w:p>
        </w:tc>
      </w:tr>
    </w:tbl>
    <w:p>
      <w:pPr>
        <w:spacing w:after="0" w:line="179" w:lineRule="exact"/>
        <w:rPr>
          <w:sz w:val="20"/>
          <w:szCs w:val="20"/>
          <w:color w:val="auto"/>
        </w:rPr>
      </w:pPr>
    </w:p>
    <w:p>
      <w:pPr>
        <w:ind w:right="860" w:firstLine="449"/>
        <w:spacing w:after="0" w:line="282" w:lineRule="auto"/>
        <w:rPr>
          <w:sz w:val="20"/>
          <w:szCs w:val="20"/>
          <w:color w:val="auto"/>
        </w:rPr>
      </w:pPr>
      <w:r>
        <w:rPr>
          <w:rFonts w:ascii="Times New Roman" w:cs="Times New Roman" w:eastAsia="Times New Roman" w:hAnsi="Times New Roman"/>
          <w:sz w:val="18"/>
          <w:szCs w:val="18"/>
          <w:color w:val="auto"/>
        </w:rPr>
        <w:t>We estimate that our portion of the total expenses of the offering, exclusive of the underwriter discounts payable by us in the offering and reimbursements of certain expenses incurred in connection with the offering, will be $350,000.</w:t>
      </w:r>
    </w:p>
    <w:p>
      <w:pPr>
        <w:spacing w:after="0" w:line="162"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August 2, 2022, which will be the third business day following the date of pricing of the Notes (such settlement cycle being referred to herein as “T+3”). Under Rule 15c6-1 of the Exchange Act, trades in the secondary market generally are required to settle in two business days, unless the parties to any such trade expressly agree otherwise. Accordingly, purchasers who wish to trade the Notes on the date of pricing will be required, by virtue of the fact that the Notes initially will settle in T+3, to specify an alternate settlement cycle at the time of any such trade to prevent a failed settlement. Purchasers of the Notes who wish to trade those Notes on the date of pricing should consult their own advisor.</w:t>
      </w:r>
    </w:p>
    <w:p>
      <w:pPr>
        <w:spacing w:after="0" w:line="187"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1000" w:right="360" w:hanging="439"/>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00" w:right="360" w:hanging="439"/>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00"/>
          </w:cols>
          <w:pgMar w:left="320" w:top="45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92" w:lineRule="exact"/>
        <w:rPr>
          <w:sz w:val="20"/>
          <w:szCs w:val="20"/>
          <w:color w:val="auto"/>
        </w:rPr>
      </w:pPr>
    </w:p>
    <w:p>
      <w:pPr>
        <w:ind w:right="300" w:firstLine="449"/>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Securities constituting part of its allotment solely outside the United States.</w:t>
      </w:r>
    </w:p>
    <w:p>
      <w:pPr>
        <w:spacing w:after="0" w:line="183"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Intesa Sanpaolo S.p.A. is not a U.S. registered broker-dealer and it will not effect any offers or sales of any securities in the United States unless it is through one or more U.S. registered broker-dealers in accordance with the applicable U.S. securities laws and regulations.</w:t>
      </w:r>
    </w:p>
    <w:p>
      <w:pPr>
        <w:spacing w:after="0" w:line="162"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7"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45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in the UK, this prospectus supplement and the accompanying prospectus are being distributed only to, and are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“Order”),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4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right="160" w:firstLine="449"/>
        <w:spacing w:after="0" w:line="270" w:lineRule="auto"/>
        <w:rPr>
          <w:sz w:val="20"/>
          <w:szCs w:val="20"/>
          <w:color w:val="auto"/>
        </w:rPr>
      </w:pPr>
      <w:r>
        <w:rPr>
          <w:rFonts w:ascii="Times New Roman" w:cs="Times New Roman" w:eastAsia="Times New Roman" w:hAnsi="Times New Roman"/>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w:t>
      </w:r>
    </w:p>
    <w:p>
      <w:pPr>
        <w:spacing w:after="0" w:line="3" w:lineRule="exact"/>
        <w:rPr>
          <w:sz w:val="20"/>
          <w:szCs w:val="20"/>
          <w:color w:val="auto"/>
        </w:rPr>
      </w:pPr>
    </w:p>
    <w:p>
      <w:pPr>
        <w:ind w:right="40" w:firstLine="8"/>
        <w:spacing w:after="0" w:line="253"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 (a) to an institutional investor under Section 274 of the SFA or to a relevant person (as defined in Section 275(2) of the SFA), or to any person arising from an offer referred to in Section 275(1A), or</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276(4)(i)(B) of the SFA; (b) where no consideration is or will be given for the transfer; (c) where the transfer is by operation of law; (d) as specified in Section 276(7) of the SFA; or (e) as specified in Regulation 32 of the Securities and Futures (Offers of Investments) (Shares and Debentures) Regulations 2005 of Singapore.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4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Singapore SFA Product Classification</w:t>
      </w:r>
      <w:r>
        <w:rPr>
          <w:rFonts w:ascii="Times New Roman" w:cs="Times New Roman" w:eastAsia="Times New Roman" w:hAnsi="Times New Roman"/>
          <w:sz w:val="18"/>
          <w:szCs w:val="18"/>
          <w:color w:val="auto"/>
        </w:rPr>
        <w:t>—Solely for the purposes of its obligations pursuant to sections 309B(1)(a) and 309B(1)(c) of the SFA,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right="180" w:firstLine="449"/>
        <w:spacing w:after="0" w:line="281"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4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King &amp; Spalding LLP. Certain legal matters will be passed upon for the underwriters by Davis Polk &amp; Wardwell LLP.</w:t>
      </w:r>
    </w:p>
    <w:p>
      <w:pPr>
        <w:spacing w:after="0" w:line="9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0700"/>
          </w:cols>
          <w:pgMar w:left="320" w:top="455" w:right="8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at the SEC’s website at http://www.sec.gov and our website at http://www.gm.com.</w:t>
      </w:r>
    </w:p>
    <w:p>
      <w:pPr>
        <w:spacing w:after="0" w:line="16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220"/>
          </w:cols>
          <w:pgMar w:left="320" w:top="455" w:right="359" w:bottom="1440" w:gutter="0" w:footer="0" w:header="0"/>
        </w:sectPr>
      </w:pP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6429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Specifically Incorporated by Reference into our Annual Report on Form 10-K for the year ended December 31, 2021 from our Definitive Proxy Statement on Schedule 14A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Year ended December 31, 2021 (filed with the SEC on </w:t>
      </w:r>
      <w:hyperlink r:id="rId56">
        <w:r>
          <w:rPr>
            <w:rFonts w:ascii="Times New Roman" w:cs="Times New Roman" w:eastAsia="Times New Roman" w:hAnsi="Times New Roman"/>
            <w:sz w:val="17"/>
            <w:szCs w:val="17"/>
            <w:u w:val="single" w:color="auto"/>
            <w:color w:val="0000EE"/>
          </w:rPr>
          <w:t>February 2, 2022</w:t>
        </w:r>
      </w:hyperlink>
      <w:r>
        <w:rPr>
          <w:rFonts w:ascii="Times New Roman" w:cs="Times New Roman" w:eastAsia="Times New Roman" w:hAnsi="Times New Roman"/>
          <w:sz w:val="17"/>
          <w:szCs w:val="17"/>
          <w:color w:val="auto"/>
        </w:rPr>
        <w:t>)</w:t>
      </w:r>
    </w:p>
    <w:p>
      <w:pPr>
        <w:spacing w:after="0" w:line="66"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December 31, 2021 (filed with the SEC on </w:t>
      </w:r>
      <w:hyperlink r:id="rId57">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Quarters ended March 31, 2022 (filed with the SEC on </w:t>
      </w:r>
      <w:hyperlink r:id="rId58">
        <w:r>
          <w:rPr>
            <w:rFonts w:ascii="Times New Roman" w:cs="Times New Roman" w:eastAsia="Times New Roman" w:hAnsi="Times New Roman"/>
            <w:sz w:val="18"/>
            <w:szCs w:val="18"/>
            <w:u w:val="single" w:color="auto"/>
            <w:color w:val="0000EE"/>
          </w:rPr>
          <w:t>April 27, 2022</w:t>
        </w:r>
      </w:hyperlink>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June 30, 2022 (filed with the SEC on </w:t>
      </w:r>
      <w:hyperlink r:id="rId59">
        <w:r>
          <w:rPr>
            <w:rFonts w:ascii="Times New Roman" w:cs="Times New Roman" w:eastAsia="Times New Roman" w:hAnsi="Times New Roman"/>
            <w:sz w:val="18"/>
            <w:szCs w:val="18"/>
            <w:u w:val="single" w:color="auto"/>
            <w:color w:val="0000EE"/>
          </w:rPr>
          <w:t>July 26, 2022</w:t>
        </w:r>
      </w:hyperlink>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right="60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Dates filed: </w:t>
      </w:r>
      <w:hyperlink r:id="rId60">
        <w:r>
          <w:rPr>
            <w:rFonts w:ascii="Times New Roman" w:cs="Times New Roman" w:eastAsia="Times New Roman" w:hAnsi="Times New Roman"/>
            <w:sz w:val="18"/>
            <w:szCs w:val="18"/>
            <w:u w:val="single" w:color="auto"/>
            <w:color w:val="0000EE"/>
          </w:rPr>
          <w:t>March 18, 2022</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April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0000EE"/>
          </w:rPr>
          <w:t>June 15, 2022</w:t>
        </w:r>
      </w:hyperlink>
    </w:p>
    <w:p>
      <w:pPr>
        <w:spacing w:after="0" w:line="162" w:lineRule="exact"/>
        <w:rPr>
          <w:rFonts w:ascii="Times New Roman" w:cs="Times New Roman" w:eastAsia="Times New Roman" w:hAnsi="Times New Roman"/>
          <w:sz w:val="18"/>
          <w:szCs w:val="18"/>
          <w:color w:val="auto"/>
        </w:rPr>
      </w:pPr>
    </w:p>
    <w:p>
      <w:pPr>
        <w:sectPr>
          <w:pgSz w:w="11900" w:h="16838" w:orient="portrait"/>
          <w:cols w:equalWidth="0" w:num="2">
            <w:col w:w="5680" w:space="280"/>
            <w:col w:w="5260"/>
          </w:cols>
          <w:pgMar w:left="320" w:top="455" w:right="359" w:bottom="1440" w:gutter="0" w:footer="0" w:header="0"/>
          <w:type w:val="continuous"/>
        </w:sect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the General Counsel at the following address and telephone number:</w:t>
      </w:r>
    </w:p>
    <w:p>
      <w:pPr>
        <w:spacing w:after="0" w:line="176"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20"/>
          </w:cols>
          <w:pgMar w:left="320" w:top="455"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173990</wp:posOffset>
            </wp:positionV>
            <wp:extent cx="4046220"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0462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234315</wp:posOffset>
            </wp:positionV>
            <wp:extent cx="1491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00" w:hanging="43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200025</wp:posOffset>
            </wp:positionV>
            <wp:extent cx="1491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firstLine="449"/>
        <w:spacing w:after="0" w:line="241" w:lineRule="auto"/>
        <w:rPr>
          <w:sz w:val="20"/>
          <w:szCs w:val="20"/>
          <w:color w:val="auto"/>
        </w:rPr>
      </w:pPr>
      <w:r>
        <w:rPr>
          <w:rFonts w:ascii="Times New Roman" w:cs="Times New Roman" w:eastAsia="Times New Roman" w:hAnsi="Times New Roman"/>
          <w:sz w:val="22"/>
          <w:szCs w:val="22"/>
          <w:b w:val="1"/>
          <w:bCs w:val="1"/>
          <w:color w:val="auto"/>
        </w:rPr>
        <w:t>Investment in our securities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214630</wp:posOffset>
            </wp:positionV>
            <wp:extent cx="1491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340"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5, 2020.</w:t>
      </w:r>
    </w:p>
    <w:p>
      <w:pPr>
        <w:sectPr>
          <w:pgSz w:w="11900" w:h="16838" w:orient="portrait"/>
          <w:cols w:equalWidth="0" w:num="1">
            <w:col w:w="11220"/>
          </w:cols>
          <w:pgMar w:left="320" w:top="455"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8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80" w:type="dxa"/>
            <w:vAlign w:val="bottom"/>
          </w:tcPr>
          <w:p>
            <w:pPr>
              <w:spacing w:after="0"/>
              <w:rPr>
                <w:sz w:val="17"/>
                <w:szCs w:val="17"/>
                <w:color w:val="auto"/>
              </w:rPr>
            </w:pPr>
          </w:p>
        </w:tc>
      </w:tr>
      <w:tr>
        <w:trPr>
          <w:trHeight w:val="493"/>
        </w:trPr>
        <w:tc>
          <w:tcPr>
            <w:tcW w:w="8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4"/>
                <w:szCs w:val="24"/>
                <w:color w:val="auto"/>
              </w:rPr>
            </w:pPr>
          </w:p>
        </w:tc>
      </w:tr>
      <w:tr>
        <w:trPr>
          <w:trHeight w:val="547"/>
        </w:trPr>
        <w:tc>
          <w:tcPr>
            <w:tcW w:w="2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ABOUT THIS PROSPECTUS</w:t>
            </w:r>
          </w:p>
        </w:tc>
        <w:tc>
          <w:tcPr>
            <w:tcW w:w="2300" w:type="dxa"/>
            <w:vAlign w:val="bottom"/>
            <w:gridSpan w:val="9"/>
          </w:tcPr>
          <w:p>
            <w:pPr>
              <w:spacing w:after="0"/>
              <w:rPr>
                <w:sz w:val="24"/>
                <w:szCs w:val="24"/>
                <w:color w:val="auto"/>
              </w:rPr>
            </w:pPr>
          </w:p>
        </w:tc>
        <w:tc>
          <w:tcPr>
            <w:tcW w:w="1920" w:type="dxa"/>
            <w:vAlign w:val="bottom"/>
            <w:tcBorders>
              <w:top w:val="single" w:sz="8" w:color="auto"/>
            </w:tcBorders>
            <w:gridSpan w:val="3"/>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4"/>
        </w:trPr>
        <w:tc>
          <w:tcPr>
            <w:tcW w:w="53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INCORPORATION OF CERTAIN DOCUMENTS BY REFERENCE</w:t>
            </w:r>
          </w:p>
        </w:tc>
        <w:tc>
          <w:tcPr>
            <w:tcW w:w="3420" w:type="dxa"/>
            <w:vAlign w:val="bottom"/>
            <w:gridSpan w:val="3"/>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04"/>
        </w:trPr>
        <w:tc>
          <w:tcPr>
            <w:tcW w:w="1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7460" w:type="dxa"/>
            <w:vAlign w:val="bottom"/>
            <w:gridSpan w:val="18"/>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04"/>
        </w:trPr>
        <w:tc>
          <w:tcPr>
            <w:tcW w:w="2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GENERAL MOTORS COMPANY</w:t>
            </w:r>
          </w:p>
        </w:tc>
        <w:tc>
          <w:tcPr>
            <w:tcW w:w="6080" w:type="dxa"/>
            <w:vAlign w:val="bottom"/>
            <w:gridSpan w:val="11"/>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04"/>
        </w:trPr>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7120" w:type="dxa"/>
            <w:vAlign w:val="bottom"/>
            <w:gridSpan w:val="15"/>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04"/>
        </w:trPr>
        <w:tc>
          <w:tcPr>
            <w:tcW w:w="3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7"/>
              </w:rPr>
              <w:t>FORWARD-LOOKING STATEMENTS</w:t>
            </w:r>
          </w:p>
        </w:tc>
        <w:tc>
          <w:tcPr>
            <w:tcW w:w="5680" w:type="dxa"/>
            <w:vAlign w:val="bottom"/>
            <w:gridSpan w:val="10"/>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04"/>
        </w:trPr>
        <w:tc>
          <w:tcPr>
            <w:tcW w:w="32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OVERVIEW OF OUR CAPITAL STOCK</w:t>
            </w:r>
          </w:p>
        </w:tc>
        <w:tc>
          <w:tcPr>
            <w:tcW w:w="5520" w:type="dxa"/>
            <w:vAlign w:val="bottom"/>
            <w:gridSpan w:val="7"/>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04"/>
        </w:trPr>
        <w:tc>
          <w:tcPr>
            <w:tcW w:w="58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9"/>
              </w:rPr>
              <w:t>GENERAL DESCRIPTION OF SECURITIES THAT MAY BE OFFERED</w:t>
            </w:r>
          </w:p>
        </w:tc>
        <w:tc>
          <w:tcPr>
            <w:tcW w:w="2980" w:type="dxa"/>
            <w:vAlign w:val="bottom"/>
            <w:gridSpan w:val="2"/>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4"/>
        </w:trPr>
        <w:tc>
          <w:tcPr>
            <w:tcW w:w="88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88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304"/>
        </w:trPr>
        <w:tc>
          <w:tcPr>
            <w:tcW w:w="33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5440" w:type="dxa"/>
            <w:vAlign w:val="bottom"/>
            <w:gridSpan w:val="6"/>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304"/>
        </w:trPr>
        <w:tc>
          <w:tcPr>
            <w:tcW w:w="31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5660" w:type="dxa"/>
            <w:vAlign w:val="bottom"/>
            <w:gridSpan w:val="9"/>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304"/>
        </w:trPr>
        <w:tc>
          <w:tcPr>
            <w:tcW w:w="26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180" w:type="dxa"/>
            <w:vAlign w:val="bottom"/>
            <w:gridSpan w:val="12"/>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304"/>
        </w:trPr>
        <w:tc>
          <w:tcPr>
            <w:tcW w:w="15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600" w:type="dxa"/>
            <w:vAlign w:val="bottom"/>
            <w:tcBorders>
              <w:top w:val="single" w:sz="8" w:color="0000EE"/>
            </w:tcBorders>
            <w:gridSpan w:val="2"/>
          </w:tcPr>
          <w:p>
            <w:pPr>
              <w:spacing w:after="0"/>
              <w:rPr>
                <w:sz w:val="24"/>
                <w:szCs w:val="24"/>
                <w:color w:val="auto"/>
              </w:rPr>
            </w:pPr>
          </w:p>
        </w:tc>
        <w:tc>
          <w:tcPr>
            <w:tcW w:w="6640" w:type="dxa"/>
            <w:vAlign w:val="bottom"/>
            <w:gridSpan w:val="14"/>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304"/>
        </w:trPr>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8"/>
              </w:rPr>
              <w:t>EXPERTS</w:t>
            </w:r>
          </w:p>
        </w:tc>
        <w:tc>
          <w:tcPr>
            <w:tcW w:w="7960" w:type="dxa"/>
            <w:vAlign w:val="bottom"/>
            <w:gridSpan w:val="19"/>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304"/>
        </w:trPr>
        <w:tc>
          <w:tcPr>
            <w:tcW w:w="40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4760" w:type="dxa"/>
            <w:vAlign w:val="bottom"/>
            <w:gridSpan w:val="5"/>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446"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62"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45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94" w:lineRule="exact"/>
        <w:rPr>
          <w:sz w:val="20"/>
          <w:szCs w:val="20"/>
          <w:color w:val="auto"/>
        </w:rPr>
      </w:pPr>
    </w:p>
    <w:p>
      <w:pPr>
        <w:ind w:left="1000" w:hanging="43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2">
        <w:r>
          <w:rPr>
            <w:rFonts w:ascii="Times New Roman" w:cs="Times New Roman" w:eastAsia="Times New Roman" w:hAnsi="Times New Roman"/>
            <w:sz w:val="18"/>
            <w:szCs w:val="18"/>
            <w:u w:val="single" w:color="auto"/>
            <w:color w:val="0000EE"/>
          </w:rPr>
          <w:t>Annual Report on Form 10-K for the fiscal year ended December 31,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5, 2020); and</w:t>
      </w:r>
    </w:p>
    <w:p>
      <w:pPr>
        <w:spacing w:after="0" w:line="130"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0"/>
          <w:numId w:val="24"/>
        </w:numPr>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auto"/>
          </w:rPr>
          <w:t xml:space="preserve">the description of our common stock set forth in </w:t>
        </w:r>
        <w:r>
          <w:rPr>
            <w:rFonts w:ascii="Times New Roman" w:cs="Times New Roman" w:eastAsia="Times New Roman" w:hAnsi="Times New Roman"/>
            <w:sz w:val="18"/>
            <w:szCs w:val="18"/>
            <w:u w:val="single" w:color="auto"/>
            <w:color w:val="0000EE"/>
          </w:rPr>
          <w:t>Exhibit 4.1 to our Annual Report on Form 10-K for the fiscal year ended December 31, 2019</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(filed with the SEC on February 5, 2020)</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auto"/>
        </w:rPr>
      </w:pPr>
    </w:p>
    <w:p>
      <w:pPr>
        <w:ind w:right="280" w:firstLine="449"/>
        <w:spacing w:after="0" w:line="289"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50"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38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rFonts w:ascii="Times New Roman" w:cs="Times New Roman" w:eastAsia="Times New Roman" w:hAnsi="Times New Roman"/>
          <w:sz w:val="18"/>
          <w:szCs w:val="18"/>
          <w:color w:val="auto"/>
        </w:rPr>
      </w:pPr>
    </w:p>
    <w:p>
      <w:pPr>
        <w:ind w:right="20" w:firstLine="449"/>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Investment in any of the securities involves risk. In addition to all of the other information contained or incorporated by reference into this prospectus </w:t>
      </w:r>
      <w:hyperlink r:id="rId72">
        <w:r>
          <w:rPr>
            <w:rFonts w:ascii="Times New Roman" w:cs="Times New Roman" w:eastAsia="Times New Roman" w:hAnsi="Times New Roman"/>
            <w:sz w:val="18"/>
            <w:szCs w:val="18"/>
            <w:color w:val="auto"/>
          </w:rPr>
          <w:t xml:space="preserve">and the accompanying prospectus supplement, you should carefully consider the risk factors incorporated by reference from our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10-K for the year ended December 31, 2019</w:t>
        </w:r>
        <w:r>
          <w:rPr>
            <w:rFonts w:ascii="Times New Roman" w:cs="Times New Roman" w:eastAsia="Times New Roman" w:hAnsi="Times New Roman"/>
            <w:sz w:val="18"/>
            <w:szCs w:val="18"/>
            <w:color w:val="000000"/>
          </w:rPr>
          <w:t>, as updated by our subsequent filings under the Exchange Act, including Forms 10-Q and 8-K, and the risk</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factors contained or incorporated by reference into the accompanying prospectus supplement before acquiring any of the securities.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45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worldwide through our automotive segments: GM North America and GM International. Cruise, formerly GM Cruise, is our global segment responsible for the development and commercialization of autonomous vehicle technology. We also provide automotive financing services through General Motors Financial Company, Inc. (GM Financial).</w:t>
      </w:r>
    </w:p>
    <w:p>
      <w:pPr>
        <w:spacing w:after="0" w:line="180"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455"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may include or incorporate by reference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and (23) any significant increase in our pension funding requirements. For a further discussion of these and other risks and uncertainties, refer to our Annual Report on Form 10-K for the year ended December 31, 2019, as updated by our subsequent filings under the Exchange Act, including Forms 10-Q and 8-K.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45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455"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229"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76" w:lineRule="exact"/>
        <w:rPr>
          <w:sz w:val="20"/>
          <w:szCs w:val="20"/>
          <w:color w:val="auto"/>
        </w:rPr>
      </w:pPr>
    </w:p>
    <w:p>
      <w:pPr>
        <w:ind w:right="560" w:firstLine="449"/>
        <w:spacing w:after="0" w:line="266"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As of January 24, 2020, 1,429,002,063 shares of our common stock were issued and outstanding. The general terms of our common stock are described below within the section of this prospectus entitled “Description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85" w:lineRule="exact"/>
        <w:rPr>
          <w:sz w:val="20"/>
          <w:szCs w:val="20"/>
          <w:color w:val="auto"/>
        </w:rPr>
      </w:pPr>
    </w:p>
    <w:p>
      <w:pPr>
        <w:ind w:left="1000" w:hanging="43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chairman of the Board of Directors, by a majority of the members of the Board of Directors or as otherwise provided by Delaware law or the Certificate of Incorporation. Our Bylaws further provide that the Board of Directors shall call a special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4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meeting upon the written request of the record holders of at least 25%, in the aggregate, of the voting power of the outstanding shares of all classes of shares entitled to vote at such a meeting, subject to requirements and limitations set forth in our Bylaws.</w:t>
      </w:r>
    </w:p>
    <w:p>
      <w:pPr>
        <w:spacing w:after="0" w:line="162"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121" w:lineRule="exact"/>
        <w:rPr>
          <w:sz w:val="20"/>
          <w:szCs w:val="20"/>
          <w:color w:val="auto"/>
        </w:rPr>
      </w:pPr>
    </w:p>
    <w:p>
      <w:pPr>
        <w:jc w:val="both"/>
        <w:ind w:right="340" w:firstLine="449"/>
        <w:spacing w:after="0" w:line="282"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62"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1" w:lineRule="exact"/>
        <w:rPr>
          <w:sz w:val="20"/>
          <w:szCs w:val="20"/>
          <w:color w:val="auto"/>
        </w:rPr>
      </w:pPr>
    </w:p>
    <w:p>
      <w:pPr>
        <w:ind w:left="1000" w:right="60" w:hanging="439"/>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67"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4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40" w:hanging="439"/>
        <w:spacing w:after="0" w:line="312"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4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76"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45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GENERAL DESCRIPTION OF SECURITIES THAT MAY BE OFFERED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00" w:hanging="43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455"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6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83" w:lineRule="exact"/>
        <w:rPr>
          <w:sz w:val="20"/>
          <w:szCs w:val="20"/>
          <w:color w:val="auto"/>
        </w:rPr>
      </w:pPr>
    </w:p>
    <w:p>
      <w:pPr>
        <w:jc w:val="both"/>
        <w:ind w:right="40" w:firstLine="449"/>
        <w:spacing w:after="0" w:line="289" w:lineRule="auto"/>
        <w:rPr>
          <w:sz w:val="20"/>
          <w:szCs w:val="20"/>
          <w:color w:val="auto"/>
        </w:rPr>
      </w:pPr>
      <w:r>
        <w:rPr>
          <w:rFonts w:ascii="Times New Roman" w:cs="Times New Roman" w:eastAsia="Times New Roman" w:hAnsi="Times New Roman"/>
          <w:sz w:val="17"/>
          <w:szCs w:val="17"/>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3"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67" w:lineRule="exact"/>
        <w:rPr>
          <w:sz w:val="20"/>
          <w:szCs w:val="20"/>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w:t>
      </w:r>
    </w:p>
    <w:p>
      <w:pPr>
        <w:spacing w:after="0" w:line="13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13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40" w:hanging="439"/>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130"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00" w:right="140" w:hanging="43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67" w:lineRule="exact"/>
        <w:rPr>
          <w:rFonts w:ascii="Times New Roman" w:cs="Times New Roman" w:eastAsia="Times New Roman" w:hAnsi="Times New Roman"/>
          <w:sz w:val="18"/>
          <w:szCs w:val="18"/>
          <w:color w:val="auto"/>
        </w:rPr>
      </w:pPr>
    </w:p>
    <w:p>
      <w:pPr>
        <w:ind w:left="1000" w:right="20" w:hanging="439"/>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00" w:right="240" w:hanging="43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67"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225"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w:t>
      </w:r>
    </w:p>
    <w:p>
      <w:pPr>
        <w:spacing w:after="0" w:line="67" w:lineRule="exact"/>
        <w:rPr>
          <w:sz w:val="20"/>
          <w:szCs w:val="20"/>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130" w:lineRule="exact"/>
        <w:rPr>
          <w:rFonts w:ascii="Times New Roman" w:cs="Times New Roman" w:eastAsia="Times New Roman" w:hAnsi="Times New Roman"/>
          <w:sz w:val="18"/>
          <w:szCs w:val="18"/>
          <w:color w:val="auto"/>
        </w:rPr>
      </w:pPr>
    </w:p>
    <w:p>
      <w:pPr>
        <w:ind w:left="1000" w:right="220" w:hanging="439"/>
        <w:spacing w:after="0" w:line="282"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(i) have become due and payable (whether at stated maturity, early redemption or otherwise), (ii) will become due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455"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line="254" w:lineRule="auto"/>
        <w:rPr>
          <w:sz w:val="20"/>
          <w:szCs w:val="20"/>
          <w:color w:val="auto"/>
        </w:rPr>
      </w:pPr>
      <w:r>
        <w:rPr>
          <w:rFonts w:ascii="Times New Roman" w:cs="Times New Roman" w:eastAsia="Times New Roman" w:hAnsi="Times New Roman"/>
          <w:sz w:val="18"/>
          <w:szCs w:val="18"/>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97" w:lineRule="exact"/>
        <w:rPr>
          <w:sz w:val="20"/>
          <w:szCs w:val="20"/>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130"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2"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85" w:lineRule="exact"/>
        <w:rPr>
          <w:sz w:val="20"/>
          <w:szCs w:val="20"/>
          <w:color w:val="auto"/>
        </w:rPr>
      </w:pPr>
    </w:p>
    <w:p>
      <w:pPr>
        <w:ind w:left="1000" w:right="100" w:hanging="54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67" w:lineRule="exact"/>
        <w:rPr>
          <w:rFonts w:ascii="Times New Roman" w:cs="Times New Roman" w:eastAsia="Times New Roman" w:hAnsi="Times New Roman"/>
          <w:sz w:val="18"/>
          <w:szCs w:val="18"/>
          <w:color w:val="auto"/>
        </w:rPr>
      </w:pPr>
    </w:p>
    <w:p>
      <w:pPr>
        <w:ind w:left="1000" w:right="160" w:hanging="547"/>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120" w:right="580" w:hanging="667"/>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dollars (or such other currency or composite currency in which such debt securities are denominated) in an amount sufficient;</w:t>
      </w:r>
    </w:p>
    <w:p>
      <w:pPr>
        <w:spacing w:after="0" w:line="130" w:lineRule="exact"/>
        <w:rPr>
          <w:rFonts w:ascii="Times New Roman" w:cs="Times New Roman" w:eastAsia="Times New Roman" w:hAnsi="Times New Roman"/>
          <w:sz w:val="18"/>
          <w:szCs w:val="18"/>
          <w:color w:val="auto"/>
        </w:rPr>
      </w:pPr>
    </w:p>
    <w:p>
      <w:pPr>
        <w:ind w:left="1460" w:right="140" w:hanging="332"/>
        <w:spacing w:after="0" w:line="282" w:lineRule="auto"/>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such cash and eligible obligations in an amount sufficient,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4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20" w:right="200"/>
        <w:spacing w:after="0" w:line="261" w:lineRule="auto"/>
        <w:rPr>
          <w:sz w:val="20"/>
          <w:szCs w:val="20"/>
          <w:color w:val="auto"/>
        </w:rPr>
      </w:pPr>
      <w:r>
        <w:rPr>
          <w:rFonts w:ascii="Times New Roman" w:cs="Times New Roman" w:eastAsia="Times New Roman" w:hAnsi="Times New Roman"/>
          <w:sz w:val="18"/>
          <w:szCs w:val="18"/>
          <w:color w:val="auto"/>
        </w:rPr>
        <w:t>in each case, in the opinion of a nationally recognized firm of independent certified public accountants, expressed in a written certification delivered to the trustee,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85" w:lineRule="exact"/>
        <w:rPr>
          <w:sz w:val="20"/>
          <w:szCs w:val="20"/>
          <w:color w:val="auto"/>
        </w:rPr>
      </w:pPr>
    </w:p>
    <w:p>
      <w:pPr>
        <w:ind w:left="1120" w:right="100" w:hanging="667"/>
        <w:spacing w:after="0" w:line="261"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120" w:right="60" w:hanging="667"/>
        <w:spacing w:after="0" w:line="266"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81" w:lineRule="exact"/>
        <w:rPr>
          <w:rFonts w:ascii="Times New Roman" w:cs="Times New Roman" w:eastAsia="Times New Roman" w:hAnsi="Times New Roman"/>
          <w:sz w:val="18"/>
          <w:szCs w:val="18"/>
          <w:color w:val="auto"/>
        </w:rPr>
      </w:pPr>
    </w:p>
    <w:p>
      <w:pPr>
        <w:ind w:left="1120" w:right="100" w:hanging="667"/>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120" w:right="80" w:hanging="667"/>
        <w:spacing w:after="0" w:line="266"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1" w:lineRule="exact"/>
        <w:rPr>
          <w:rFonts w:ascii="Times New Roman" w:cs="Times New Roman" w:eastAsia="Times New Roman" w:hAnsi="Times New Roman"/>
          <w:sz w:val="18"/>
          <w:szCs w:val="18"/>
          <w:color w:val="auto"/>
        </w:rPr>
      </w:pPr>
    </w:p>
    <w:p>
      <w:pPr>
        <w:ind w:left="1120" w:right="420" w:hanging="667"/>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agreement whereby we irrevocably agree to forfeit our rights, if any, to extend the interest payment periods on such debt securities pursuant to the indenture;</w:t>
      </w:r>
    </w:p>
    <w:p>
      <w:pPr>
        <w:spacing w:after="0" w:line="67" w:lineRule="exact"/>
        <w:rPr>
          <w:rFonts w:ascii="Times New Roman" w:cs="Times New Roman" w:eastAsia="Times New Roman" w:hAnsi="Times New Roman"/>
          <w:sz w:val="18"/>
          <w:szCs w:val="18"/>
          <w:color w:val="auto"/>
        </w:rPr>
      </w:pPr>
    </w:p>
    <w:p>
      <w:pPr>
        <w:ind w:left="1120" w:right="300" w:hanging="667"/>
        <w:spacing w:after="0" w:line="289" w:lineRule="auto"/>
        <w:tabs>
          <w:tab w:leader="none" w:pos="1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63" w:lineRule="exact"/>
        <w:rPr>
          <w:rFonts w:ascii="Times New Roman" w:cs="Times New Roman" w:eastAsia="Times New Roman" w:hAnsi="Times New Roman"/>
          <w:sz w:val="17"/>
          <w:szCs w:val="17"/>
          <w:color w:val="auto"/>
        </w:rPr>
      </w:pPr>
    </w:p>
    <w:p>
      <w:pPr>
        <w:ind w:left="1120" w:right="320" w:hanging="667"/>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120" w:right="80" w:hanging="667"/>
        <w:spacing w:after="0" w:line="258"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67" w:lineRule="exact"/>
        <w:rPr>
          <w:sz w:val="20"/>
          <w:szCs w:val="20"/>
          <w:color w:val="auto"/>
        </w:rPr>
      </w:pPr>
    </w:p>
    <w:p>
      <w:pPr>
        <w:ind w:left="1000" w:hanging="547"/>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45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180"/>
        <w:spacing w:after="0" w:line="282" w:lineRule="auto"/>
        <w:rPr>
          <w:sz w:val="20"/>
          <w:szCs w:val="20"/>
          <w:color w:val="auto"/>
        </w:rPr>
      </w:pPr>
      <w:r>
        <w:rPr>
          <w:rFonts w:ascii="Times New Roman" w:cs="Times New Roman" w:eastAsia="Times New Roman" w:hAnsi="Times New Roman"/>
          <w:sz w:val="18"/>
          <w:szCs w:val="18"/>
          <w:color w:val="auto"/>
        </w:rPr>
        <w:t>expressly assume by a supplemental indenture the due and punctual payment of the principal of (and premium, if any) and interest on all of the outstanding debt securities and the performance of our covenants under the indenture;</w:t>
      </w:r>
    </w:p>
    <w:p>
      <w:pPr>
        <w:spacing w:after="0" w:line="67" w:lineRule="exact"/>
        <w:rPr>
          <w:sz w:val="20"/>
          <w:szCs w:val="20"/>
          <w:color w:val="auto"/>
        </w:rPr>
      </w:pPr>
    </w:p>
    <w:p>
      <w:pPr>
        <w:ind w:left="1000" w:right="8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00" w:right="180" w:hanging="547"/>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76"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consent of the holder of each outstanding debt security so affected, no such supplemental indenture may:</w:t>
      </w:r>
    </w:p>
    <w:p>
      <w:pPr>
        <w:spacing w:after="0" w:line="94" w:lineRule="exact"/>
        <w:rPr>
          <w:sz w:val="20"/>
          <w:szCs w:val="20"/>
          <w:color w:val="auto"/>
        </w:rPr>
      </w:pPr>
    </w:p>
    <w:p>
      <w:pPr>
        <w:ind w:left="1000" w:right="40" w:hanging="547"/>
        <w:spacing w:after="0" w:line="255"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94" w:lineRule="exact"/>
        <w:rPr>
          <w:rFonts w:ascii="Times New Roman" w:cs="Times New Roman" w:eastAsia="Times New Roman" w:hAnsi="Times New Roman"/>
          <w:sz w:val="18"/>
          <w:szCs w:val="18"/>
          <w:color w:val="auto"/>
        </w:rPr>
      </w:pPr>
    </w:p>
    <w:p>
      <w:pPr>
        <w:ind w:left="1000" w:right="260" w:hanging="54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00" w:hanging="547"/>
        <w:spacing w:after="0" w:line="289"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45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67" w:lineRule="exact"/>
        <w:rPr>
          <w:sz w:val="20"/>
          <w:szCs w:val="20"/>
          <w:color w:val="auto"/>
        </w:rPr>
      </w:pPr>
    </w:p>
    <w:p>
      <w:pPr>
        <w:ind w:left="1120" w:right="320" w:hanging="667"/>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debt securities;</w:t>
      </w:r>
    </w:p>
    <w:p>
      <w:pPr>
        <w:spacing w:after="0" w:line="67" w:lineRule="exact"/>
        <w:rPr>
          <w:rFonts w:ascii="Times New Roman" w:cs="Times New Roman" w:eastAsia="Times New Roman" w:hAnsi="Times New Roman"/>
          <w:sz w:val="18"/>
          <w:szCs w:val="18"/>
          <w:color w:val="auto"/>
        </w:rPr>
      </w:pPr>
    </w:p>
    <w:p>
      <w:pPr>
        <w:ind w:left="1120" w:hanging="667"/>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debt securities, or to surrender any right or power conferred upon us under the indenture;</w:t>
      </w:r>
    </w:p>
    <w:p>
      <w:pPr>
        <w:spacing w:after="0" w:line="67" w:lineRule="exact"/>
        <w:rPr>
          <w:rFonts w:ascii="Times New Roman" w:cs="Times New Roman" w:eastAsia="Times New Roman" w:hAnsi="Times New Roman"/>
          <w:sz w:val="18"/>
          <w:szCs w:val="18"/>
          <w:color w:val="auto"/>
        </w:rPr>
      </w:pPr>
    </w:p>
    <w:p>
      <w:pPr>
        <w:ind w:left="1120" w:hanging="667"/>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debt securities;</w:t>
      </w:r>
    </w:p>
    <w:p>
      <w:pPr>
        <w:spacing w:after="0" w:line="130" w:lineRule="exact"/>
        <w:rPr>
          <w:rFonts w:ascii="Times New Roman" w:cs="Times New Roman" w:eastAsia="Times New Roman" w:hAnsi="Times New Roman"/>
          <w:sz w:val="18"/>
          <w:szCs w:val="18"/>
          <w:color w:val="auto"/>
        </w:rPr>
      </w:pPr>
    </w:p>
    <w:p>
      <w:pPr>
        <w:jc w:val="both"/>
        <w:ind w:left="1120" w:right="360" w:hanging="667"/>
        <w:spacing w:after="0" w:line="266"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1" w:lineRule="exact"/>
        <w:rPr>
          <w:rFonts w:ascii="Times New Roman" w:cs="Times New Roman" w:eastAsia="Times New Roman" w:hAnsi="Times New Roman"/>
          <w:sz w:val="18"/>
          <w:szCs w:val="18"/>
          <w:color w:val="auto"/>
        </w:rPr>
      </w:pPr>
    </w:p>
    <w:p>
      <w:pPr>
        <w:ind w:left="1120" w:right="120" w:hanging="667"/>
        <w:spacing w:after="0" w:line="258"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the indenture, or to add any new provision to the indenture, in respect of one or more series of debt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w:t>
      </w:r>
    </w:p>
    <w:p>
      <w:pPr>
        <w:spacing w:after="0" w:line="88" w:lineRule="exact"/>
        <w:rPr>
          <w:rFonts w:ascii="Times New Roman" w:cs="Times New Roman" w:eastAsia="Times New Roman" w:hAnsi="Times New Roman"/>
          <w:sz w:val="18"/>
          <w:szCs w:val="18"/>
          <w:color w:val="auto"/>
        </w:rPr>
      </w:pPr>
    </w:p>
    <w:p>
      <w:pPr>
        <w:ind w:left="1120" w:right="840" w:hanging="667"/>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debt securities of any series and to provide for the terms and conditions of release or substitution thereof;</w:t>
      </w:r>
    </w:p>
    <w:p>
      <w:pPr>
        <w:spacing w:after="0" w:line="67" w:lineRule="exact"/>
        <w:rPr>
          <w:rFonts w:ascii="Times New Roman" w:cs="Times New Roman" w:eastAsia="Times New Roman" w:hAnsi="Times New Roman"/>
          <w:sz w:val="18"/>
          <w:szCs w:val="18"/>
          <w:color w:val="auto"/>
        </w:rPr>
      </w:pPr>
    </w:p>
    <w:p>
      <w:pPr>
        <w:ind w:left="1120" w:right="140" w:hanging="667"/>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debt securities of any series or tranche thereof as permitted by the indenture;</w:t>
      </w:r>
    </w:p>
    <w:p>
      <w:pPr>
        <w:spacing w:after="0" w:line="67" w:lineRule="exact"/>
        <w:rPr>
          <w:rFonts w:ascii="Times New Roman" w:cs="Times New Roman" w:eastAsia="Times New Roman" w:hAnsi="Times New Roman"/>
          <w:sz w:val="18"/>
          <w:szCs w:val="18"/>
          <w:color w:val="auto"/>
        </w:rPr>
      </w:pPr>
    </w:p>
    <w:p>
      <w:pPr>
        <w:ind w:left="1120" w:hanging="667"/>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all, or any series or tranche of, certificated debt securities;</w:t>
      </w:r>
    </w:p>
    <w:p>
      <w:pPr>
        <w:spacing w:after="0" w:line="130" w:lineRule="exact"/>
        <w:rPr>
          <w:rFonts w:ascii="Times New Roman" w:cs="Times New Roman" w:eastAsia="Times New Roman" w:hAnsi="Times New Roman"/>
          <w:sz w:val="18"/>
          <w:szCs w:val="18"/>
          <w:color w:val="auto"/>
        </w:rPr>
      </w:pPr>
    </w:p>
    <w:p>
      <w:pPr>
        <w:ind w:left="1120" w:right="200" w:hanging="667"/>
        <w:spacing w:after="0" w:line="266"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81" w:lineRule="exact"/>
        <w:rPr>
          <w:rFonts w:ascii="Times New Roman" w:cs="Times New Roman" w:eastAsia="Times New Roman" w:hAnsi="Times New Roman"/>
          <w:sz w:val="18"/>
          <w:szCs w:val="18"/>
          <w:color w:val="auto"/>
        </w:rPr>
      </w:pPr>
    </w:p>
    <w:p>
      <w:pPr>
        <w:ind w:left="1120" w:hanging="667"/>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w:t>
      </w:r>
    </w:p>
    <w:p>
      <w:pPr>
        <w:spacing w:after="0" w:line="130" w:lineRule="exact"/>
        <w:rPr>
          <w:rFonts w:ascii="Times New Roman" w:cs="Times New Roman" w:eastAsia="Times New Roman" w:hAnsi="Times New Roman"/>
          <w:sz w:val="18"/>
          <w:szCs w:val="18"/>
          <w:color w:val="auto"/>
        </w:rPr>
      </w:pPr>
    </w:p>
    <w:p>
      <w:pPr>
        <w:ind w:left="1120" w:right="100" w:hanging="667"/>
        <w:spacing w:after="0" w:line="261"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85" w:lineRule="exact"/>
        <w:rPr>
          <w:rFonts w:ascii="Times New Roman" w:cs="Times New Roman" w:eastAsia="Times New Roman" w:hAnsi="Times New Roman"/>
          <w:sz w:val="18"/>
          <w:szCs w:val="18"/>
          <w:color w:val="auto"/>
        </w:rPr>
      </w:pPr>
    </w:p>
    <w:p>
      <w:pPr>
        <w:ind w:left="1120" w:right="60" w:hanging="667"/>
        <w:spacing w:after="0" w:line="261"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85" w:lineRule="exact"/>
        <w:rPr>
          <w:rFonts w:ascii="Times New Roman" w:cs="Times New Roman" w:eastAsia="Times New Roman" w:hAnsi="Times New Roman"/>
          <w:sz w:val="18"/>
          <w:szCs w:val="18"/>
          <w:color w:val="auto"/>
        </w:rPr>
      </w:pPr>
    </w:p>
    <w:p>
      <w:pPr>
        <w:ind w:left="1120" w:hanging="667"/>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67" w:lineRule="exact"/>
        <w:rPr>
          <w:rFonts w:ascii="Times New Roman" w:cs="Times New Roman" w:eastAsia="Times New Roman" w:hAnsi="Times New Roman"/>
          <w:sz w:val="18"/>
          <w:szCs w:val="18"/>
          <w:color w:val="auto"/>
        </w:rPr>
      </w:pPr>
    </w:p>
    <w:p>
      <w:pPr>
        <w:ind w:left="1120" w:right="300" w:hanging="667"/>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45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120" w:right="280" w:hanging="667"/>
        <w:spacing w:after="0" w:line="267"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other provisions with respect to matters or questions arising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75" w:lineRule="exact"/>
        <w:rPr>
          <w:sz w:val="20"/>
          <w:szCs w:val="20"/>
          <w:color w:val="auto"/>
        </w:rPr>
      </w:pPr>
    </w:p>
    <w:p>
      <w:pPr>
        <w:ind w:right="480" w:firstLine="449"/>
        <w:spacing w:after="0" w:line="266" w:lineRule="auto"/>
        <w:rPr>
          <w:sz w:val="20"/>
          <w:szCs w:val="20"/>
          <w:color w:val="auto"/>
        </w:rPr>
      </w:pPr>
      <w:r>
        <w:rPr>
          <w:rFonts w:ascii="Times New Roman" w:cs="Times New Roman" w:eastAsia="Times New Roman" w:hAnsi="Times New Roman"/>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67" w:lineRule="exact"/>
        <w:rPr>
          <w:sz w:val="20"/>
          <w:szCs w:val="20"/>
          <w:color w:val="auto"/>
        </w:rPr>
      </w:pPr>
    </w:p>
    <w:p>
      <w:pPr>
        <w:ind w:left="1000" w:right="140" w:hanging="547"/>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interest on any debt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1"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00" w:hanging="547"/>
        <w:spacing w:after="0" w:line="25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88"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8"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45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94"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67" w:lineRule="exact"/>
        <w:rPr>
          <w:sz w:val="20"/>
          <w:szCs w:val="20"/>
          <w:color w:val="auto"/>
        </w:rPr>
      </w:pPr>
    </w:p>
    <w:p>
      <w:pPr>
        <w:ind w:left="1000" w:hanging="43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00" w:right="180" w:hanging="439"/>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67" w:lineRule="exact"/>
        <w:rPr>
          <w:rFonts w:ascii="Times New Roman" w:cs="Times New Roman" w:eastAsia="Times New Roman" w:hAnsi="Times New Roman"/>
          <w:sz w:val="18"/>
          <w:szCs w:val="18"/>
          <w:color w:val="auto"/>
        </w:rPr>
      </w:pPr>
    </w:p>
    <w:p>
      <w:pPr>
        <w:ind w:left="1000" w:right="80" w:hanging="439"/>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1000" w:right="440" w:hanging="439"/>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event of default has occurred and is continuing with respect to more than one series of debt securities of equal ranking,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455"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00" w:right="460" w:hanging="439"/>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67" w:lineRule="exact"/>
        <w:rPr>
          <w:rFonts w:ascii="Times New Roman" w:cs="Times New Roman" w:eastAsia="Times New Roman" w:hAnsi="Times New Roman"/>
          <w:sz w:val="18"/>
          <w:szCs w:val="18"/>
          <w:color w:val="auto"/>
        </w:rPr>
      </w:pPr>
    </w:p>
    <w:p>
      <w:pPr>
        <w:ind w:left="1000" w:right="100" w:hanging="439"/>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76"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right="100" w:firstLine="449"/>
        <w:spacing w:after="0" w:line="277" w:lineRule="auto"/>
        <w:rPr>
          <w:sz w:val="20"/>
          <w:szCs w:val="20"/>
          <w:color w:val="auto"/>
        </w:rPr>
      </w:pPr>
      <w:r>
        <w:rPr>
          <w:rFonts w:ascii="Times New Roman" w:cs="Times New Roman" w:eastAsia="Times New Roman" w:hAnsi="Times New Roman"/>
          <w:sz w:val="17"/>
          <w:szCs w:val="17"/>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68"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1" w:lineRule="exact"/>
        <w:rPr>
          <w:sz w:val="20"/>
          <w:szCs w:val="20"/>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130" w:lineRule="exact"/>
        <w:rPr>
          <w:rFonts w:ascii="Times New Roman" w:cs="Times New Roman" w:eastAsia="Times New Roman" w:hAnsi="Times New Roman"/>
          <w:sz w:val="18"/>
          <w:szCs w:val="18"/>
          <w:color w:val="auto"/>
        </w:rPr>
      </w:pPr>
    </w:p>
    <w:p>
      <w:pPr>
        <w:ind w:left="1000" w:right="480" w:hanging="439"/>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6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5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or an indirect participant in DTC, on the procedures of the DTC participant through which the investor owns its interest).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global security may be exchanged for debt securities in physical, certificated form (which would be registered in such names as DTC shall direct)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if:</w:t>
      </w:r>
    </w:p>
    <w:p>
      <w:pPr>
        <w:spacing w:after="0" w:line="112" w:lineRule="exact"/>
        <w:rPr>
          <w:sz w:val="20"/>
          <w:szCs w:val="20"/>
          <w:color w:val="auto"/>
        </w:rPr>
      </w:pPr>
    </w:p>
    <w:p>
      <w:pPr>
        <w:ind w:left="1000" w:right="260" w:hanging="439"/>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455"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24, 2020, there were no shares of preferred stock outstanding. The terms of any shares of preferred stock offered pursuant to this prospectus will be set forth in an applicable prospectus supplement.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455"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only class of common stock is our common stock, par value $0.01 per share. Our Certificate of Incorporation currently authorizes our Board of Directors to issue 5,000,000,000 shares of common stock. As of January 24, 2020, 1,429,002,063 shares of our common stock were issued and outstanding. There are no redemption or sinking fund provisions applicable to our common stock. All outstanding shares of our common stock are fully paid and non-assessable.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0"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24, 2020, there were no shares of preferred stock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45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455"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Honigman LLP.</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General Motors Company as of and for the years ended December 31, 2019 and 2018, incorporated in this Prospectus by reference from the Company’s </w:t>
      </w:r>
      <w:hyperlink r:id="rId72">
        <w:r>
          <w:rPr>
            <w:rFonts w:ascii="Times New Roman" w:cs="Times New Roman" w:eastAsia="Times New Roman" w:hAnsi="Times New Roman"/>
            <w:sz w:val="18"/>
            <w:szCs w:val="18"/>
            <w:u w:val="single" w:color="auto"/>
            <w:color w:val="0000EE"/>
          </w:rPr>
          <w:t>Annual Report on Form 10-K for the year ended December 31, 2019</w:t>
        </w:r>
      </w:hyperlink>
      <w:r>
        <w:rPr>
          <w:rFonts w:ascii="Times New Roman" w:cs="Times New Roman" w:eastAsia="Times New Roman" w:hAnsi="Times New Roman"/>
          <w:sz w:val="18"/>
          <w:szCs w:val="18"/>
          <w:color w:val="auto"/>
        </w:rPr>
        <w:t>, and the effectiveness of General Motors Company’s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3" w:lineRule="exact"/>
        <w:rPr>
          <w:sz w:val="20"/>
          <w:szCs w:val="20"/>
          <w:color w:val="auto"/>
        </w:rPr>
      </w:pPr>
    </w:p>
    <w:p>
      <w:pPr>
        <w:jc w:val="both"/>
        <w:ind w:right="140" w:firstLine="4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of General Motors Company as of and for the year ended December 31, 2017, incorporated in this Prospectus by reference from the Company’s </w:t>
      </w:r>
      <w:hyperlink r:id="rId72">
        <w:r>
          <w:rPr>
            <w:rFonts w:ascii="Times New Roman" w:cs="Times New Roman" w:eastAsia="Times New Roman" w:hAnsi="Times New Roman"/>
            <w:sz w:val="18"/>
            <w:szCs w:val="18"/>
            <w:u w:val="single" w:color="auto"/>
            <w:color w:val="0000EE"/>
          </w:rPr>
          <w:t>Annual Report on Form 10-K for the year ended December 31, 2019</w:t>
        </w:r>
      </w:hyperlink>
      <w:r>
        <w:rPr>
          <w:rFonts w:ascii="Times New Roman" w:cs="Times New Roman" w:eastAsia="Times New Roman" w:hAnsi="Times New Roman"/>
          <w:sz w:val="18"/>
          <w:szCs w:val="18"/>
          <w:color w:val="auto"/>
        </w:rPr>
        <w:t>,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Our SEC filings are available to the public through the Internet at the SEC’s website at http://www.sec.gov.</w:t>
      </w:r>
    </w:p>
    <w:p>
      <w:pPr>
        <w:spacing w:after="0" w:line="162"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76"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45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00A887"/>
        </w:rPr>
        <w:t>$2,250,000,000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344170</wp:posOffset>
            </wp:positionV>
            <wp:extent cx="3480435" cy="445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480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5"/>
          <w:szCs w:val="25"/>
          <w:b w:val="1"/>
          <w:bCs w:val="1"/>
          <w:color w:val="00A887"/>
        </w:rPr>
        <w:t>$1,000,000,000 5.400% Senior Notes due 2029</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5"/>
          <w:szCs w:val="25"/>
          <w:b w:val="1"/>
          <w:bCs w:val="1"/>
          <w:color w:val="00A887"/>
        </w:rPr>
        <w:t>$1,250,000,000 5.600%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542925</wp:posOffset>
            </wp:positionV>
            <wp:extent cx="14916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Joint Book-Running Managers</w:t>
      </w:r>
    </w:p>
    <w:p>
      <w:pPr>
        <w:sectPr>
          <w:pgSz w:w="11900" w:h="16838" w:orient="portrait"/>
          <w:cols w:equalWidth="0" w:num="1">
            <w:col w:w="11240"/>
          </w:cols>
          <w:pgMar w:left="320" w:top="455" w:right="33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BNP PARIBAS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45" w:lineRule="exact"/>
        <w:rPr>
          <w:sz w:val="20"/>
          <w:szCs w:val="20"/>
          <w:color w:val="auto"/>
        </w:rPr>
      </w:pPr>
    </w:p>
    <w:p>
      <w:pPr>
        <w:sectPr>
          <w:pgSz w:w="11900" w:h="16838" w:orient="portrait"/>
          <w:cols w:equalWidth="0" w:num="4">
            <w:col w:w="2000" w:space="720"/>
            <w:col w:w="4140" w:space="720"/>
            <w:col w:w="2040" w:space="720"/>
            <w:col w:w="900"/>
          </w:cols>
          <w:pgMar w:left="320" w:top="455" w:right="33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21"/>
          <w:szCs w:val="21"/>
          <w:i w:val="1"/>
          <w:iCs w:val="1"/>
          <w:color w:val="auto"/>
        </w:rPr>
        <w:t>Sustainability Agent</w:t>
      </w:r>
    </w:p>
    <w:p>
      <w:pPr>
        <w:sectPr>
          <w:pgSz w:w="11900" w:h="16838" w:orient="portrait"/>
          <w:cols w:equalWidth="0" w:num="1">
            <w:col w:w="11240"/>
          </w:cols>
          <w:pgMar w:left="320" w:top="455"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Credit Agricole CIB</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Morgan Stanley</w:t>
      </w:r>
    </w:p>
    <w:p>
      <w:pPr>
        <w:spacing w:after="0" w:line="35" w:lineRule="exact"/>
        <w:rPr>
          <w:sz w:val="20"/>
          <w:szCs w:val="20"/>
          <w:color w:val="auto"/>
        </w:rPr>
      </w:pPr>
    </w:p>
    <w:p>
      <w:pPr>
        <w:sectPr>
          <w:pgSz w:w="11900" w:h="16838" w:orient="portrait"/>
          <w:cols w:equalWidth="0" w:num="4">
            <w:col w:w="2000" w:space="720"/>
            <w:col w:w="4440" w:space="720"/>
            <w:col w:w="1160" w:space="720"/>
            <w:col w:w="1480"/>
          </w:cols>
          <w:pgMar w:left="320" w:top="45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i w:val="1"/>
          <w:iCs w:val="1"/>
          <w:color w:val="auto"/>
        </w:rPr>
        <w:t>Sustainability Agent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Joint Lead Managers</w:t>
      </w:r>
    </w:p>
    <w:p>
      <w:pPr>
        <w:sectPr>
          <w:pgSz w:w="11900" w:h="16838" w:orient="portrait"/>
          <w:cols w:equalWidth="0" w:num="1">
            <w:col w:w="11240"/>
          </w:cols>
          <w:pgMar w:left="320" w:top="455" w:right="339" w:bottom="1440" w:gutter="0" w:footer="0" w:header="0"/>
          <w:type w:val="continuous"/>
        </w:sectPr>
      </w:pP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BBVA</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Mizuho Securities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Deutsche Bank Securities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Santander</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IMI – Intesa Sanpaolo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SOCIETE GENERALE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Lloyds Securities</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SMBC Nikko</w:t>
      </w:r>
    </w:p>
    <w:p>
      <w:pPr>
        <w:spacing w:after="0" w:line="200" w:lineRule="exact"/>
        <w:rPr>
          <w:sz w:val="20"/>
          <w:szCs w:val="20"/>
          <w:color w:val="auto"/>
        </w:rPr>
      </w:pPr>
    </w:p>
    <w:p>
      <w:pPr>
        <w:sectPr>
          <w:pgSz w:w="11900" w:h="16838" w:orient="portrait"/>
          <w:cols w:equalWidth="0" w:num="4">
            <w:col w:w="2420" w:space="720"/>
            <w:col w:w="2800" w:space="720"/>
            <w:col w:w="2240" w:space="720"/>
            <w:col w:w="1620"/>
          </w:cols>
          <w:pgMar w:left="320" w:top="455" w:right="339" w:bottom="1440" w:gutter="0" w:footer="0" w:header="0"/>
          <w:type w:val="continuous"/>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Co-Managers</w:t>
      </w:r>
    </w:p>
    <w:p>
      <w:pPr>
        <w:sectPr>
          <w:pgSz w:w="11900" w:h="16838" w:orient="portrait"/>
          <w:cols w:equalWidth="0" w:num="1">
            <w:col w:w="11240"/>
          </w:cols>
          <w:pgMar w:left="320" w:top="455" w:right="339" w:bottom="1440" w:gutter="0" w:footer="0" w:header="0"/>
          <w:type w:val="continuous"/>
        </w:sectPr>
      </w:pPr>
    </w:p>
    <w:p>
      <w:pPr>
        <w:spacing w:after="0" w:line="262" w:lineRule="exact"/>
        <w:rPr>
          <w:sz w:val="20"/>
          <w:szCs w:val="20"/>
          <w:color w:val="auto"/>
        </w:rPr>
      </w:pPr>
    </w:p>
    <w:p>
      <w:pPr>
        <w:ind w:left="420" w:right="460" w:firstLine="99"/>
        <w:spacing w:after="0" w:line="281" w:lineRule="auto"/>
        <w:rPr>
          <w:sz w:val="20"/>
          <w:szCs w:val="20"/>
          <w:color w:val="auto"/>
        </w:rPr>
      </w:pPr>
      <w:r>
        <w:rPr>
          <w:rFonts w:ascii="Times New Roman" w:cs="Times New Roman" w:eastAsia="Times New Roman" w:hAnsi="Times New Roman"/>
          <w:sz w:val="16"/>
          <w:szCs w:val="16"/>
          <w:b w:val="1"/>
          <w:bCs w:val="1"/>
          <w:color w:val="auto"/>
        </w:rPr>
        <w:t>COMMERZBANK ICBC Standard Bank Scotiabank TD Securities Wells Fargo Securities C.L. King &amp; Associates Ramirez &amp; Co., Inc.</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Truist Securities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Loop Capital Markets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RBC Capital Markets</w:t>
      </w:r>
    </w:p>
    <w:p>
      <w:pPr>
        <w:spacing w:after="0" w:line="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UniCredit Capital Markets</w:t>
      </w:r>
    </w:p>
    <w:p>
      <w:pPr>
        <w:spacing w:after="0" w:line="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Mischler Financial Group,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Siebert Williams Shank</w:t>
      </w:r>
    </w:p>
    <w:p>
      <w:pPr>
        <w:spacing w:after="0" w:line="200" w:lineRule="exact"/>
        <w:rPr>
          <w:sz w:val="20"/>
          <w:szCs w:val="20"/>
          <w:color w:val="auto"/>
        </w:rPr>
      </w:pPr>
    </w:p>
    <w:p>
      <w:pPr>
        <w:sectPr>
          <w:pgSz w:w="11900" w:h="16838" w:orient="portrait"/>
          <w:cols w:equalWidth="0" w:num="3">
            <w:col w:w="5100" w:space="720"/>
            <w:col w:w="1540" w:space="100"/>
            <w:col w:w="3780"/>
          </w:cols>
          <w:pgMar w:left="320" w:top="455"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815975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884555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424(b)(5)</w:t>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(Form Type)</w:t>
      </w:r>
    </w:p>
    <w:p>
      <w:pPr>
        <w:spacing w:after="0" w:line="17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General Motors Company</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1: Newly Registered and Carry Forward Securities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0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3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3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3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3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3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3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of</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to</w:t>
            </w: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Class</w:t>
            </w: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Forward</w:t>
            </w:r>
          </w:p>
        </w:tc>
        <w:tc>
          <w:tcPr>
            <w:tcW w:w="1340" w:type="dxa"/>
            <w:vAlign w:val="bottom"/>
            <w:tcBorders>
              <w:right w:val="single" w:sz="8" w:color="auto"/>
            </w:tcBorders>
          </w:tcPr>
          <w:p>
            <w:pPr>
              <w:jc w:val="right"/>
              <w:ind w:right="357"/>
              <w:spacing w:after="0" w:line="126" w:lineRule="exact"/>
              <w:rPr>
                <w:sz w:val="20"/>
                <w:szCs w:val="20"/>
                <w:color w:val="auto"/>
              </w:rPr>
            </w:pPr>
            <w:r>
              <w:rPr>
                <w:rFonts w:ascii="Times New Roman" w:cs="Times New Roman" w:eastAsia="Times New Roman" w:hAnsi="Times New Roman"/>
                <w:sz w:val="13"/>
                <w:szCs w:val="13"/>
                <w:color w:val="auto"/>
              </w:rPr>
              <w:t>Amount</w:t>
            </w:r>
          </w:p>
        </w:tc>
        <w:tc>
          <w:tcPr>
            <w:tcW w:w="8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rPr>
              <w:t>Per</w:t>
            </w:r>
          </w:p>
        </w:tc>
        <w:tc>
          <w:tcPr>
            <w:tcW w:w="13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Aggregate</w:t>
            </w:r>
          </w:p>
        </w:tc>
        <w:tc>
          <w:tcPr>
            <w:tcW w:w="840" w:type="dxa"/>
            <w:vAlign w:val="bottom"/>
            <w:tcBorders>
              <w:right w:val="single" w:sz="8" w:color="auto"/>
            </w:tcBorders>
          </w:tcPr>
          <w:p>
            <w:pPr>
              <w:jc w:val="right"/>
              <w:ind w:right="224"/>
              <w:spacing w:after="0" w:line="126" w:lineRule="exact"/>
              <w:rPr>
                <w:sz w:val="20"/>
                <w:szCs w:val="20"/>
                <w:color w:val="auto"/>
              </w:rPr>
            </w:pPr>
            <w:r>
              <w:rPr>
                <w:rFonts w:ascii="Times New Roman" w:cs="Times New Roman" w:eastAsia="Times New Roman" w:hAnsi="Times New Roman"/>
                <w:sz w:val="13"/>
                <w:szCs w:val="13"/>
                <w:color w:val="auto"/>
              </w:rPr>
              <w:t>Fee</w:t>
            </w:r>
          </w:p>
        </w:tc>
        <w:tc>
          <w:tcPr>
            <w:tcW w:w="11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Registration</w:t>
            </w:r>
          </w:p>
        </w:tc>
        <w:tc>
          <w:tcPr>
            <w:tcW w:w="5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Form</w:t>
            </w:r>
          </w:p>
        </w:tc>
        <w:tc>
          <w:tcPr>
            <w:tcW w:w="600" w:type="dxa"/>
            <w:vAlign w:val="bottom"/>
            <w:tcBorders>
              <w:right w:val="single" w:sz="8" w:color="auto"/>
            </w:tcBorders>
          </w:tcPr>
          <w:p>
            <w:pPr>
              <w:jc w:val="center"/>
              <w:ind w:left="12"/>
              <w:spacing w:after="0" w:line="126" w:lineRule="exact"/>
              <w:rPr>
                <w:sz w:val="20"/>
                <w:szCs w:val="20"/>
                <w:color w:val="auto"/>
              </w:rPr>
            </w:pPr>
            <w:r>
              <w:rPr>
                <w:rFonts w:ascii="Times New Roman" w:cs="Times New Roman" w:eastAsia="Times New Roman" w:hAnsi="Times New Roman"/>
                <w:sz w:val="13"/>
                <w:szCs w:val="13"/>
                <w:color w:val="auto"/>
                <w:w w:val="98"/>
              </w:rPr>
              <w:t>File</w:t>
            </w:r>
          </w:p>
        </w:tc>
        <w:tc>
          <w:tcPr>
            <w:tcW w:w="5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be Carried</w:t>
            </w: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34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840" w:type="dxa"/>
            <w:vAlign w:val="bottom"/>
            <w:tcBorders>
              <w:bottom w:val="single" w:sz="8" w:color="auto"/>
              <w:right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color w:val="auto"/>
              </w:rPr>
              <w:t>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3"/>
        </w:trPr>
        <w:tc>
          <w:tcPr>
            <w:tcW w:w="110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5.400%</w:t>
            </w: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Note</w:t>
            </w: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Fees to Be</w:t>
            </w: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w:t>
            </w: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99.908%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$999,080,000</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.0000927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$92,614.72</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5.600%</w:t>
            </w: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Note</w:t>
            </w: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Fees to Be</w:t>
            </w: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w:t>
            </w: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99.756%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$1,246,950,000</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.0000927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$115,592.27</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w:t>
            </w: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Previously</w:t>
            </w: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0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ind w:left="5"/>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8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$2,246,030,000</w:t>
            </w:r>
          </w:p>
        </w:tc>
        <w:tc>
          <w:tcPr>
            <w:tcW w:w="8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$208,206.98</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8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8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$208,206.98</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6"/>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54E49E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lvl w:ilvl="1">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lowerRoman"/>
      <w:start w:val="1"/>
    </w:lvl>
  </w:abstractNum>
  <w:abstractNum w:abstractNumId="15">
    <w:nsid w:val="7C3DBD3D"/>
    <w:multiLevelType w:val="hybridMultilevel"/>
    <w:lvl w:ilvl="0">
      <w:lvlJc w:val="left"/>
      <w:lvlText w:val="(%1)"/>
      <w:numFmt w:val="lowerRoman"/>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2"/>
    </w:lvl>
  </w:abstractNum>
  <w:abstractNum w:abstractNumId="18">
    <w:nsid w:val="22221A70"/>
    <w:multiLevelType w:val="hybridMultilevel"/>
    <w:lvl w:ilvl="0">
      <w:lvlJc w:val="left"/>
      <w:lvlText w:val="(%1)"/>
      <w:numFmt w:val="lowerRoman"/>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Roman"/>
      <w:start w:val="2"/>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lowerRoman"/>
      <w:start w:val="1"/>
    </w:lvl>
    <w:lvl w:ilvl="1">
      <w:lvlJc w:val="left"/>
      <w:lvlText w:val="•"/>
      <w:numFmt w:val="bullet"/>
      <w:start w:val="1"/>
    </w:lvl>
  </w:abstractNum>
  <w:abstractNum w:abstractNumId="31">
    <w:nsid w:val="5E884ADC"/>
    <w:multiLevelType w:val="hybridMultilevel"/>
    <w:lvl w:ilvl="0">
      <w:lvlJc w:val="left"/>
      <w:lvlText w:val="(%1)"/>
      <w:numFmt w:val="lowerRoman"/>
      <w:start w:val="2"/>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lowerRoman"/>
      <w:start w:val="1"/>
    </w:lvl>
    <w:lvl w:ilvl="1">
      <w:lvlJc w:val="left"/>
      <w:lvlText w:val="•"/>
      <w:numFmt w:val="bullet"/>
      <w:start w:val="1"/>
    </w:lvl>
  </w:abstractNum>
  <w:abstractNum w:abstractNumId="34">
    <w:nsid w:val="580BD78F"/>
    <w:multiLevelType w:val="hybridMultilevel"/>
    <w:lvl w:ilvl="0">
      <w:lvlJc w:val="left"/>
      <w:lvlText w:val="(%1)"/>
      <w:numFmt w:val="lowerRoman"/>
      <w:start w:val="2"/>
    </w:lvl>
  </w:abstractNum>
  <w:abstractNum w:abstractNumId="35">
    <w:nsid w:val="153EA438"/>
    <w:multiLevelType w:val="hybridMultilevel"/>
    <w:lvl w:ilvl="0">
      <w:lvlJc w:val="left"/>
      <w:lvlText w:val="(%1)"/>
      <w:numFmt w:val="lowerRoman"/>
      <w:start w:val="1"/>
    </w:lvl>
  </w:abstractNum>
  <w:abstractNum w:abstractNumId="36">
    <w:nsid w:val="3855585C"/>
    <w:multiLevelType w:val="hybridMultilevel"/>
    <w:lvl w:ilvl="0">
      <w:lvlJc w:val="left"/>
      <w:lvlText w:val="(%1)"/>
      <w:numFmt w:val="lowerRoman"/>
      <w:start w:val="2"/>
    </w:lvl>
  </w:abstractNum>
  <w:abstractNum w:abstractNumId="37">
    <w:nsid w:val="70A64E2A"/>
    <w:multiLevelType w:val="hybridMultilevel"/>
    <w:lvl w:ilvl="0">
      <w:lvlJc w:val="left"/>
      <w:lvlText w:val="(%1)"/>
      <w:numFmt w:val="lowerRoman"/>
      <w:start w:val="1"/>
    </w:lvl>
  </w:abstractNum>
  <w:abstractNum w:abstractNumId="38">
    <w:nsid w:val="6A2342EC"/>
    <w:multiLevelType w:val="hybridMultilevel"/>
    <w:lvl w:ilvl="0">
      <w:lvlJc w:val="left"/>
      <w:lvlText w:val="(%1)"/>
      <w:numFmt w:val="lowerRoman"/>
      <w:start w:val="1"/>
    </w:lvl>
  </w:abstractNum>
  <w:abstractNum w:abstractNumId="39">
    <w:nsid w:val="2A487CB0"/>
    <w:multiLevelType w:val="hybridMultilevel"/>
    <w:lvl w:ilvl="0">
      <w:lvlJc w:val="left"/>
      <w:lvlText w:val="(%1)"/>
      <w:numFmt w:val="lowerRoman"/>
      <w:start w:val="15"/>
    </w:lvl>
  </w:abstractNum>
  <w:abstractNum w:abstractNumId="40">
    <w:nsid w:val="1D4ED43B"/>
    <w:multiLevelType w:val="hybridMultilevel"/>
    <w:lvl w:ilvl="0">
      <w:lvlJc w:val="left"/>
      <w:lvlText w:val="(%1)"/>
      <w:numFmt w:val="lowerRoman"/>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jpe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56" Type="http://schemas.openxmlformats.org/officeDocument/2006/relationships/hyperlink" Target="http://www.sec.gov/ix?doc=/Archives/edgar/data/1467858/000146785822000034/gm-20211231.htm" TargetMode="External"/><Relationship Id="rId57" Type="http://schemas.openxmlformats.org/officeDocument/2006/relationships/hyperlink" Target="http://www.sec.gov/Archives/edgar/data/1467858/000119312522131642/d215687ddef14a.htm" TargetMode="External"/><Relationship Id="rId58" Type="http://schemas.openxmlformats.org/officeDocument/2006/relationships/hyperlink" Target="http://www.sec.gov/ix?doc=/Archives/edgar/data/1467858/000146785822000078/gm-20220331.htm" TargetMode="External"/><Relationship Id="rId59" Type="http://schemas.openxmlformats.org/officeDocument/2006/relationships/hyperlink" Target="http://www.sec.gov/ix?doc=/Archives/edgar/data/1467858/000146785822000094/gm-20220630.htm" TargetMode="External"/><Relationship Id="rId60" Type="http://schemas.openxmlformats.org/officeDocument/2006/relationships/hyperlink" Target="http://www.sec.gov/ix?doc=/Archives/edgar/data/1467858/000119312522079473/d333615d8k.htm" TargetMode="External"/><Relationship Id="rId61" Type="http://schemas.openxmlformats.org/officeDocument/2006/relationships/hyperlink" Target="http://www.sec.gov/ix?doc=/Archives/edgar/data/1467858/000119312522096284/d345200d8k.htm" TargetMode="External"/><Relationship Id="rId62" Type="http://schemas.openxmlformats.org/officeDocument/2006/relationships/hyperlink" Target="http://www.sec.gov/ix?doc=/Archives/edgar/data/1467858/000119312522133649/d357538d8k.htm" TargetMode="External"/><Relationship Id="rId63" Type="http://schemas.openxmlformats.org/officeDocument/2006/relationships/hyperlink" Target="http://www.sec.gov/ix?doc=/Archives/edgar/data/1467858/000119312522174774/d333832d8k.htm" TargetMode="External"/><Relationship Id="rId72" Type="http://schemas.openxmlformats.org/officeDocument/2006/relationships/hyperlink" Target="http://www.sec.gov/ix?doc=/Archives/edgar/data/1467858/000146785820000028/gm201910k.htm" TargetMode="External"/><Relationship Id="rId73" Type="http://schemas.openxmlformats.org/officeDocument/2006/relationships/hyperlink" Target="http://www.sec.gov/Archives/edgar/data/1467858/000146785820000028/ex-41x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2022-08-01T15:37:14Z</dcterms:created>
  <dcterms:modified xsi:type="dcterms:W3CDTF">2022-08-01T15:37:14Z</dcterms:modified>
</cp:coreProperties>
</file>