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Date of Report (Date of earliest event reported) July 22,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6540" w:type="dxa"/>
            <w:vAlign w:val="bottom"/>
          </w:tcPr>
          <w:p>
            <w:pPr>
              <w:jc w:val="center"/>
              <w:ind w:right="3303"/>
              <w:spacing w:after="0"/>
              <w:rPr>
                <w:sz w:val="20"/>
                <w:szCs w:val="20"/>
                <w:color w:val="auto"/>
              </w:rPr>
            </w:pPr>
            <w:r>
              <w:rPr>
                <w:rFonts w:ascii="Arial" w:cs="Arial" w:eastAsia="Arial" w:hAnsi="Arial"/>
                <w:sz w:val="18"/>
                <w:szCs w:val="18"/>
                <w:b w:val="1"/>
                <w:bCs w:val="1"/>
                <w:color w:val="auto"/>
                <w:w w:val="96"/>
              </w:rPr>
              <w:t>DELAWARE</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27-03832222</w:t>
            </w:r>
          </w:p>
        </w:tc>
      </w:tr>
      <w:tr>
        <w:trPr>
          <w:trHeight w:val="149"/>
        </w:trPr>
        <w:tc>
          <w:tcPr>
            <w:tcW w:w="6540" w:type="dxa"/>
            <w:vAlign w:val="bottom"/>
          </w:tcPr>
          <w:p>
            <w:pPr>
              <w:jc w:val="center"/>
              <w:ind w:right="3283"/>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4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540" w:type="dxa"/>
            <w:vAlign w:val="bottom"/>
          </w:tcPr>
          <w:p>
            <w:pPr>
              <w:jc w:val="center"/>
              <w:ind w:right="3283"/>
              <w:spacing w:after="0"/>
              <w:rPr>
                <w:sz w:val="20"/>
                <w:szCs w:val="20"/>
                <w:color w:val="auto"/>
              </w:rPr>
            </w:pPr>
            <w:r>
              <w:rPr>
                <w:rFonts w:ascii="Arial" w:cs="Arial" w:eastAsia="Arial" w:hAnsi="Arial"/>
                <w:sz w:val="14"/>
                <w:szCs w:val="14"/>
                <w:b w:val="1"/>
                <w:bCs w:val="1"/>
                <w:color w:val="auto"/>
                <w:w w:val="87"/>
              </w:rPr>
              <w:t>of incorporation)</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540" w:type="dxa"/>
            <w:vAlign w:val="bottom"/>
          </w:tcPr>
          <w:p>
            <w:pPr>
              <w:jc w:val="center"/>
              <w:ind w:right="3283"/>
              <w:spacing w:after="0"/>
              <w:rPr>
                <w:sz w:val="20"/>
                <w:szCs w:val="20"/>
                <w:color w:val="auto"/>
              </w:rPr>
            </w:pPr>
            <w:r>
              <w:rPr>
                <w:rFonts w:ascii="Arial" w:cs="Arial" w:eastAsia="Arial" w:hAnsi="Arial"/>
                <w:sz w:val="18"/>
                <w:szCs w:val="18"/>
                <w:b w:val="1"/>
                <w:bCs w:val="1"/>
                <w:color w:val="auto"/>
                <w:w w:val="87"/>
              </w:rPr>
              <w:t>300 Renaissance Center, Detroit, Michigan</w:t>
            </w:r>
          </w:p>
        </w:tc>
        <w:tc>
          <w:tcPr>
            <w:tcW w:w="1400" w:type="dxa"/>
            <w:vAlign w:val="bottom"/>
          </w:tcPr>
          <w:p>
            <w:pPr>
              <w:jc w:val="right"/>
              <w:ind w:right="44"/>
              <w:spacing w:after="0"/>
              <w:rPr>
                <w:sz w:val="20"/>
                <w:szCs w:val="20"/>
                <w:color w:val="auto"/>
              </w:rPr>
            </w:pPr>
            <w:r>
              <w:rPr>
                <w:rFonts w:ascii="Arial" w:cs="Arial" w:eastAsia="Arial" w:hAnsi="Arial"/>
                <w:sz w:val="18"/>
                <w:szCs w:val="18"/>
                <w:b w:val="1"/>
                <w:bCs w:val="1"/>
                <w:color w:val="auto"/>
              </w:rPr>
              <w:t>48265-3000</w:t>
            </w:r>
          </w:p>
        </w:tc>
      </w:tr>
      <w:tr>
        <w:trPr>
          <w:trHeight w:val="174"/>
        </w:trPr>
        <w:tc>
          <w:tcPr>
            <w:tcW w:w="6540" w:type="dxa"/>
            <w:vAlign w:val="bottom"/>
          </w:tcPr>
          <w:p>
            <w:pPr>
              <w:jc w:val="center"/>
              <w:ind w:right="328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540" w:type="dxa"/>
            <w:vAlign w:val="bottom"/>
          </w:tcPr>
          <w:p>
            <w:pPr>
              <w:jc w:val="center"/>
              <w:ind w:left="2243"/>
              <w:spacing w:after="0"/>
              <w:rPr>
                <w:sz w:val="20"/>
                <w:szCs w:val="20"/>
                <w:color w:val="auto"/>
              </w:rPr>
            </w:pPr>
            <w:r>
              <w:rPr>
                <w:rFonts w:ascii="Arial" w:cs="Arial" w:eastAsia="Arial" w:hAnsi="Arial"/>
                <w:sz w:val="18"/>
                <w:szCs w:val="18"/>
                <w:b w:val="1"/>
                <w:bCs w:val="1"/>
                <w:color w:val="auto"/>
                <w:w w:val="89"/>
              </w:rPr>
              <w:t>(313) 556-5000</w:t>
            </w:r>
          </w:p>
        </w:tc>
        <w:tc>
          <w:tcPr>
            <w:tcW w:w="1400" w:type="dxa"/>
            <w:vAlign w:val="bottom"/>
          </w:tcPr>
          <w:p>
            <w:pPr>
              <w:spacing w:after="0"/>
              <w:rPr>
                <w:sz w:val="24"/>
                <w:szCs w:val="24"/>
                <w:color w:val="auto"/>
              </w:rPr>
            </w:pPr>
          </w:p>
        </w:tc>
      </w:tr>
      <w:tr>
        <w:trPr>
          <w:trHeight w:val="174"/>
        </w:trPr>
        <w:tc>
          <w:tcPr>
            <w:tcW w:w="6540" w:type="dxa"/>
            <w:vAlign w:val="bottom"/>
          </w:tcPr>
          <w:p>
            <w:pPr>
              <w:jc w:val="center"/>
              <w:ind w:left="2263"/>
              <w:spacing w:after="0"/>
              <w:rPr>
                <w:sz w:val="20"/>
                <w:szCs w:val="20"/>
                <w:color w:val="auto"/>
              </w:rPr>
            </w:pPr>
            <w:r>
              <w:rPr>
                <w:rFonts w:ascii="Arial" w:cs="Arial" w:eastAsia="Arial" w:hAnsi="Arial"/>
                <w:sz w:val="14"/>
                <w:szCs w:val="14"/>
                <w:b w:val="1"/>
                <w:bCs w:val="1"/>
                <w:color w:val="auto"/>
                <w:w w:val="85"/>
              </w:rPr>
              <w:t>(Company’s telephone number, including area code)</w:t>
            </w:r>
          </w:p>
        </w:tc>
        <w:tc>
          <w:tcPr>
            <w:tcW w:w="1400" w:type="dxa"/>
            <w:vAlign w:val="bottom"/>
          </w:tcPr>
          <w:p>
            <w:pPr>
              <w:spacing w:after="0"/>
              <w:rPr>
                <w:sz w:val="15"/>
                <w:szCs w:val="15"/>
                <w:color w:val="auto"/>
              </w:rPr>
            </w:pPr>
          </w:p>
        </w:tc>
      </w:tr>
      <w:tr>
        <w:trPr>
          <w:trHeight w:val="352"/>
        </w:trPr>
        <w:tc>
          <w:tcPr>
            <w:tcW w:w="6540" w:type="dxa"/>
            <w:vAlign w:val="bottom"/>
          </w:tcPr>
          <w:p>
            <w:pPr>
              <w:jc w:val="center"/>
              <w:ind w:left="2263"/>
              <w:spacing w:after="0"/>
              <w:rPr>
                <w:sz w:val="20"/>
                <w:szCs w:val="20"/>
                <w:color w:val="auto"/>
              </w:rPr>
            </w:pPr>
            <w:r>
              <w:rPr>
                <w:rFonts w:ascii="Arial" w:cs="Arial" w:eastAsia="Arial" w:hAnsi="Arial"/>
                <w:sz w:val="18"/>
                <w:szCs w:val="18"/>
                <w:b w:val="1"/>
                <w:bCs w:val="1"/>
                <w:color w:val="auto"/>
                <w:w w:val="88"/>
              </w:rPr>
              <w:t>Not Applicable</w:t>
            </w:r>
          </w:p>
        </w:tc>
        <w:tc>
          <w:tcPr>
            <w:tcW w:w="1400" w:type="dxa"/>
            <w:vAlign w:val="bottom"/>
          </w:tcPr>
          <w:p>
            <w:pPr>
              <w:spacing w:after="0"/>
              <w:rPr>
                <w:sz w:val="24"/>
                <w:szCs w:val="24"/>
                <w:color w:val="auto"/>
              </w:rPr>
            </w:pPr>
          </w:p>
        </w:tc>
      </w:tr>
      <w:tr>
        <w:trPr>
          <w:trHeight w:val="174"/>
        </w:trPr>
        <w:tc>
          <w:tcPr>
            <w:tcW w:w="6540" w:type="dxa"/>
            <w:vAlign w:val="bottom"/>
          </w:tcPr>
          <w:p>
            <w:pPr>
              <w:jc w:val="center"/>
              <w:ind w:left="2243"/>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4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01" w:right="6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July 22, 2009 General Motors Company (GM) issued a news release announcing global quarterly sales. The release and charts are attached as Exhibit 99.1.</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385"/>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0" w:type="dxa"/>
            <w:vAlign w:val="bottom"/>
            <w:gridSpan w:val="2"/>
          </w:tcPr>
          <w:p>
            <w:pPr>
              <w:ind w:left="260"/>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4"/>
                <w:szCs w:val="14"/>
                <w:b w:val="1"/>
                <w:bCs w:val="1"/>
                <w:color w:val="auto"/>
              </w:rPr>
              <w:t>Method of Filing</w:t>
            </w: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1"/>
              </w:rPr>
              <w:t>Exhibit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8"/>
                <w:szCs w:val="18"/>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Sales Release and Charts Dated July 22, 2009</w:t>
            </w: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Attached as Exhibit</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tabs>
          <w:tab w:leader="none" w:pos="6060" w:val="left"/>
          <w:tab w:leader="none" w:pos="6620" w:val="left"/>
        </w:tabs>
        <w:rPr>
          <w:sz w:val="20"/>
          <w:szCs w:val="20"/>
          <w:color w:val="auto"/>
        </w:rPr>
      </w:pPr>
      <w:r>
        <w:rPr>
          <w:rFonts w:ascii="Arial" w:cs="Arial" w:eastAsia="Arial" w:hAnsi="Arial"/>
          <w:sz w:val="18"/>
          <w:szCs w:val="18"/>
          <w:color w:val="auto"/>
        </w:rPr>
        <w:t>Date: July 22,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Controller and Chief Accounting Officer)</w:t>
      </w:r>
    </w:p>
    <w:p>
      <w:pPr>
        <w:sectPr>
          <w:pgSz w:w="11900" w:h="16838" w:orient="portrait"/>
          <w:cols w:equalWidth="0" w:num="1">
            <w:col w:w="10960"/>
          </w:cols>
          <w:pgMar w:left="240" w:top="274"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118110</wp:posOffset>
            </wp:positionV>
            <wp:extent cx="6003290" cy="883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329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Release: 8:45 a.m. 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Announces Q2 Global Sales Up Nearly 20 Percent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Compared to Q1, selling 1.94M Vehicles</w:t>
      </w:r>
    </w:p>
    <w:p>
      <w:pPr>
        <w:spacing w:after="0" w:line="20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Bankruptcy impact mitigated as GM posts market share gains in 3 of 4 global regions in Q2 versus Q1 2009</w:t>
      </w:r>
    </w:p>
    <w:p>
      <w:pPr>
        <w:spacing w:after="0" w:line="211"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Q2 sales outside the U.S. soar to 72 percent of total compared with 65 percent a year ago; well-positioned for global growth</w:t>
      </w:r>
    </w:p>
    <w:p>
      <w:pPr>
        <w:spacing w:after="0" w:line="211"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Chevrolet posts strong growth in the Asia Pacific region, with sales up 17 percent compared with a year ago</w:t>
      </w:r>
    </w:p>
    <w:p>
      <w:pPr>
        <w:spacing w:after="0" w:line="211"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Buick and Wuling power China sales growth of 62 percent compared with a year ago, with a 2 ppts GM share increase to 13 percent</w:t>
      </w:r>
    </w:p>
    <w:p>
      <w:pPr>
        <w:spacing w:after="0" w:line="188"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Strong sales performance in GM’s Asia Pacific region helped General Motors sell 1.94 million vehicles globally during the second quarter 2009.</w:t>
      </w:r>
      <w:r>
        <w:rPr>
          <w:rFonts w:ascii="Arial" w:cs="Arial" w:eastAsia="Arial" w:hAnsi="Arial"/>
          <w:sz w:val="18"/>
          <w:szCs w:val="18"/>
          <w:b w:val="1"/>
          <w:bCs w:val="1"/>
          <w:color w:val="auto"/>
        </w:rPr>
        <w:t xml:space="preserve"> </w:t>
      </w:r>
      <w:r>
        <w:rPr>
          <w:rFonts w:ascii="Arial" w:cs="Arial" w:eastAsia="Arial" w:hAnsi="Arial"/>
          <w:sz w:val="18"/>
          <w:szCs w:val="18"/>
          <w:color w:val="auto"/>
        </w:rPr>
        <w:t>When compared with the first quarter 2009, sales were up nearly 20 percent. GM sales outside the United States grew to 72 percent of total sales. Compared to second quarter 2008, GM’s total sales were down 15 percent, reflecting continuing economic pressures and production cuts in the U.S. market, which pushed North America sales down 32 percent (307,000 vehicles).</w:t>
      </w:r>
    </w:p>
    <w:p>
      <w:pPr>
        <w:spacing w:after="0" w:line="14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strength of GM’s portfolio of fuel-efficient and affordable products carried the company through some very difficult times. Despite ongoing negative publicity regarding the company’s restructuring and eventual Chapter 11 filing, GM’s second quarter global market share of 12 percent was down only 0.3 ppts compared with a year ago and up 0.8 ppts from the first quarter.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GM sold 3.55 million vehicles in the first half of 2009. On a year-over-year basis, GM total global sales were down 22 percent for the first six months of 2009.</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the strength of our products, including the Chevrolet Camaro, Spark and Malibu; award-winning Opel/Vauxhall Insignia; Wuling Sunshine Minivan and others around the world enabled us to weather an historically difficult rebirth of the new General Motors,” said Jonathan Browning, vice president, global sales, service and marketing. “We are moving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quickly to respond to new market opportunities around the globe and meeting customer needs with fuel-efficient products that offer advanced technology, compelling designs and great value.”</w:t>
      </w:r>
    </w:p>
    <w:p>
      <w:pPr>
        <w:spacing w:after="0" w:line="12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Chevrolet sales in </w:t>
      </w:r>
      <w:r>
        <w:rPr>
          <w:rFonts w:ascii="Arial" w:cs="Arial" w:eastAsia="Arial" w:hAnsi="Arial"/>
          <w:sz w:val="16"/>
          <w:szCs w:val="16"/>
          <w:b w:val="1"/>
          <w:bCs w:val="1"/>
          <w:color w:val="auto"/>
        </w:rPr>
        <w:t>Asia Pacific</w:t>
      </w:r>
      <w:r>
        <w:rPr>
          <w:rFonts w:ascii="Arial" w:cs="Arial" w:eastAsia="Arial" w:hAnsi="Arial"/>
          <w:sz w:val="16"/>
          <w:szCs w:val="16"/>
          <w:color w:val="auto"/>
        </w:rPr>
        <w:t>, the industry’s largest region so far in 2009, grew 17 percent compared with the second quarter a year ago. In addition, GM’s Asia Pacific regional sales were up more than 22 percent compared with the first quarter boosting GM’s market share in the region to 8.8 percent, up 0.8 ppts versus the first quarter. Chevrolet sales in China (up 39 percent) powered much of this year-over-year growth. The Wuling brand continued strong growth in China with sales up 67 percent in the second quarter compared to the same period a year ago. For the first half of the year, GM China set a sales record, made even more impressive by global news surrounding the company’s restructuring.</w:t>
      </w:r>
    </w:p>
    <w:p>
      <w:pPr>
        <w:spacing w:after="0" w:line="10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Latin America, Africa and Middle East</w:t>
      </w:r>
      <w:r>
        <w:rPr>
          <w:rFonts w:ascii="Arial" w:cs="Arial" w:eastAsia="Arial" w:hAnsi="Arial"/>
          <w:sz w:val="18"/>
          <w:szCs w:val="18"/>
          <w:color w:val="auto"/>
        </w:rPr>
        <w:t xml:space="preserve"> region, sales were up slightly compared with the previous quarter, but declined 21 percent compared with a year ago. Chevrolet accounted for nearly 90 percent of the region’s second quarter sales</w:t>
      </w:r>
      <w:r>
        <w:rPr>
          <w:rFonts w:ascii="Arial" w:cs="Arial" w:eastAsia="Arial" w:hAnsi="Arial"/>
          <w:sz w:val="18"/>
          <w:szCs w:val="18"/>
          <w:i w:val="1"/>
          <w:iCs w:val="1"/>
          <w:color w:val="auto"/>
        </w:rPr>
        <w:t>.</w:t>
      </w:r>
      <w:r>
        <w:rPr>
          <w:rFonts w:ascii="Arial" w:cs="Arial" w:eastAsia="Arial" w:hAnsi="Arial"/>
          <w:sz w:val="18"/>
          <w:szCs w:val="18"/>
          <w:color w:val="auto"/>
        </w:rPr>
        <w:t xml:space="preserve"> There were several bright spots in the region as GM brands in nine countries (Boliva, Chile, Colombia, Ecuador, Peru, Uruguay, Venezuela, Egypt and Kenya) saw market share gains compared with the second quarter a year ago. Sales volume in Brazil also set a second quarter record.</w:t>
      </w:r>
    </w:p>
    <w:p>
      <w:pPr>
        <w:spacing w:after="0" w:line="13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Chevrolet sales in </w:t>
      </w:r>
      <w:r>
        <w:rPr>
          <w:rFonts w:ascii="Arial" w:cs="Arial" w:eastAsia="Arial" w:hAnsi="Arial"/>
          <w:sz w:val="18"/>
          <w:szCs w:val="18"/>
          <w:b w:val="1"/>
          <w:bCs w:val="1"/>
          <w:color w:val="auto"/>
        </w:rPr>
        <w:t>Europe</w:t>
      </w:r>
      <w:r>
        <w:rPr>
          <w:rFonts w:ascii="Arial" w:cs="Arial" w:eastAsia="Arial" w:hAnsi="Arial"/>
          <w:sz w:val="18"/>
          <w:szCs w:val="18"/>
          <w:color w:val="auto"/>
        </w:rPr>
        <w:t xml:space="preserve"> also contributed to the brand’s solid second-quarter results, with market share gains in Eastern, Central and Western Europe. Chevrolet sales of more than 115,500 vehicles resulted in a record brand market share of 2.3 percent. Chevrolet sales increased in Germany (up 40 percent), France (up 101 percent), Turkey (up 120 percent) and the United Kingdom (up 25 percent). The Opel/Vauxhall Insignia, European Car of the Year for 2009, continues to perform strongly with more than 73,000 vehicles sold in the first half of the year. Overall, GM’s market share in Europe increased to 9.2 percent in the second quarter, up 0.2 ppts versus the first quarter.</w:t>
      </w:r>
    </w:p>
    <w:p>
      <w:pPr>
        <w:spacing w:after="0" w:line="13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Chevrolet sales in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were down 28 percent for the quarter, due in part to planned pickup truck production cuts to reduce inventory levels. However, GM has seen very strong demand for the new Camaro which had nearly 10,000 orders on hand to be filled at the end of the quarter. Overall GM sales in the U.S. enabled it to slightly improve market share in the quarter compared with a year ago. In addition, sales in the U.S. were up 31 percent when compared with the first quarter of the year, boosting GM’s market share from 18.4 percent in first quarter to 20.5 percent in the second quarter. Additionally, GM share in North America increased nearly two percentage points, to 19.9 percent, when comparing Q1 with Q2, 2009.</w:t>
      </w:r>
    </w:p>
    <w:p>
      <w:pPr>
        <w:sectPr>
          <w:pgSz w:w="11900" w:h="16838" w:orient="portrait"/>
          <w:cols w:equalWidth="0" w:num="1">
            <w:col w:w="11400"/>
          </w:cols>
          <w:pgMar w:left="240" w:top="280" w:right="259" w:bottom="1440" w:gutter="0" w:footer="0" w:header="0"/>
        </w:sectPr>
      </w:pPr>
    </w:p>
    <w:bookmarkStart w:id="5" w:name="page6"/>
    <w:bookmarkEnd w:id="5"/>
    <w:p>
      <w:pPr>
        <w:ind w:right="26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Cadillac </w:t>
      </w:r>
      <w:r>
        <w:rPr>
          <w:rFonts w:ascii="Arial" w:cs="Arial" w:eastAsia="Arial" w:hAnsi="Arial"/>
          <w:sz w:val="16"/>
          <w:szCs w:val="16"/>
          <w:color w:val="auto"/>
        </w:rPr>
        <w:t>global sales in the second quarter were down 40 percent, in part due to the difficulty in getting competitive leases in the U.S. and overall economic</w:t>
      </w:r>
      <w:r>
        <w:rPr>
          <w:rFonts w:ascii="Arial" w:cs="Arial" w:eastAsia="Arial" w:hAnsi="Arial"/>
          <w:sz w:val="16"/>
          <w:szCs w:val="16"/>
          <w:b w:val="1"/>
          <w:bCs w:val="1"/>
          <w:color w:val="auto"/>
        </w:rPr>
        <w:t xml:space="preserve"> </w:t>
      </w:r>
      <w:r>
        <w:rPr>
          <w:rFonts w:ascii="Arial" w:cs="Arial" w:eastAsia="Arial" w:hAnsi="Arial"/>
          <w:sz w:val="16"/>
          <w:szCs w:val="16"/>
          <w:color w:val="auto"/>
        </w:rPr>
        <w:t>pressure elsewhere around the world. Cadillac expects a positive impact with the CTS coupe and restyled SRX crossover vehicle.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Global sales results are based on preliminary numbers reported and have been rounded.</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Company, one of the world’s largest automakers, traces its roots back to 1908. With its global headquarters in Detroit,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GM employs 235,000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General Motors Company acquired operations from General Motors Corporation on July 10, 2009, and references to prior periods in this and other press materials refer to operations of the old General Motors Corporation. More information on the new General Motors Company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Susan Garontakos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GM Sales &amp; Marketing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313-667-2702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313-268-6896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susan.garontakos@gm.com</w:t>
      </w:r>
    </w:p>
    <w:p>
      <w:pPr>
        <w:sectPr>
          <w:pgSz w:w="11900" w:h="16838" w:orient="portrait"/>
          <w:cols w:equalWidth="0" w:num="1">
            <w:col w:w="11240"/>
          </w:cols>
          <w:pgMar w:left="240" w:top="274" w:right="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Motors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Vehicle Sales</w:t>
      </w:r>
      <w:r>
        <w:rPr>
          <w:rFonts w:ascii="Arial" w:cs="Arial" w:eastAsia="Arial" w:hAnsi="Arial"/>
          <w:sz w:val="11"/>
          <w:szCs w:val="11"/>
          <w:b w:val="1"/>
          <w:bCs w:val="1"/>
          <w:color w:val="auto"/>
        </w:rPr>
        <w:t>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Q2</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CYTD</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960" w:type="dxa"/>
            <w:vAlign w:val="bottom"/>
          </w:tcPr>
          <w:p>
            <w:pPr>
              <w:spacing w:after="0"/>
              <w:rPr>
                <w:sz w:val="12"/>
                <w:szCs w:val="12"/>
                <w:color w:val="auto"/>
              </w:rPr>
            </w:pPr>
          </w:p>
        </w:tc>
        <w:tc>
          <w:tcPr>
            <w:tcW w:w="7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 Chg</w:t>
            </w:r>
          </w:p>
        </w:tc>
        <w:tc>
          <w:tcPr>
            <w:tcW w:w="120" w:type="dxa"/>
            <w:vAlign w:val="bottom"/>
          </w:tcPr>
          <w:p>
            <w:pPr>
              <w:spacing w:after="0"/>
              <w:rPr>
                <w:sz w:val="12"/>
                <w:szCs w:val="12"/>
                <w:color w:val="auto"/>
              </w:rPr>
            </w:pPr>
          </w:p>
        </w:tc>
        <w:tc>
          <w:tcPr>
            <w:tcW w:w="7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Chg</w:t>
            </w:r>
          </w:p>
        </w:tc>
        <w:tc>
          <w:tcPr>
            <w:tcW w:w="20" w:type="dxa"/>
            <w:vAlign w:val="bottom"/>
          </w:tcPr>
          <w:p>
            <w:pPr>
              <w:spacing w:after="0"/>
              <w:rPr>
                <w:sz w:val="12"/>
                <w:szCs w:val="12"/>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GMNA</w:t>
            </w: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Buick</w:t>
            </w:r>
          </w:p>
        </w:tc>
        <w:tc>
          <w:tcPr>
            <w:tcW w:w="740" w:type="dxa"/>
            <w:vAlign w:val="bottom"/>
          </w:tcPr>
          <w:p>
            <w:pPr>
              <w:jc w:val="right"/>
              <w:spacing w:after="0"/>
              <w:rPr>
                <w:sz w:val="20"/>
                <w:szCs w:val="20"/>
                <w:color w:val="auto"/>
              </w:rPr>
            </w:pPr>
            <w:r>
              <w:rPr>
                <w:rFonts w:ascii="Arial" w:cs="Arial" w:eastAsia="Arial" w:hAnsi="Arial"/>
                <w:sz w:val="18"/>
                <w:szCs w:val="18"/>
                <w:color w:val="auto"/>
              </w:rPr>
              <w:t>29,619</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39,312</w:t>
            </w:r>
          </w:p>
        </w:tc>
        <w:tc>
          <w:tcPr>
            <w:tcW w:w="440" w:type="dxa"/>
            <w:vAlign w:val="bottom"/>
          </w:tcPr>
          <w:p>
            <w:pPr>
              <w:jc w:val="right"/>
              <w:spacing w:after="0"/>
              <w:rPr>
                <w:sz w:val="20"/>
                <w:szCs w:val="20"/>
                <w:color w:val="auto"/>
              </w:rPr>
            </w:pPr>
            <w:r>
              <w:rPr>
                <w:rFonts w:ascii="Arial" w:cs="Arial" w:eastAsia="Arial" w:hAnsi="Arial"/>
                <w:sz w:val="18"/>
                <w:szCs w:val="18"/>
                <w:color w:val="auto"/>
              </w:rPr>
              <w:t>-24.7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51,610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80,757</w:t>
            </w:r>
          </w:p>
        </w:tc>
        <w:tc>
          <w:tcPr>
            <w:tcW w:w="46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Cadillac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45,129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51,196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94,043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Chevrolet</w:t>
            </w:r>
          </w:p>
        </w:tc>
        <w:tc>
          <w:tcPr>
            <w:tcW w:w="740" w:type="dxa"/>
            <w:vAlign w:val="bottom"/>
          </w:tcPr>
          <w:p>
            <w:pPr>
              <w:jc w:val="right"/>
              <w:spacing w:after="0"/>
              <w:rPr>
                <w:sz w:val="20"/>
                <w:szCs w:val="20"/>
                <w:color w:val="auto"/>
              </w:rPr>
            </w:pPr>
            <w:r>
              <w:rPr>
                <w:rFonts w:ascii="Arial" w:cs="Arial" w:eastAsia="Arial" w:hAnsi="Arial"/>
                <w:sz w:val="18"/>
                <w:szCs w:val="18"/>
                <w:color w:val="auto"/>
              </w:rPr>
              <w:t>418,554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581,859</w:t>
            </w:r>
          </w:p>
        </w:tc>
        <w:tc>
          <w:tcPr>
            <w:tcW w:w="440" w:type="dxa"/>
            <w:vAlign w:val="bottom"/>
          </w:tcPr>
          <w:p>
            <w:pPr>
              <w:jc w:val="right"/>
              <w:spacing w:after="0"/>
              <w:rPr>
                <w:sz w:val="20"/>
                <w:szCs w:val="20"/>
                <w:color w:val="auto"/>
              </w:rPr>
            </w:pPr>
            <w:r>
              <w:rPr>
                <w:rFonts w:ascii="Arial" w:cs="Arial" w:eastAsia="Arial" w:hAnsi="Arial"/>
                <w:sz w:val="18"/>
                <w:szCs w:val="18"/>
                <w:color w:val="auto"/>
              </w:rPr>
              <w:t>-28.1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721,584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1,150,404</w:t>
            </w:r>
          </w:p>
        </w:tc>
        <w:tc>
          <w:tcPr>
            <w:tcW w:w="46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GMC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108,474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144,893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227,314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HUMMER</w:t>
            </w:r>
          </w:p>
        </w:tc>
        <w:tc>
          <w:tcPr>
            <w:tcW w:w="740" w:type="dxa"/>
            <w:vAlign w:val="bottom"/>
          </w:tcPr>
          <w:p>
            <w:pPr>
              <w:jc w:val="right"/>
              <w:spacing w:after="0"/>
              <w:rPr>
                <w:sz w:val="20"/>
                <w:szCs w:val="20"/>
                <w:color w:val="auto"/>
              </w:rPr>
            </w:pPr>
            <w:r>
              <w:rPr>
                <w:rFonts w:ascii="Arial" w:cs="Arial" w:eastAsia="Arial" w:hAnsi="Arial"/>
                <w:sz w:val="18"/>
                <w:szCs w:val="18"/>
                <w:color w:val="auto"/>
              </w:rPr>
              <w:t>3,575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6,741</w:t>
            </w:r>
          </w:p>
        </w:tc>
        <w:tc>
          <w:tcPr>
            <w:tcW w:w="440" w:type="dxa"/>
            <w:vAlign w:val="bottom"/>
          </w:tcPr>
          <w:p>
            <w:pPr>
              <w:jc w:val="right"/>
              <w:spacing w:after="0"/>
              <w:rPr>
                <w:sz w:val="20"/>
                <w:szCs w:val="20"/>
                <w:color w:val="auto"/>
              </w:rPr>
            </w:pPr>
            <w:r>
              <w:rPr>
                <w:rFonts w:ascii="Arial" w:cs="Arial" w:eastAsia="Arial" w:hAnsi="Arial"/>
                <w:sz w:val="18"/>
                <w:szCs w:val="18"/>
                <w:color w:val="auto"/>
              </w:rPr>
              <w:t>-47.0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7,230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17,297</w:t>
            </w:r>
          </w:p>
        </w:tc>
        <w:tc>
          <w:tcPr>
            <w:tcW w:w="460" w:type="dxa"/>
            <w:vAlign w:val="bottom"/>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Opel/Vauxhall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Pontiac</w:t>
            </w:r>
          </w:p>
        </w:tc>
        <w:tc>
          <w:tcPr>
            <w:tcW w:w="740" w:type="dxa"/>
            <w:vAlign w:val="bottom"/>
          </w:tcPr>
          <w:p>
            <w:pPr>
              <w:jc w:val="right"/>
              <w:spacing w:after="0"/>
              <w:rPr>
                <w:sz w:val="20"/>
                <w:szCs w:val="20"/>
                <w:color w:val="auto"/>
              </w:rPr>
            </w:pPr>
            <w:r>
              <w:rPr>
                <w:rFonts w:ascii="Arial" w:cs="Arial" w:eastAsia="Arial" w:hAnsi="Arial"/>
                <w:sz w:val="18"/>
                <w:szCs w:val="18"/>
                <w:color w:val="auto"/>
              </w:rPr>
              <w:t>69,760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116,481</w:t>
            </w:r>
          </w:p>
        </w:tc>
        <w:tc>
          <w:tcPr>
            <w:tcW w:w="440" w:type="dxa"/>
            <w:vAlign w:val="bottom"/>
          </w:tcPr>
          <w:p>
            <w:pPr>
              <w:jc w:val="right"/>
              <w:spacing w:after="0"/>
              <w:rPr>
                <w:sz w:val="20"/>
                <w:szCs w:val="20"/>
                <w:color w:val="auto"/>
              </w:rPr>
            </w:pPr>
            <w:r>
              <w:rPr>
                <w:rFonts w:ascii="Arial" w:cs="Arial" w:eastAsia="Arial" w:hAnsi="Arial"/>
                <w:sz w:val="18"/>
                <w:szCs w:val="18"/>
                <w:color w:val="auto"/>
              </w:rPr>
              <w:t>-40.1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126,307</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216,667</w:t>
            </w:r>
          </w:p>
        </w:tc>
        <w:tc>
          <w:tcPr>
            <w:tcW w:w="460" w:type="dxa"/>
            <w:vAlign w:val="bottom"/>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Saab</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8"/>
                <w:szCs w:val="18"/>
                <w:color w:val="auto"/>
              </w:rPr>
            </w:pPr>
          </w:p>
        </w:tc>
      </w:tr>
      <w:tr>
        <w:trPr>
          <w:trHeight w:val="223"/>
        </w:trPr>
        <w:tc>
          <w:tcPr>
            <w:tcW w:w="6960" w:type="dxa"/>
            <w:vAlign w:val="bottom"/>
          </w:tcPr>
          <w:p>
            <w:pPr>
              <w:ind w:left="440"/>
              <w:spacing w:after="0"/>
              <w:rPr>
                <w:sz w:val="20"/>
                <w:szCs w:val="20"/>
                <w:color w:val="auto"/>
              </w:rPr>
            </w:pPr>
            <w:r>
              <w:rPr>
                <w:rFonts w:ascii="Arial" w:cs="Arial" w:eastAsia="Arial" w:hAnsi="Arial"/>
                <w:sz w:val="18"/>
                <w:szCs w:val="18"/>
                <w:color w:val="auto"/>
              </w:rPr>
              <w:t>Saturn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25,561</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47,855</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111,102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9"/>
                <w:szCs w:val="19"/>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656,507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963,929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1,157,023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1,911,427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r>
      <w:tr>
        <w:trPr>
          <w:trHeight w:val="322"/>
        </w:trPr>
        <w:tc>
          <w:tcPr>
            <w:tcW w:w="6960" w:type="dxa"/>
            <w:vAlign w:val="bottom"/>
          </w:tcPr>
          <w:p>
            <w:pPr>
              <w:spacing w:after="0"/>
              <w:rPr>
                <w:sz w:val="20"/>
                <w:szCs w:val="20"/>
                <w:color w:val="auto"/>
              </w:rPr>
            </w:pPr>
            <w:r>
              <w:rPr>
                <w:rFonts w:ascii="Arial" w:cs="Arial" w:eastAsia="Arial" w:hAnsi="Arial"/>
                <w:sz w:val="18"/>
                <w:szCs w:val="18"/>
                <w:b w:val="1"/>
                <w:bCs w:val="1"/>
                <w:color w:val="auto"/>
              </w:rPr>
              <w:t>GME</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Cadillac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Chevrolet</w:t>
            </w:r>
          </w:p>
        </w:tc>
        <w:tc>
          <w:tcPr>
            <w:tcW w:w="740" w:type="dxa"/>
            <w:vAlign w:val="bottom"/>
          </w:tcPr>
          <w:p>
            <w:pPr>
              <w:jc w:val="right"/>
              <w:spacing w:after="0"/>
              <w:rPr>
                <w:sz w:val="20"/>
                <w:szCs w:val="20"/>
                <w:color w:val="auto"/>
              </w:rPr>
            </w:pPr>
            <w:r>
              <w:rPr>
                <w:rFonts w:ascii="Arial" w:cs="Arial" w:eastAsia="Arial" w:hAnsi="Arial"/>
                <w:sz w:val="18"/>
                <w:szCs w:val="18"/>
                <w:color w:val="auto"/>
              </w:rPr>
              <w:t>115,680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138,522</w:t>
            </w:r>
          </w:p>
        </w:tc>
        <w:tc>
          <w:tcPr>
            <w:tcW w:w="440" w:type="dxa"/>
            <w:vAlign w:val="bottom"/>
          </w:tcPr>
          <w:p>
            <w:pPr>
              <w:jc w:val="right"/>
              <w:spacing w:after="0"/>
              <w:rPr>
                <w:sz w:val="20"/>
                <w:szCs w:val="20"/>
                <w:color w:val="auto"/>
              </w:rPr>
            </w:pPr>
            <w:r>
              <w:rPr>
                <w:rFonts w:ascii="Arial" w:cs="Arial" w:eastAsia="Arial" w:hAnsi="Arial"/>
                <w:sz w:val="18"/>
                <w:szCs w:val="18"/>
                <w:color w:val="auto"/>
              </w:rPr>
              <w:t>-16.5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214,767</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270,022</w:t>
            </w:r>
          </w:p>
        </w:tc>
        <w:tc>
          <w:tcPr>
            <w:tcW w:w="46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HUMMER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Opel/Vauxhall</w:t>
            </w:r>
          </w:p>
        </w:tc>
        <w:tc>
          <w:tcPr>
            <w:tcW w:w="740" w:type="dxa"/>
            <w:vAlign w:val="bottom"/>
          </w:tcPr>
          <w:p>
            <w:pPr>
              <w:jc w:val="right"/>
              <w:spacing w:after="0"/>
              <w:rPr>
                <w:sz w:val="20"/>
                <w:szCs w:val="20"/>
                <w:color w:val="auto"/>
              </w:rPr>
            </w:pPr>
            <w:r>
              <w:rPr>
                <w:rFonts w:ascii="Arial" w:cs="Arial" w:eastAsia="Arial" w:hAnsi="Arial"/>
                <w:sz w:val="18"/>
                <w:szCs w:val="18"/>
                <w:color w:val="auto"/>
              </w:rPr>
              <w:t>347,330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430,057</w:t>
            </w:r>
          </w:p>
        </w:tc>
        <w:tc>
          <w:tcPr>
            <w:tcW w:w="440" w:type="dxa"/>
            <w:vAlign w:val="bottom"/>
          </w:tcPr>
          <w:p>
            <w:pPr>
              <w:jc w:val="right"/>
              <w:spacing w:after="0"/>
              <w:rPr>
                <w:sz w:val="20"/>
                <w:szCs w:val="20"/>
                <w:color w:val="auto"/>
              </w:rPr>
            </w:pPr>
            <w:r>
              <w:rPr>
                <w:rFonts w:ascii="Arial" w:cs="Arial" w:eastAsia="Arial" w:hAnsi="Arial"/>
                <w:sz w:val="18"/>
                <w:szCs w:val="18"/>
                <w:color w:val="auto"/>
              </w:rPr>
              <w:t>-19.2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644,216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847,889</w:t>
            </w:r>
          </w:p>
        </w:tc>
        <w:tc>
          <w:tcPr>
            <w:tcW w:w="46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r>
      <w:tr>
        <w:trPr>
          <w:trHeight w:val="223"/>
        </w:trPr>
        <w:tc>
          <w:tcPr>
            <w:tcW w:w="6960" w:type="dxa"/>
            <w:vAlign w:val="bottom"/>
          </w:tcPr>
          <w:p>
            <w:pPr>
              <w:ind w:left="440"/>
              <w:spacing w:after="0"/>
              <w:rPr>
                <w:sz w:val="20"/>
                <w:szCs w:val="20"/>
                <w:color w:val="auto"/>
              </w:rPr>
            </w:pPr>
            <w:r>
              <w:rPr>
                <w:rFonts w:ascii="Arial" w:cs="Arial" w:eastAsia="Arial" w:hAnsi="Arial"/>
                <w:sz w:val="18"/>
                <w:szCs w:val="18"/>
                <w:color w:val="auto"/>
              </w:rPr>
              <w:t>Saab</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16,895</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9"/>
                <w:szCs w:val="19"/>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471,823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590,534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878,641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1,161,679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r>
      <w:tr>
        <w:trPr>
          <w:trHeight w:val="322"/>
        </w:trPr>
        <w:tc>
          <w:tcPr>
            <w:tcW w:w="6960" w:type="dxa"/>
            <w:vAlign w:val="bottom"/>
          </w:tcPr>
          <w:p>
            <w:pPr>
              <w:spacing w:after="0"/>
              <w:rPr>
                <w:sz w:val="20"/>
                <w:szCs w:val="20"/>
                <w:color w:val="auto"/>
              </w:rPr>
            </w:pPr>
            <w:r>
              <w:rPr>
                <w:rFonts w:ascii="Arial" w:cs="Arial" w:eastAsia="Arial" w:hAnsi="Arial"/>
                <w:sz w:val="18"/>
                <w:szCs w:val="18"/>
                <w:b w:val="1"/>
                <w:bCs w:val="1"/>
                <w:color w:val="auto"/>
              </w:rPr>
              <w:t>GMLAAM</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Buick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Cadillac</w:t>
            </w:r>
          </w:p>
        </w:tc>
        <w:tc>
          <w:tcPr>
            <w:tcW w:w="740" w:type="dxa"/>
            <w:vAlign w:val="bottom"/>
          </w:tcPr>
          <w:p>
            <w:pPr>
              <w:jc w:val="right"/>
              <w:spacing w:after="0"/>
              <w:rPr>
                <w:sz w:val="20"/>
                <w:szCs w:val="20"/>
                <w:color w:val="auto"/>
              </w:rPr>
            </w:pPr>
            <w:r>
              <w:rPr>
                <w:rFonts w:ascii="Arial" w:cs="Arial" w:eastAsia="Arial" w:hAnsi="Arial"/>
                <w:sz w:val="18"/>
                <w:szCs w:val="18"/>
                <w:color w:val="auto"/>
              </w:rPr>
              <w:t>691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1,246</w:t>
            </w:r>
          </w:p>
        </w:tc>
        <w:tc>
          <w:tcPr>
            <w:tcW w:w="440" w:type="dxa"/>
            <w:vAlign w:val="bottom"/>
          </w:tcPr>
          <w:p>
            <w:pPr>
              <w:jc w:val="right"/>
              <w:spacing w:after="0"/>
              <w:rPr>
                <w:sz w:val="20"/>
                <w:szCs w:val="20"/>
                <w:color w:val="auto"/>
              </w:rPr>
            </w:pPr>
            <w:r>
              <w:rPr>
                <w:rFonts w:ascii="Arial" w:cs="Arial" w:eastAsia="Arial" w:hAnsi="Arial"/>
                <w:sz w:val="18"/>
                <w:szCs w:val="18"/>
                <w:color w:val="auto"/>
              </w:rPr>
              <w:t>-44.5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1,422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2,631</w:t>
            </w:r>
          </w:p>
        </w:tc>
        <w:tc>
          <w:tcPr>
            <w:tcW w:w="460" w:type="dxa"/>
            <w:vAlign w:val="bottom"/>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Chevrolet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250,228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308,236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499,777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597,260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GMC</w:t>
            </w:r>
          </w:p>
        </w:tc>
        <w:tc>
          <w:tcPr>
            <w:tcW w:w="740" w:type="dxa"/>
            <w:vAlign w:val="bottom"/>
          </w:tcPr>
          <w:p>
            <w:pPr>
              <w:jc w:val="right"/>
              <w:spacing w:after="0"/>
              <w:rPr>
                <w:sz w:val="20"/>
                <w:szCs w:val="20"/>
                <w:color w:val="auto"/>
              </w:rPr>
            </w:pPr>
            <w:r>
              <w:rPr>
                <w:rFonts w:ascii="Arial" w:cs="Arial" w:eastAsia="Arial" w:hAnsi="Arial"/>
                <w:sz w:val="18"/>
                <w:szCs w:val="18"/>
                <w:color w:val="auto"/>
              </w:rPr>
              <w:t>10,137</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12,132</w:t>
            </w:r>
          </w:p>
        </w:tc>
        <w:tc>
          <w:tcPr>
            <w:tcW w:w="440" w:type="dxa"/>
            <w:vAlign w:val="bottom"/>
          </w:tcPr>
          <w:p>
            <w:pPr>
              <w:jc w:val="right"/>
              <w:spacing w:after="0"/>
              <w:rPr>
                <w:sz w:val="20"/>
                <w:szCs w:val="20"/>
                <w:color w:val="auto"/>
              </w:rPr>
            </w:pPr>
            <w:r>
              <w:rPr>
                <w:rFonts w:ascii="Arial" w:cs="Arial" w:eastAsia="Arial" w:hAnsi="Arial"/>
                <w:sz w:val="18"/>
                <w:szCs w:val="18"/>
                <w:color w:val="auto"/>
              </w:rPr>
              <w:t>-16.4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16,921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22,881</w:t>
            </w:r>
          </w:p>
        </w:tc>
        <w:tc>
          <w:tcPr>
            <w:tcW w:w="46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HUMMER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Opel/Vauxhall</w:t>
            </w:r>
          </w:p>
        </w:tc>
        <w:tc>
          <w:tcPr>
            <w:tcW w:w="740" w:type="dxa"/>
            <w:vAlign w:val="bottom"/>
          </w:tcPr>
          <w:p>
            <w:pPr>
              <w:jc w:val="right"/>
              <w:spacing w:after="0"/>
              <w:rPr>
                <w:sz w:val="20"/>
                <w:szCs w:val="20"/>
                <w:color w:val="auto"/>
              </w:rPr>
            </w:pPr>
            <w:r>
              <w:rPr>
                <w:rFonts w:ascii="Arial" w:cs="Arial" w:eastAsia="Arial" w:hAnsi="Arial"/>
                <w:sz w:val="18"/>
                <w:szCs w:val="18"/>
                <w:color w:val="auto"/>
              </w:rPr>
              <w:t>5,154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10,972</w:t>
            </w:r>
          </w:p>
        </w:tc>
        <w:tc>
          <w:tcPr>
            <w:tcW w:w="440" w:type="dxa"/>
            <w:vAlign w:val="bottom"/>
          </w:tcPr>
          <w:p>
            <w:pPr>
              <w:jc w:val="right"/>
              <w:spacing w:after="0"/>
              <w:rPr>
                <w:sz w:val="20"/>
                <w:szCs w:val="20"/>
                <w:color w:val="auto"/>
              </w:rPr>
            </w:pPr>
            <w:r>
              <w:rPr>
                <w:rFonts w:ascii="Arial" w:cs="Arial" w:eastAsia="Arial" w:hAnsi="Arial"/>
                <w:sz w:val="18"/>
                <w:szCs w:val="18"/>
                <w:color w:val="auto"/>
              </w:rPr>
              <w:t>-53.0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11,102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22,105</w:t>
            </w:r>
          </w:p>
        </w:tc>
        <w:tc>
          <w:tcPr>
            <w:tcW w:w="460" w:type="dxa"/>
            <w:vAlign w:val="bottom"/>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12,214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r>
      <w:tr>
        <w:trPr>
          <w:trHeight w:val="223"/>
        </w:trPr>
        <w:tc>
          <w:tcPr>
            <w:tcW w:w="6960" w:type="dxa"/>
            <w:vAlign w:val="bottom"/>
          </w:tcPr>
          <w:p>
            <w:pPr>
              <w:ind w:left="440"/>
              <w:spacing w:after="0"/>
              <w:rPr>
                <w:sz w:val="20"/>
                <w:szCs w:val="20"/>
                <w:color w:val="auto"/>
              </w:rPr>
            </w:pPr>
            <w:r>
              <w:rPr>
                <w:rFonts w:ascii="Arial" w:cs="Arial" w:eastAsia="Arial" w:hAnsi="Arial"/>
                <w:sz w:val="18"/>
                <w:szCs w:val="18"/>
                <w:color w:val="auto"/>
              </w:rPr>
              <w:t>Saab</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9"/>
                <w:szCs w:val="19"/>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273,991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346,112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547,127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669,987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r>
      <w:tr>
        <w:trPr>
          <w:trHeight w:val="322"/>
        </w:trPr>
        <w:tc>
          <w:tcPr>
            <w:tcW w:w="6960" w:type="dxa"/>
            <w:vAlign w:val="bottom"/>
          </w:tcPr>
          <w:p>
            <w:pPr>
              <w:spacing w:after="0"/>
              <w:rPr>
                <w:sz w:val="20"/>
                <w:szCs w:val="20"/>
                <w:color w:val="auto"/>
              </w:rPr>
            </w:pPr>
            <w:r>
              <w:rPr>
                <w:rFonts w:ascii="Arial" w:cs="Arial" w:eastAsia="Arial" w:hAnsi="Arial"/>
                <w:sz w:val="18"/>
                <w:szCs w:val="18"/>
                <w:b w:val="1"/>
                <w:bCs w:val="1"/>
                <w:color w:val="auto"/>
              </w:rPr>
              <w:t>GMAP</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Buick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65,844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196,108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146,538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Cadillac</w:t>
            </w:r>
          </w:p>
        </w:tc>
        <w:tc>
          <w:tcPr>
            <w:tcW w:w="740" w:type="dxa"/>
            <w:vAlign w:val="bottom"/>
          </w:tcPr>
          <w:p>
            <w:pPr>
              <w:jc w:val="right"/>
              <w:spacing w:after="0"/>
              <w:rPr>
                <w:sz w:val="20"/>
                <w:szCs w:val="20"/>
                <w:color w:val="auto"/>
              </w:rPr>
            </w:pPr>
            <w:r>
              <w:rPr>
                <w:rFonts w:ascii="Arial" w:cs="Arial" w:eastAsia="Arial" w:hAnsi="Arial"/>
                <w:sz w:val="18"/>
                <w:szCs w:val="18"/>
                <w:color w:val="auto"/>
              </w:rPr>
              <w:t>2,038</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2,168</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3,365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3,984</w:t>
            </w:r>
          </w:p>
        </w:tc>
        <w:tc>
          <w:tcPr>
            <w:tcW w:w="46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Chevrolet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82,140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168,647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168,961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Daewoo</w:t>
            </w:r>
          </w:p>
        </w:tc>
        <w:tc>
          <w:tcPr>
            <w:tcW w:w="740" w:type="dxa"/>
            <w:vAlign w:val="bottom"/>
          </w:tcPr>
          <w:p>
            <w:pPr>
              <w:jc w:val="right"/>
              <w:spacing w:after="0"/>
              <w:rPr>
                <w:sz w:val="20"/>
                <w:szCs w:val="20"/>
                <w:color w:val="auto"/>
              </w:rPr>
            </w:pPr>
            <w:r>
              <w:rPr>
                <w:rFonts w:ascii="Arial" w:cs="Arial" w:eastAsia="Arial" w:hAnsi="Arial"/>
                <w:sz w:val="18"/>
                <w:szCs w:val="18"/>
                <w:color w:val="auto"/>
              </w:rPr>
              <w:t>27,867</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41,581</w:t>
            </w:r>
          </w:p>
        </w:tc>
        <w:tc>
          <w:tcPr>
            <w:tcW w:w="440" w:type="dxa"/>
            <w:vAlign w:val="bottom"/>
          </w:tcPr>
          <w:p>
            <w:pPr>
              <w:jc w:val="right"/>
              <w:spacing w:after="0"/>
              <w:rPr>
                <w:sz w:val="20"/>
                <w:szCs w:val="20"/>
                <w:color w:val="auto"/>
              </w:rPr>
            </w:pPr>
            <w:r>
              <w:rPr>
                <w:rFonts w:ascii="Arial" w:cs="Arial" w:eastAsia="Arial" w:hAnsi="Arial"/>
                <w:sz w:val="18"/>
                <w:szCs w:val="18"/>
                <w:color w:val="auto"/>
              </w:rPr>
              <w:t>-33.0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47,015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71,207</w:t>
            </w:r>
          </w:p>
        </w:tc>
        <w:tc>
          <w:tcPr>
            <w:tcW w:w="46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Holden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35,546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59,241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72,341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HUMMER</w:t>
            </w:r>
          </w:p>
        </w:tc>
        <w:tc>
          <w:tcPr>
            <w:tcW w:w="740" w:type="dxa"/>
            <w:vAlign w:val="bottom"/>
          </w:tcPr>
          <w:p>
            <w:pPr>
              <w:jc w:val="right"/>
              <w:spacing w:after="0"/>
              <w:rPr>
                <w:sz w:val="20"/>
                <w:szCs w:val="20"/>
                <w:color w:val="auto"/>
              </w:rPr>
            </w:pPr>
            <w:r>
              <w:rPr>
                <w:rFonts w:ascii="Arial" w:cs="Arial" w:eastAsia="Arial" w:hAnsi="Arial"/>
                <w:sz w:val="18"/>
                <w:szCs w:val="18"/>
                <w:color w:val="auto"/>
              </w:rPr>
              <w:t>197</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453</w:t>
            </w:r>
          </w:p>
        </w:tc>
        <w:tc>
          <w:tcPr>
            <w:tcW w:w="440" w:type="dxa"/>
            <w:vAlign w:val="bottom"/>
          </w:tcPr>
          <w:p>
            <w:pPr>
              <w:jc w:val="right"/>
              <w:spacing w:after="0"/>
              <w:rPr>
                <w:sz w:val="20"/>
                <w:szCs w:val="20"/>
                <w:color w:val="auto"/>
              </w:rPr>
            </w:pPr>
            <w:r>
              <w:rPr>
                <w:rFonts w:ascii="Arial" w:cs="Arial" w:eastAsia="Arial" w:hAnsi="Arial"/>
                <w:sz w:val="18"/>
                <w:szCs w:val="18"/>
                <w:color w:val="auto"/>
              </w:rPr>
              <w:t>-56.5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1,049</w:t>
            </w:r>
          </w:p>
        </w:tc>
        <w:tc>
          <w:tcPr>
            <w:tcW w:w="460" w:type="dxa"/>
            <w:vAlign w:val="bottom"/>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Opel/Vauxhall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Other</w:t>
            </w: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288</w:t>
            </w:r>
          </w:p>
        </w:tc>
        <w:tc>
          <w:tcPr>
            <w:tcW w:w="440" w:type="dxa"/>
            <w:vAlign w:val="bottom"/>
          </w:tcPr>
          <w:p>
            <w:pPr>
              <w:jc w:val="right"/>
              <w:spacing w:after="0"/>
              <w:rPr>
                <w:sz w:val="20"/>
                <w:szCs w:val="20"/>
                <w:color w:val="auto"/>
              </w:rPr>
            </w:pPr>
            <w:r>
              <w:rPr>
                <w:rFonts w:ascii="Arial" w:cs="Arial" w:eastAsia="Arial" w:hAnsi="Arial"/>
                <w:sz w:val="18"/>
                <w:szCs w:val="18"/>
                <w:color w:val="auto"/>
              </w:rPr>
              <w:t>-59.7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517</w:t>
            </w:r>
          </w:p>
        </w:tc>
        <w:tc>
          <w:tcPr>
            <w:tcW w:w="46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Saab</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r>
      <w:tr>
        <w:trPr>
          <w:trHeight w:val="223"/>
        </w:trPr>
        <w:tc>
          <w:tcPr>
            <w:tcW w:w="6960" w:type="dxa"/>
            <w:vAlign w:val="bottom"/>
          </w:tcPr>
          <w:p>
            <w:pPr>
              <w:ind w:left="440"/>
              <w:spacing w:after="0"/>
              <w:rPr>
                <w:sz w:val="20"/>
                <w:szCs w:val="20"/>
                <w:color w:val="auto"/>
              </w:rPr>
            </w:pPr>
            <w:r>
              <w:rPr>
                <w:rFonts w:ascii="Arial" w:cs="Arial" w:eastAsia="Arial" w:hAnsi="Arial"/>
                <w:sz w:val="18"/>
                <w:szCs w:val="18"/>
                <w:color w:val="auto"/>
              </w:rPr>
              <w:t>Wuling(2)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261,758</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492,533</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329,842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9"/>
                <w:szCs w:val="19"/>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533,828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387,067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969,931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798,032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r>
      <w:tr>
        <w:trPr>
          <w:trHeight w:val="322"/>
        </w:trPr>
        <w:tc>
          <w:tcPr>
            <w:tcW w:w="696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Chevrolet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880,294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1,110,757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1,604,775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2,186,647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Opel/Vauxhall</w:t>
            </w:r>
          </w:p>
        </w:tc>
        <w:tc>
          <w:tcPr>
            <w:tcW w:w="740" w:type="dxa"/>
            <w:vAlign w:val="bottom"/>
          </w:tcPr>
          <w:p>
            <w:pPr>
              <w:jc w:val="right"/>
              <w:spacing w:after="0"/>
              <w:rPr>
                <w:sz w:val="20"/>
                <w:szCs w:val="20"/>
                <w:color w:val="auto"/>
              </w:rPr>
            </w:pPr>
            <w:r>
              <w:rPr>
                <w:rFonts w:ascii="Arial" w:cs="Arial" w:eastAsia="Arial" w:hAnsi="Arial"/>
                <w:sz w:val="18"/>
                <w:szCs w:val="18"/>
                <w:color w:val="auto"/>
              </w:rPr>
              <w:t>353,601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442,715</w:t>
            </w:r>
          </w:p>
        </w:tc>
        <w:tc>
          <w:tcPr>
            <w:tcW w:w="440" w:type="dxa"/>
            <w:vAlign w:val="bottom"/>
          </w:tcPr>
          <w:p>
            <w:pPr>
              <w:jc w:val="right"/>
              <w:spacing w:after="0"/>
              <w:rPr>
                <w:sz w:val="20"/>
                <w:szCs w:val="20"/>
                <w:color w:val="auto"/>
              </w:rPr>
            </w:pPr>
            <w:r>
              <w:rPr>
                <w:rFonts w:ascii="Arial" w:cs="Arial" w:eastAsia="Arial" w:hAnsi="Arial"/>
                <w:sz w:val="18"/>
                <w:szCs w:val="18"/>
                <w:color w:val="auto"/>
              </w:rPr>
              <w:t>-20.1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657,016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872,673</w:t>
            </w: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GMC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120,606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250,195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Pontiac</w:t>
            </w:r>
          </w:p>
        </w:tc>
        <w:tc>
          <w:tcPr>
            <w:tcW w:w="740" w:type="dxa"/>
            <w:vAlign w:val="bottom"/>
          </w:tcPr>
          <w:p>
            <w:pPr>
              <w:jc w:val="right"/>
              <w:spacing w:after="0"/>
              <w:rPr>
                <w:sz w:val="20"/>
                <w:szCs w:val="20"/>
                <w:color w:val="auto"/>
              </w:rPr>
            </w:pPr>
            <w:r>
              <w:rPr>
                <w:rFonts w:ascii="Arial" w:cs="Arial" w:eastAsia="Arial" w:hAnsi="Arial"/>
                <w:sz w:val="18"/>
                <w:szCs w:val="18"/>
                <w:color w:val="auto"/>
              </w:rPr>
              <w:t>69,760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116,481</w:t>
            </w:r>
          </w:p>
        </w:tc>
        <w:tc>
          <w:tcPr>
            <w:tcW w:w="440" w:type="dxa"/>
            <w:vAlign w:val="bottom"/>
          </w:tcPr>
          <w:p>
            <w:pPr>
              <w:jc w:val="right"/>
              <w:spacing w:after="0"/>
              <w:rPr>
                <w:sz w:val="20"/>
                <w:szCs w:val="20"/>
                <w:color w:val="auto"/>
              </w:rPr>
            </w:pPr>
            <w:r>
              <w:rPr>
                <w:rFonts w:ascii="Arial" w:cs="Arial" w:eastAsia="Arial" w:hAnsi="Arial"/>
                <w:sz w:val="18"/>
                <w:szCs w:val="18"/>
                <w:color w:val="auto"/>
              </w:rPr>
              <w:t>-40.1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126,307</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216,667</w:t>
            </w:r>
          </w:p>
        </w:tc>
        <w:tc>
          <w:tcPr>
            <w:tcW w:w="460" w:type="dxa"/>
            <w:vAlign w:val="bottom"/>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Buick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144,045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105,324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247,917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227,724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Wuling(2)</w:t>
            </w:r>
          </w:p>
        </w:tc>
        <w:tc>
          <w:tcPr>
            <w:tcW w:w="740" w:type="dxa"/>
            <w:vAlign w:val="bottom"/>
          </w:tcPr>
          <w:p>
            <w:pPr>
              <w:jc w:val="right"/>
              <w:spacing w:after="0"/>
              <w:rPr>
                <w:sz w:val="20"/>
                <w:szCs w:val="20"/>
                <w:color w:val="auto"/>
              </w:rPr>
            </w:pPr>
            <w:r>
              <w:rPr>
                <w:rFonts w:ascii="Arial" w:cs="Arial" w:eastAsia="Arial" w:hAnsi="Arial"/>
                <w:sz w:val="18"/>
                <w:szCs w:val="18"/>
                <w:color w:val="auto"/>
              </w:rPr>
              <w:t>261,758</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156,921</w:t>
            </w:r>
          </w:p>
        </w:tc>
        <w:tc>
          <w:tcPr>
            <w:tcW w:w="440" w:type="dxa"/>
            <w:vAlign w:val="bottom"/>
          </w:tcPr>
          <w:p>
            <w:pPr>
              <w:jc w:val="right"/>
              <w:spacing w:after="0"/>
              <w:rPr>
                <w:sz w:val="20"/>
                <w:szCs w:val="20"/>
                <w:color w:val="auto"/>
              </w:rPr>
            </w:pPr>
            <w:r>
              <w:rPr>
                <w:rFonts w:ascii="Arial" w:cs="Arial" w:eastAsia="Arial" w:hAnsi="Arial"/>
                <w:sz w:val="18"/>
                <w:szCs w:val="18"/>
                <w:color w:val="auto"/>
              </w:rPr>
              <w:t>66.8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492,533</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329,842</w:t>
            </w:r>
          </w:p>
        </w:tc>
        <w:tc>
          <w:tcPr>
            <w:tcW w:w="460" w:type="dxa"/>
            <w:vAlign w:val="bottom"/>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Saturn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59,276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47,855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111,102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Cadillac</w:t>
            </w:r>
          </w:p>
        </w:tc>
        <w:tc>
          <w:tcPr>
            <w:tcW w:w="740" w:type="dxa"/>
            <w:vAlign w:val="bottom"/>
          </w:tcPr>
          <w:p>
            <w:pPr>
              <w:jc w:val="right"/>
              <w:spacing w:after="0"/>
              <w:rPr>
                <w:sz w:val="20"/>
                <w:szCs w:val="20"/>
                <w:color w:val="auto"/>
              </w:rPr>
            </w:pPr>
            <w:r>
              <w:rPr>
                <w:rFonts w:ascii="Arial" w:cs="Arial" w:eastAsia="Arial" w:hAnsi="Arial"/>
                <w:sz w:val="18"/>
                <w:szCs w:val="18"/>
                <w:color w:val="auto"/>
              </w:rPr>
              <w:t>29,930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49,878</w:t>
            </w:r>
          </w:p>
        </w:tc>
        <w:tc>
          <w:tcPr>
            <w:tcW w:w="440" w:type="dxa"/>
            <w:vAlign w:val="bottom"/>
          </w:tcPr>
          <w:p>
            <w:pPr>
              <w:jc w:val="right"/>
              <w:spacing w:after="0"/>
              <w:rPr>
                <w:sz w:val="20"/>
                <w:szCs w:val="20"/>
                <w:color w:val="auto"/>
              </w:rPr>
            </w:pPr>
            <w:r>
              <w:rPr>
                <w:rFonts w:ascii="Arial" w:cs="Arial" w:eastAsia="Arial" w:hAnsi="Arial"/>
                <w:sz w:val="18"/>
                <w:szCs w:val="18"/>
                <w:color w:val="auto"/>
              </w:rPr>
              <w:t>-40.0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57,478</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103,326</w:t>
            </w:r>
          </w:p>
        </w:tc>
        <w:tc>
          <w:tcPr>
            <w:tcW w:w="460" w:type="dxa"/>
            <w:vAlign w:val="bottom"/>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Holden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35,546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59,241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72,341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Daewoo</w:t>
            </w:r>
          </w:p>
        </w:tc>
        <w:tc>
          <w:tcPr>
            <w:tcW w:w="740" w:type="dxa"/>
            <w:vAlign w:val="bottom"/>
          </w:tcPr>
          <w:p>
            <w:pPr>
              <w:jc w:val="right"/>
              <w:spacing w:after="0"/>
              <w:rPr>
                <w:sz w:val="20"/>
                <w:szCs w:val="20"/>
                <w:color w:val="auto"/>
              </w:rPr>
            </w:pPr>
            <w:r>
              <w:rPr>
                <w:rFonts w:ascii="Arial" w:cs="Arial" w:eastAsia="Arial" w:hAnsi="Arial"/>
                <w:sz w:val="18"/>
                <w:szCs w:val="18"/>
                <w:color w:val="auto"/>
              </w:rPr>
              <w:t>27,867</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41,581</w:t>
            </w:r>
          </w:p>
        </w:tc>
        <w:tc>
          <w:tcPr>
            <w:tcW w:w="440" w:type="dxa"/>
            <w:vAlign w:val="bottom"/>
          </w:tcPr>
          <w:p>
            <w:pPr>
              <w:jc w:val="right"/>
              <w:spacing w:after="0"/>
              <w:rPr>
                <w:sz w:val="20"/>
                <w:szCs w:val="20"/>
                <w:color w:val="auto"/>
              </w:rPr>
            </w:pPr>
            <w:r>
              <w:rPr>
                <w:rFonts w:ascii="Arial" w:cs="Arial" w:eastAsia="Arial" w:hAnsi="Arial"/>
                <w:sz w:val="18"/>
                <w:szCs w:val="18"/>
                <w:color w:val="auto"/>
              </w:rPr>
              <w:t>-33.0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47,015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71,207</w:t>
            </w:r>
          </w:p>
        </w:tc>
        <w:tc>
          <w:tcPr>
            <w:tcW w:w="46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Saab</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27,039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23,875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HUMMER</w:t>
            </w:r>
          </w:p>
        </w:tc>
        <w:tc>
          <w:tcPr>
            <w:tcW w:w="740" w:type="dxa"/>
            <w:vAlign w:val="bottom"/>
          </w:tcPr>
          <w:p>
            <w:pPr>
              <w:jc w:val="right"/>
              <w:spacing w:after="0"/>
              <w:rPr>
                <w:sz w:val="20"/>
                <w:szCs w:val="20"/>
                <w:color w:val="auto"/>
              </w:rPr>
            </w:pPr>
            <w:r>
              <w:rPr>
                <w:rFonts w:ascii="Arial" w:cs="Arial" w:eastAsia="Arial" w:hAnsi="Arial"/>
                <w:sz w:val="18"/>
                <w:szCs w:val="18"/>
                <w:color w:val="auto"/>
              </w:rPr>
              <w:t>5,001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8,855</w:t>
            </w:r>
          </w:p>
        </w:tc>
        <w:tc>
          <w:tcPr>
            <w:tcW w:w="440" w:type="dxa"/>
            <w:vAlign w:val="bottom"/>
          </w:tcPr>
          <w:p>
            <w:pPr>
              <w:jc w:val="right"/>
              <w:spacing w:after="0"/>
              <w:rPr>
                <w:sz w:val="20"/>
                <w:szCs w:val="20"/>
                <w:color w:val="auto"/>
              </w:rPr>
            </w:pPr>
            <w:r>
              <w:rPr>
                <w:rFonts w:ascii="Arial" w:cs="Arial" w:eastAsia="Arial" w:hAnsi="Arial"/>
                <w:sz w:val="18"/>
                <w:szCs w:val="18"/>
                <w:color w:val="auto"/>
              </w:rPr>
              <w:t>-43.5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10,051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21,908</w:t>
            </w:r>
          </w:p>
        </w:tc>
        <w:tc>
          <w:tcPr>
            <w:tcW w:w="460" w:type="dxa"/>
            <w:vAlign w:val="bottom"/>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8"/>
                <w:szCs w:val="18"/>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16,845</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r>
      <w:tr>
        <w:trPr>
          <w:trHeight w:val="221"/>
        </w:trPr>
        <w:tc>
          <w:tcPr>
            <w:tcW w:w="696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1,936,149</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2,287,642</w:t>
            </w:r>
          </w:p>
        </w:tc>
        <w:tc>
          <w:tcPr>
            <w:tcW w:w="440" w:type="dxa"/>
            <w:vAlign w:val="bottom"/>
          </w:tcPr>
          <w:p>
            <w:pPr>
              <w:jc w:val="right"/>
              <w:spacing w:after="0"/>
              <w:rPr>
                <w:sz w:val="20"/>
                <w:szCs w:val="20"/>
                <w:color w:val="auto"/>
              </w:rPr>
            </w:pPr>
            <w:r>
              <w:rPr>
                <w:rFonts w:ascii="Arial" w:cs="Arial" w:eastAsia="Arial" w:hAnsi="Arial"/>
                <w:sz w:val="18"/>
                <w:szCs w:val="18"/>
                <w:color w:val="auto"/>
              </w:rPr>
              <w:t>-15.4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3,552,722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4,541,125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90" w:lineRule="exact"/>
        <w:rPr>
          <w:sz w:val="20"/>
          <w:szCs w:val="20"/>
          <w:color w:val="auto"/>
        </w:rPr>
      </w:pPr>
    </w:p>
    <w:p>
      <w:pPr>
        <w:ind w:left="460" w:right="120" w:hanging="452"/>
        <w:spacing w:after="0" w:line="254"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Quarterly sales data is preliminary and subject to change; Vehicle sales data for periods prior to July 10, 2009 relate to the predecessor company, Motors Liquidation Company</w:t>
      </w:r>
    </w:p>
    <w:p>
      <w:pPr>
        <w:ind w:left="460" w:right="100" w:hanging="452"/>
        <w:spacing w:after="0" w:line="261"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own 34% of SGMW and under the joint venture agreement have significant rights as a member as well as the contractual right to report SGMW global sales in China as part of our global market share.</w:t>
      </w:r>
    </w:p>
    <w:sectPr>
      <w:pgSz w:w="11900" w:h="16838" w:orient="portrait"/>
      <w:cols w:equalWidth="0" w:num="1">
        <w:col w:w="11420"/>
      </w:cols>
      <w:pgMar w:left="240" w:top="274" w:right="239" w:bottom="99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2019-12-11T05:19:58Z</dcterms:created>
  <dcterms:modified xsi:type="dcterms:W3CDTF">2019-12-11T05:19:58Z</dcterms:modified>
</cp:coreProperties>
</file>