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464" w:space="720"/>
            <w:col w:w="2920" w:space="720"/>
            <w:col w:w="2200"/>
          </w:cols>
          <w:pgMar w:left="436" w:top="341" w:right="439" w:bottom="1440" w:gutter="0" w:footer="0" w:header="0"/>
          <w:type w:val="continuous"/>
        </w:sectPr>
      </w:pPr>
    </w:p>
    <w:p>
      <w:pPr>
        <w:spacing w:after="0" w:line="12"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636"/>
        <w:spacing w:after="0"/>
        <w:rPr>
          <w:sz w:val="20"/>
          <w:szCs w:val="20"/>
          <w:color w:val="auto"/>
        </w:rPr>
      </w:pPr>
      <w:r>
        <w:rPr>
          <w:rFonts w:ascii="Arial" w:cs="Arial" w:eastAsia="Arial" w:hAnsi="Arial"/>
          <w:sz w:val="15"/>
          <w:szCs w:val="15"/>
          <w:b w:val="1"/>
          <w:bCs w:val="1"/>
          <w:color w:val="auto"/>
        </w:rPr>
        <w:t>300 Renaissance Center,</w:t>
      </w:r>
    </w:p>
    <w:p>
      <w:pPr>
        <w:spacing w:after="0" w:line="62" w:lineRule="exact"/>
        <w:rPr>
          <w:sz w:val="24"/>
          <w:szCs w:val="24"/>
          <w:color w:val="auto"/>
        </w:rPr>
      </w:pPr>
    </w:p>
    <w:p>
      <w:pPr>
        <w:jc w:val="center"/>
        <w:ind w:right="1636"/>
        <w:spacing w:after="0"/>
        <w:rPr>
          <w:sz w:val="20"/>
          <w:szCs w:val="20"/>
          <w:color w:val="auto"/>
        </w:rPr>
      </w:pPr>
      <w:r>
        <w:rPr>
          <w:rFonts w:ascii="Arial" w:cs="Arial" w:eastAsia="Arial" w:hAnsi="Arial"/>
          <w:sz w:val="18"/>
          <w:szCs w:val="18"/>
          <w:b w:val="1"/>
          <w:bCs w:val="1"/>
          <w:color w:val="auto"/>
        </w:rPr>
        <w:t>Detroit, Michigan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7, 2020, General Motors Company (the “Company”) entered into an Underwriting Agreement (the “Underwriting Agreement”) with Deutsche Bank Securities Inc., for itself and as representative of the several other underwriters named therein (collectively, the “Underwriters”), pursuant to which the Company agreed to sell to the Underwriters, and the Underwriters agreed to purchase from the Company, $4.0 billion aggregate principal amount of the Company’s senior notes, consisting of $1.0 billion aggregate principal amount of 5.40% Senior Notes due 2023 (the “2023 Notes”), $2.0 billion aggregate principal amount of 6.125% Senior Notes due 2025 (the “2025 Notes”) and $1.0 billion aggregate principal amount of 6.80% Senior Notes due 2027 (the “2027 Notes” and, together with the 2023 Notes and the 2025 Notes, the “Notes”).</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May 12, 2020, the Company closed the offering of the Notes. The 2023 Notes, the 2025 Notes and the 2027 Notes were each issued as a separate series of debt securities pursuant to the indenture, dated as of September 27, 2013 (the “Base Indenture”), between the Company and The Bank of New York Mellon, as trustee (the “Trustee”), as supplemented by a sixth supplemental indenture, dated as of May 12, 2020 (the “Sixth Supplemental Indenture”), between the Company and the Trustee. The Base Indenture, as supplemented by the Sixth Supplemental Indenture (the “Indenture”), governs the terms of the Notes.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covenants that will limit (i) the ability of the Company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 (ii) the ability of the Company to enter into certain mergers or certain conveyances, transfers or leases of all or substantially all of its properties and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use the net proceeds from this offering for general corporate purposes.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offering and sale of the Notes was made pursuant to the Company’s effective shelf registration statement on Form S-3 (File No. 333-236276) filed with the Securities and Exchange Commission.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foregoing description of the Underwriting Agreement, Base Indenture and Sixth Supplemental Indenture does not constitute a complete summary of these documents and is qualified by reference in its entirety to the full text of the Underwriting Agreement, Base Indenture and Sixth Supplemental Indenture, which are filed herewith as Exhibit 1.1, Exhibit 4.1 and Exhibit 4.2, respectively, and incorporated herein by reference.</w:t>
      </w: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p>
    <w:p>
      <w:pPr>
        <w:spacing w:after="0" w:line="225" w:lineRule="exact"/>
        <w:rPr>
          <w:sz w:val="20"/>
          <w:szCs w:val="20"/>
          <w:color w:val="auto"/>
        </w:rPr>
      </w:pPr>
    </w:p>
    <w:p>
      <w:pPr>
        <w:ind w:left="220"/>
        <w:spacing w:after="0"/>
        <w:tabs>
          <w:tab w:leader="none" w:pos="57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260" w:right="60" w:hanging="1200"/>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Exhibit 1.1</w:t>
      </w:r>
      <w:r>
        <w:rPr>
          <w:sz w:val="20"/>
          <w:szCs w:val="20"/>
          <w:color w:val="auto"/>
        </w:rPr>
        <w:tab/>
      </w:r>
      <w:hyperlink w:anchor="page5">
        <w:r>
          <w:rPr>
            <w:rFonts w:ascii="Arial" w:cs="Arial" w:eastAsia="Arial" w:hAnsi="Arial"/>
            <w:sz w:val="18"/>
            <w:szCs w:val="18"/>
            <w:u w:val="single" w:color="auto"/>
            <w:color w:val="0000EE"/>
          </w:rPr>
          <w:t>Underwriting Agreement, dated May 7, 2020, by and between General Motors Company, as issuer, and Deutsche Bank Securities Inc.,</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for itself and as representative of the several underwriters named therein</w:t>
        </w:r>
      </w:hyperlink>
    </w:p>
    <w:p>
      <w:pPr>
        <w:spacing w:after="0" w:line="62" w:lineRule="exact"/>
        <w:rPr>
          <w:sz w:val="20"/>
          <w:szCs w:val="20"/>
          <w:color w:val="auto"/>
        </w:rPr>
      </w:pPr>
    </w:p>
    <w:p>
      <w:pPr>
        <w:ind w:left="1260" w:right="100" w:hanging="1200"/>
        <w:spacing w:after="0" w:line="263"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Exhibit 4.1</w:t>
      </w:r>
      <w:r>
        <w:rPr>
          <w:sz w:val="20"/>
          <w:szCs w:val="20"/>
          <w:color w:val="auto"/>
        </w:rPr>
        <w:tab/>
      </w:r>
      <w:hyperlink r:id="rId17">
        <w:r>
          <w:rPr>
            <w:rFonts w:ascii="Arial" w:cs="Arial" w:eastAsia="Arial" w:hAnsi="Arial"/>
            <w:sz w:val="18"/>
            <w:szCs w:val="18"/>
            <w:u w:val="single" w:color="auto"/>
            <w:color w:val="0000EE"/>
          </w:rPr>
          <w:t>Indenture dated as of September 27, 2013, between General Motors Company and The Bank of New York Mellon, as Trustee,</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incorporated herein by reference to Exhibit 4.2 to the Registration Statement on Form S-3 of General Motors Company filed April 30,</w:t>
        </w:r>
      </w:hyperlink>
      <w:r>
        <w:rPr>
          <w:rFonts w:ascii="Arial" w:cs="Arial" w:eastAsia="Arial" w:hAnsi="Arial"/>
          <w:sz w:val="18"/>
          <w:szCs w:val="18"/>
          <w:u w:val="single" w:color="auto"/>
          <w:color w:val="0000EE"/>
        </w:rPr>
        <w:t xml:space="preserve"> </w:t>
      </w:r>
      <w:hyperlink r:id="rId17">
        <w:r>
          <w:rPr>
            <w:rFonts w:ascii="Arial" w:cs="Arial" w:eastAsia="Arial" w:hAnsi="Arial"/>
            <w:sz w:val="18"/>
            <w:szCs w:val="18"/>
            <w:u w:val="single" w:color="auto"/>
            <w:color w:val="0000EE"/>
          </w:rPr>
          <w:t>2014</w:t>
        </w:r>
      </w:hyperlink>
    </w:p>
    <w:p>
      <w:pPr>
        <w:sectPr>
          <w:pgSz w:w="11900" w:h="16838" w:orient="portrait"/>
          <w:cols w:equalWidth="0" w:num="1">
            <w:col w:w="11000"/>
          </w:cols>
          <w:pgMar w:left="440" w:top="297" w:right="459" w:bottom="1440" w:gutter="0" w:footer="0" w:header="0"/>
        </w:sectPr>
      </w:pPr>
    </w:p>
    <w:bookmarkStart w:id="2" w:name="page3"/>
    <w:bookmarkEnd w:id="2"/>
    <w:p>
      <w:pPr>
        <w:ind w:left="1280" w:hanging="1281"/>
        <w:spacing w:after="0" w:line="277"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Exhibit 4.2</w:t>
      </w:r>
      <w:r>
        <w:rPr>
          <w:sz w:val="20"/>
          <w:szCs w:val="20"/>
          <w:color w:val="auto"/>
        </w:rPr>
        <w:tab/>
      </w:r>
      <w:hyperlink w:anchor="page42">
        <w:r>
          <w:rPr>
            <w:rFonts w:ascii="Arial" w:cs="Arial" w:eastAsia="Arial" w:hAnsi="Arial"/>
            <w:sz w:val="18"/>
            <w:szCs w:val="18"/>
            <w:u w:val="single" w:color="auto"/>
            <w:color w:val="0000EE"/>
          </w:rPr>
          <w:t>Sixth Supplemental Indenture, dated as of May 12, 2020, to the Indenture, dated as of September 27, 2013, between General Motors</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Company, as issuer, and The Bank of New York Mellon, as Trustee</w:t>
        </w:r>
      </w:hyperlink>
    </w:p>
    <w:p>
      <w:pPr>
        <w:spacing w:after="0" w:line="62" w:lineRule="exact"/>
        <w:rPr>
          <w:sz w:val="20"/>
          <w:szCs w:val="20"/>
          <w:color w:val="auto"/>
        </w:rPr>
      </w:pPr>
    </w:p>
    <w:p>
      <w:pPr>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Exhibit 4.3</w:t>
      </w:r>
      <w:r>
        <w:rPr>
          <w:sz w:val="20"/>
          <w:szCs w:val="20"/>
          <w:color w:val="auto"/>
        </w:rPr>
        <w:tab/>
      </w:r>
      <w:hyperlink w:anchor="page42">
        <w:r>
          <w:rPr>
            <w:rFonts w:ascii="Arial" w:cs="Arial" w:eastAsia="Arial" w:hAnsi="Arial"/>
            <w:sz w:val="16"/>
            <w:szCs w:val="16"/>
            <w:u w:val="single" w:color="auto"/>
            <w:color w:val="0000EE"/>
          </w:rPr>
          <w:t>Form of General Motors Company 5.40% Senior Notes due 2023 (included in Exhibit 4.2)</w:t>
        </w:r>
      </w:hyperlink>
    </w:p>
    <w:p>
      <w:pPr>
        <w:spacing w:after="0" w:line="117" w:lineRule="exact"/>
        <w:rPr>
          <w:sz w:val="20"/>
          <w:szCs w:val="20"/>
          <w:color w:val="auto"/>
        </w:rPr>
      </w:pPr>
    </w:p>
    <w:p>
      <w:pPr>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Exhibit 4.4</w:t>
      </w:r>
      <w:r>
        <w:rPr>
          <w:sz w:val="20"/>
          <w:szCs w:val="20"/>
          <w:color w:val="auto"/>
        </w:rPr>
        <w:tab/>
      </w:r>
      <w:hyperlink w:anchor="page42">
        <w:r>
          <w:rPr>
            <w:rFonts w:ascii="Arial" w:cs="Arial" w:eastAsia="Arial" w:hAnsi="Arial"/>
            <w:sz w:val="16"/>
            <w:szCs w:val="16"/>
            <w:u w:val="single" w:color="auto"/>
            <w:color w:val="0000EE"/>
          </w:rPr>
          <w:t>Form of General Motors Company 6.125% Senior Notes due 2025 (included in Exhibit 4.2)</w:t>
        </w:r>
      </w:hyperlink>
    </w:p>
    <w:p>
      <w:pPr>
        <w:spacing w:after="0" w:line="117" w:lineRule="exact"/>
        <w:rPr>
          <w:sz w:val="20"/>
          <w:szCs w:val="20"/>
          <w:color w:val="auto"/>
        </w:rPr>
      </w:pPr>
    </w:p>
    <w:p>
      <w:pPr>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Exhibit 4.5</w:t>
      </w:r>
      <w:r>
        <w:rPr>
          <w:sz w:val="20"/>
          <w:szCs w:val="20"/>
          <w:color w:val="auto"/>
        </w:rPr>
        <w:tab/>
      </w:r>
      <w:hyperlink w:anchor="page42">
        <w:r>
          <w:rPr>
            <w:rFonts w:ascii="Arial" w:cs="Arial" w:eastAsia="Arial" w:hAnsi="Arial"/>
            <w:sz w:val="16"/>
            <w:szCs w:val="16"/>
            <w:u w:val="single" w:color="auto"/>
            <w:color w:val="0000EE"/>
          </w:rPr>
          <w:t>Form of General Motors Company 6.80% Senior Notes due 2027 (included in Exhibit 4.2)</w:t>
        </w:r>
      </w:hyperlink>
    </w:p>
    <w:p>
      <w:pPr>
        <w:spacing w:after="0" w:line="117" w:lineRule="exact"/>
        <w:rPr>
          <w:sz w:val="20"/>
          <w:szCs w:val="20"/>
          <w:color w:val="auto"/>
        </w:rPr>
      </w:pPr>
    </w:p>
    <w:p>
      <w:pPr>
        <w:spacing w:after="0"/>
        <w:tabs>
          <w:tab w:leader="none" w:pos="1260" w:val="left"/>
        </w:tabs>
        <w:rPr>
          <w:rFonts w:ascii="Arial" w:cs="Arial" w:eastAsia="Arial" w:hAnsi="Arial"/>
          <w:sz w:val="17"/>
          <w:szCs w:val="17"/>
          <w:u w:val="single" w:color="auto"/>
          <w:color w:val="0000EE"/>
        </w:rPr>
      </w:pPr>
      <w:r>
        <w:rPr>
          <w:rFonts w:ascii="Arial" w:cs="Arial" w:eastAsia="Arial" w:hAnsi="Arial"/>
          <w:sz w:val="18"/>
          <w:szCs w:val="18"/>
          <w:color w:val="auto"/>
        </w:rPr>
        <w:t>Exhibit 5.1</w:t>
      </w:r>
      <w:r>
        <w:rPr>
          <w:sz w:val="20"/>
          <w:szCs w:val="20"/>
          <w:color w:val="auto"/>
        </w:rPr>
        <w:tab/>
      </w:r>
      <w:hyperlink w:anchor="page90">
        <w:r>
          <w:rPr>
            <w:rFonts w:ascii="Arial" w:cs="Arial" w:eastAsia="Arial" w:hAnsi="Arial"/>
            <w:sz w:val="17"/>
            <w:szCs w:val="17"/>
            <w:u w:val="single" w:color="auto"/>
            <w:color w:val="0000EE"/>
          </w:rPr>
          <w:t>Opinion of King &amp; Spalding LLP</w:t>
        </w:r>
      </w:hyperlink>
    </w:p>
    <w:p>
      <w:pPr>
        <w:spacing w:after="0" w:line="117" w:lineRule="exact"/>
        <w:rPr>
          <w:sz w:val="20"/>
          <w:szCs w:val="20"/>
          <w:color w:val="auto"/>
        </w:rPr>
      </w:pPr>
    </w:p>
    <w:p>
      <w:pPr>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Exhibit 23.1</w:t>
      </w:r>
      <w:r>
        <w:rPr>
          <w:sz w:val="20"/>
          <w:szCs w:val="20"/>
          <w:color w:val="auto"/>
        </w:rPr>
        <w:tab/>
      </w:r>
      <w:hyperlink w:anchor="page90">
        <w:r>
          <w:rPr>
            <w:rFonts w:ascii="Arial" w:cs="Arial" w:eastAsia="Arial" w:hAnsi="Arial"/>
            <w:sz w:val="16"/>
            <w:szCs w:val="16"/>
            <w:u w:val="single" w:color="auto"/>
            <w:color w:val="0000EE"/>
          </w:rPr>
          <w:t>Consent of King &amp; Spalding LLP (included in Exhibit 5.1)</w:t>
        </w:r>
      </w:hyperlink>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800"/>
          </w:cols>
          <w:pgMar w:left="500" w:top="409" w:right="59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MOTORS COMPANY (Registrant)</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6"/>
          <w:szCs w:val="16"/>
          <w:color w:val="auto"/>
        </w:rPr>
        <w:t>Assistant General Counsel and Corporate Secretary</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5.40% Senior Notes due 2023</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6.125% Senior Notes due 2025</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6.80% Senior Notes due 2027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General Motors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Deutsche Bank Securities Inc. is acting as representative (the “</w:t>
      </w:r>
      <w:r>
        <w:rPr>
          <w:rFonts w:ascii="Arial" w:cs="Arial" w:eastAsia="Arial" w:hAnsi="Arial"/>
          <w:sz w:val="17"/>
          <w:szCs w:val="17"/>
          <w:b w:val="1"/>
          <w:bCs w:val="1"/>
          <w:color w:val="auto"/>
        </w:rPr>
        <w:t>Representative</w:t>
      </w:r>
      <w:r>
        <w:rPr>
          <w:rFonts w:ascii="Arial" w:cs="Arial" w:eastAsia="Arial" w:hAnsi="Arial"/>
          <w:sz w:val="17"/>
          <w:szCs w:val="17"/>
          <w:color w:val="auto"/>
        </w:rPr>
        <w:t>”), $1,000,000,000 aggregate principal amount of its 5.40% Senior Notes due 2023 (the “</w:t>
      </w:r>
      <w:r>
        <w:rPr>
          <w:rFonts w:ascii="Arial" w:cs="Arial" w:eastAsia="Arial" w:hAnsi="Arial"/>
          <w:sz w:val="17"/>
          <w:szCs w:val="17"/>
          <w:b w:val="1"/>
          <w:bCs w:val="1"/>
          <w:color w:val="auto"/>
        </w:rPr>
        <w:t>2023 Securities</w:t>
      </w:r>
      <w:r>
        <w:rPr>
          <w:rFonts w:ascii="Arial" w:cs="Arial" w:eastAsia="Arial" w:hAnsi="Arial"/>
          <w:sz w:val="17"/>
          <w:szCs w:val="17"/>
          <w:color w:val="auto"/>
        </w:rPr>
        <w:t>”), $2,000,000,000 aggregate principal amount of its 6.125% Senior Notes due 2025 (the “</w:t>
      </w:r>
      <w:r>
        <w:rPr>
          <w:rFonts w:ascii="Arial" w:cs="Arial" w:eastAsia="Arial" w:hAnsi="Arial"/>
          <w:sz w:val="17"/>
          <w:szCs w:val="17"/>
          <w:b w:val="1"/>
          <w:bCs w:val="1"/>
          <w:color w:val="auto"/>
        </w:rPr>
        <w:t>2025 Securities</w:t>
      </w:r>
      <w:r>
        <w:rPr>
          <w:rFonts w:ascii="Arial" w:cs="Arial" w:eastAsia="Arial" w:hAnsi="Arial"/>
          <w:sz w:val="17"/>
          <w:szCs w:val="17"/>
          <w:color w:val="auto"/>
        </w:rPr>
        <w:t>”) and $1,000,000,000 aggregate principal amount of its 6.80% Senior Notes due 2027 (the “</w:t>
      </w:r>
      <w:r>
        <w:rPr>
          <w:rFonts w:ascii="Arial" w:cs="Arial" w:eastAsia="Arial" w:hAnsi="Arial"/>
          <w:sz w:val="17"/>
          <w:szCs w:val="17"/>
          <w:b w:val="1"/>
          <w:bCs w:val="1"/>
          <w:color w:val="auto"/>
        </w:rPr>
        <w:t>2027</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together with the 2023 Securities and the 2025 Securities, the “</w:t>
      </w:r>
      <w:r>
        <w:rPr>
          <w:rFonts w:ascii="Arial" w:cs="Arial" w:eastAsia="Arial" w:hAnsi="Arial"/>
          <w:sz w:val="17"/>
          <w:szCs w:val="17"/>
          <w:b w:val="1"/>
          <w:bCs w:val="1"/>
          <w:color w:val="auto"/>
        </w:rPr>
        <w:t>Securities</w:t>
      </w:r>
      <w:r>
        <w:rPr>
          <w:rFonts w:ascii="Arial" w:cs="Arial" w:eastAsia="Arial" w:hAnsi="Arial"/>
          <w:sz w:val="17"/>
          <w:szCs w:val="17"/>
          <w:color w:val="auto"/>
        </w:rPr>
        <w:t>”) all to be issued pursuant to the provisions of an Indenture</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September 27, 2013 (as defined below) (the “</w:t>
      </w:r>
      <w:r>
        <w:rPr>
          <w:rFonts w:ascii="Arial" w:cs="Arial" w:eastAsia="Arial" w:hAnsi="Arial"/>
          <w:sz w:val="17"/>
          <w:szCs w:val="17"/>
          <w:b w:val="1"/>
          <w:bCs w:val="1"/>
          <w:color w:val="auto"/>
        </w:rPr>
        <w:t>Base 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supplemented by a supplemental indenture to be dated as of the Closing Date (the “</w:t>
      </w:r>
      <w:r>
        <w:rPr>
          <w:rFonts w:ascii="Arial" w:cs="Arial" w:eastAsia="Arial" w:hAnsi="Arial"/>
          <w:sz w:val="17"/>
          <w:szCs w:val="17"/>
          <w:b w:val="1"/>
          <w:bCs w:val="1"/>
          <w:color w:val="auto"/>
        </w:rPr>
        <w:t>Sixth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Trustee.</w:t>
      </w:r>
    </w:p>
    <w:p>
      <w:pPr>
        <w:spacing w:after="0" w:line="17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including a prospectus, (File No. 333-236276) on Form S-3, relating to certain securities of the Company (the “</w:t>
      </w:r>
      <w:r>
        <w:rPr>
          <w:rFonts w:ascii="Arial" w:cs="Arial" w:eastAsia="Arial" w:hAnsi="Arial"/>
          <w:sz w:val="18"/>
          <w:szCs w:val="18"/>
          <w:b w:val="1"/>
          <w:bCs w:val="1"/>
          <w:color w:val="auto"/>
        </w:rPr>
        <w:t>Shelf Securities</w:t>
      </w:r>
      <w:r>
        <w:rPr>
          <w:rFonts w:ascii="Arial" w:cs="Arial" w:eastAsia="Arial" w:hAnsi="Arial"/>
          <w:sz w:val="18"/>
          <w:szCs w:val="18"/>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w:t>
      </w:r>
    </w:p>
    <w:p>
      <w:pPr>
        <w:sectPr>
          <w:pgSz w:w="11900" w:h="16838" w:orient="portrait"/>
          <w:cols w:equalWidth="0" w:num="1">
            <w:col w:w="11020"/>
          </w:cols>
          <w:pgMar w:left="440" w:top="121" w:right="439" w:bottom="1440" w:gutter="0" w:footer="0" w:header="0"/>
        </w:sectPr>
      </w:pPr>
    </w:p>
    <w:bookmarkStart w:id="5" w:name="page6"/>
    <w:bookmarkEnd w:id="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February 5, 2020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 (including any preliminary prospectus supplement and the Basic Prospectus attached thereto) filed with the Commission pursuant to Rule 424(b) under the Securities Act.</w:t>
      </w:r>
    </w:p>
    <w:p>
      <w:pPr>
        <w:spacing w:after="0" w:line="17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as used herein means the documents identified as such in Schedule II hereto and any other “</w:t>
      </w:r>
      <w:r>
        <w:rPr>
          <w:rFonts w:ascii="Arial" w:cs="Arial" w:eastAsia="Arial" w:hAnsi="Arial"/>
          <w:sz w:val="17"/>
          <w:szCs w:val="17"/>
          <w:b w:val="1"/>
          <w:bCs w:val="1"/>
          <w:color w:val="auto"/>
        </w:rPr>
        <w:t>free</w:t>
      </w:r>
      <w:r>
        <w:rPr>
          <w:rFonts w:ascii="Arial" w:cs="Arial" w:eastAsia="Arial" w:hAnsi="Arial"/>
          <w:sz w:val="17"/>
          <w:szCs w:val="17"/>
          <w:color w:val="auto"/>
        </w:rPr>
        <w:t xml:space="preserve"> </w:t>
      </w:r>
      <w:r>
        <w:rPr>
          <w:rFonts w:ascii="Arial" w:cs="Arial" w:eastAsia="Arial" w:hAnsi="Arial"/>
          <w:sz w:val="17"/>
          <w:szCs w:val="17"/>
          <w:b w:val="1"/>
          <w:bCs w:val="1"/>
          <w:color w:val="auto"/>
        </w:rPr>
        <w:t>writing prospectus</w:t>
      </w:r>
      <w:r>
        <w:rPr>
          <w:rFonts w:ascii="Arial" w:cs="Arial" w:eastAsia="Arial" w:hAnsi="Arial"/>
          <w:sz w:val="17"/>
          <w:szCs w:val="17"/>
          <w:color w:val="auto"/>
        </w:rPr>
        <w:t>” (as defined in Rule 405 under the Securities Act) that the Representative and the Company shall hereafter agree in writing to treat</w:t>
      </w:r>
      <w:r>
        <w:rPr>
          <w:rFonts w:ascii="Arial" w:cs="Arial" w:eastAsia="Arial" w:hAnsi="Arial"/>
          <w:sz w:val="17"/>
          <w:szCs w:val="17"/>
          <w:b w:val="1"/>
          <w:bCs w:val="1"/>
          <w:color w:val="auto"/>
        </w:rPr>
        <w:t xml:space="preserve"> </w:t>
      </w:r>
      <w:r>
        <w:rPr>
          <w:rFonts w:ascii="Arial" w:cs="Arial" w:eastAsia="Arial" w:hAnsi="Arial"/>
          <w:sz w:val="17"/>
          <w:szCs w:val="17"/>
          <w:color w:val="auto"/>
        </w:rPr>
        <w:t>as part of the Disclosure Package. The term “</w:t>
      </w:r>
      <w:r>
        <w:rPr>
          <w:rFonts w:ascii="Arial" w:cs="Arial" w:eastAsia="Arial" w:hAnsi="Arial"/>
          <w:sz w:val="17"/>
          <w:szCs w:val="17"/>
          <w:b w:val="1"/>
          <w:bCs w:val="1"/>
          <w:color w:val="auto"/>
        </w:rPr>
        <w:t>Disclosure Package</w:t>
      </w:r>
      <w:r>
        <w:rPr>
          <w:rFonts w:ascii="Arial" w:cs="Arial" w:eastAsia="Arial" w:hAnsi="Arial"/>
          <w:sz w:val="17"/>
          <w:szCs w:val="17"/>
          <w:color w:val="auto"/>
        </w:rPr>
        <w:t>” as used herein means the Preliminary Prospectus dated May 7, 2020 together with the term sheet set forth in Annex II-A hereto and any other Permitted Free Writing Prospectuses, other than the Media Free Writing Prospectus. The term “</w:t>
      </w:r>
      <w:r>
        <w:rPr>
          <w:rFonts w:ascii="Arial" w:cs="Arial" w:eastAsia="Arial" w:hAnsi="Arial"/>
          <w:sz w:val="17"/>
          <w:szCs w:val="17"/>
          <w:b w:val="1"/>
          <w:bCs w:val="1"/>
          <w:color w:val="auto"/>
        </w:rPr>
        <w:t>Media Free Writing Prospectus</w:t>
      </w:r>
      <w:r>
        <w:rPr>
          <w:rFonts w:ascii="Arial" w:cs="Arial" w:eastAsia="Arial" w:hAnsi="Arial"/>
          <w:sz w:val="17"/>
          <w:szCs w:val="17"/>
          <w:color w:val="auto"/>
        </w:rPr>
        <w:t>” as used herein means the document identified as such in Schedule II hereto and any retransmission thereof, whether or not approved by the Company. “</w:t>
      </w:r>
      <w:r>
        <w:rPr>
          <w:rFonts w:ascii="Arial" w:cs="Arial" w:eastAsia="Arial" w:hAnsi="Arial"/>
          <w:sz w:val="17"/>
          <w:szCs w:val="17"/>
          <w:b w:val="1"/>
          <w:bCs w:val="1"/>
          <w:color w:val="auto"/>
        </w:rPr>
        <w:t>Initial Sale Time</w:t>
      </w:r>
      <w:r>
        <w:rPr>
          <w:rFonts w:ascii="Arial" w:cs="Arial" w:eastAsia="Arial" w:hAnsi="Arial"/>
          <w:sz w:val="17"/>
          <w:szCs w:val="17"/>
          <w:color w:val="auto"/>
        </w:rPr>
        <w:t>” shall mean 6:20 P.M. Eastern Standard Time on the date of this Agreement. 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Basic Prospectus,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that are deemed to be incorporated by reference therein.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 purchase price of 99.496% of the principal amount thereof in the case of the 2023 Securities, 99.399% of the principal amount thereof in the case of the 2025 Securities and 99.225% of the principal amount thereof in the case of the 2027 Securities (in respect of each series of Securities,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May 12, 2020, if settlement occurs after that date, to the Closing Date (as defined below).</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III.</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The Company is advised by the Representative that the Underwriters propose to make a public offering of their respective portions of the Securities as soon as practicable after this Agreement is entered into as in the Representative’s judgment is advisable upon the basis of the terms and conditions set forth in this Agreement and the Disclosure Package and to be set forth in the Prospectus.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deliver the Securities, against payment of the Purchase Price therefor plus accrued interest, if any, from May 12, 2020, if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settlement occurs after that date, to the Closing Date (as defined below) in the form of one or more permanent global securities (the “</w:t>
      </w:r>
      <w:r>
        <w:rPr>
          <w:rFonts w:ascii="Arial" w:cs="Arial" w:eastAsia="Arial" w:hAnsi="Arial"/>
          <w:sz w:val="17"/>
          <w:szCs w:val="17"/>
          <w:b w:val="1"/>
          <w:bCs w:val="1"/>
          <w:color w:val="auto"/>
        </w:rPr>
        <w:t>Global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 deposited with the Trustee as custodian for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Cede &amp; Co. as nominee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DTC. Interests in any permanent Global Securities will be held only in book-entry form through DTC, except in the limited circumstances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Registration Statement, the Disclosure Package and the Prospectus. Payment for the Securities shall be made by the several Underwriters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 by wire transfer in immediately available funds to an account specified by the Company at 10:00 A.M. (New York time) on May 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which date and time may be postponed by agreement between the Representative and the Company or as provided in Article XV (such date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of delivery and payment for the Securities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against delivery to the Trustee as custodian for DTC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Global Securities representing all of the Securities.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firstLine="436"/>
        <w:spacing w:after="0" w:line="287"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7" w:name="page8"/>
    <w:bookmarkEnd w:id="7"/>
    <w:p>
      <w:pPr>
        <w:ind w:firstLine="436"/>
        <w:spacing w:after="0" w:line="286" w:lineRule="auto"/>
        <w:tabs>
          <w:tab w:leader="none" w:pos="83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Third Amended and Restated 3-Year Revolving Credit Agreement, dated as of April 18, 2018, among the Company, General Motors Financial Company, Inc., General Motors do Brasil Ltda., GM Global Treasury Centre Limited, the other subsidiary borrowers from time to time parties thereto, the several lenders from time to time party thereto, JPMorgan Chase Bank, N.A., as administrative agent, and Citibank, N.A., as syndication agent, as amended through the date hereof, the Third Amended and Restated 5-Year Revolving Credit Agreement, dated as of April 18, 2018, among the Company, General Motors Financial Company, Inc., General Motors do Brasil Ltda., GM Global Treasury Centre Limited, the other subsidiary borrowers from time to time parties thereto, the several lenders from time to time party thereto, JPMorgan Chase Bank, N.A., as administrative agent, and Citibank, N.A., as syndication agent, the 3-Year Revolving Credit Agreement, dated as of January 14, 2019, among the Company, the several lenders from time to time parties thereto, JPMorgan Chase Bank, N.A., as administrative agent, and Citibank, N.A., as syndication agent, and the Second Amended and Restated 364-Day Revolving Credit Agreement, dated as of April 14, 2020, among General Motors Company, General Motors Financial Company, Inc., the subsidiary borrowers from time to time parties thereto, the several lenders from time to time parties thereto, JPMorgan Chase Bank, N.A., as administrative agent, and Citibank, N.A., as syndication agent, shall not be considered outstanding debt for purposes of this clause (b).</w:t>
      </w:r>
    </w:p>
    <w:p>
      <w:pPr>
        <w:spacing w:after="0" w:line="167" w:lineRule="exact"/>
        <w:rPr>
          <w:rFonts w:ascii="Arial" w:cs="Arial" w:eastAsia="Arial" w:hAnsi="Arial"/>
          <w:sz w:val="16"/>
          <w:szCs w:val="16"/>
          <w:color w:val="auto"/>
        </w:rPr>
      </w:pPr>
    </w:p>
    <w:p>
      <w:pPr>
        <w:ind w:right="160" w:firstLine="436"/>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86" w:lineRule="exact"/>
        <w:rPr>
          <w:rFonts w:ascii="Arial" w:cs="Arial" w:eastAsia="Arial" w:hAnsi="Arial"/>
          <w:sz w:val="18"/>
          <w:szCs w:val="18"/>
          <w:color w:val="auto"/>
        </w:rPr>
      </w:pPr>
    </w:p>
    <w:p>
      <w:pPr>
        <w:ind w:right="160" w:firstLine="436"/>
        <w:spacing w:after="0" w:line="263" w:lineRule="auto"/>
        <w:tabs>
          <w:tab w:leader="none" w:pos="82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(i) an opinion of an attorney on the Legal Staff of the Company, dated the Closing Date, to the effect set forth in Exhibit A-1, and (ii) a Rule 10b-5 statement of an attorney on the Legal Staff of the Company, dated the Closing Date, to the effect set forth in Exhibit A-2.</w:t>
      </w:r>
    </w:p>
    <w:p>
      <w:pPr>
        <w:spacing w:after="0" w:line="183" w:lineRule="exact"/>
        <w:rPr>
          <w:rFonts w:ascii="Arial" w:cs="Arial" w:eastAsia="Arial" w:hAnsi="Arial"/>
          <w:sz w:val="18"/>
          <w:szCs w:val="18"/>
          <w:color w:val="auto"/>
        </w:rPr>
      </w:pPr>
    </w:p>
    <w:p>
      <w:pPr>
        <w:ind w:right="140" w:firstLine="436"/>
        <w:spacing w:after="0" w:line="277" w:lineRule="auto"/>
        <w:tabs>
          <w:tab w:leader="none" w:pos="8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an opinion of counsel for the Company, dated the Closing Date, to the effect set forth in Exhibit A-3.</w:t>
      </w:r>
    </w:p>
    <w:p>
      <w:pPr>
        <w:spacing w:after="0" w:line="170" w:lineRule="exact"/>
        <w:rPr>
          <w:rFonts w:ascii="Arial" w:cs="Arial" w:eastAsia="Arial" w:hAnsi="Arial"/>
          <w:sz w:val="18"/>
          <w:szCs w:val="18"/>
          <w:color w:val="auto"/>
        </w:rPr>
      </w:pPr>
    </w:p>
    <w:p>
      <w:pPr>
        <w:ind w:right="200" w:firstLine="436"/>
        <w:spacing w:after="0" w:line="263" w:lineRule="auto"/>
        <w:tabs>
          <w:tab w:leader="none" w:pos="7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 w:name="page9"/>
    <w:bookmarkEnd w:id="8"/>
    <w:p>
      <w:pPr>
        <w:ind w:left="-20" w:right="60" w:firstLine="436"/>
        <w:spacing w:after="0" w:line="263"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Representative shall have received on each of the date hereof and the Closing Date customary “comfort letters,” dated the date hereof or the Closing Date, as the case may be, in form and substance reasonably satisfactory to the Representative, from each of Deloitte &amp; Touche LLP and Ernst &amp; Young LLP.</w:t>
      </w:r>
    </w:p>
    <w:p>
      <w:pPr>
        <w:spacing w:after="0" w:line="183" w:lineRule="exact"/>
        <w:rPr>
          <w:rFonts w:ascii="Arial" w:cs="Arial" w:eastAsia="Arial" w:hAnsi="Arial"/>
          <w:sz w:val="18"/>
          <w:szCs w:val="18"/>
          <w:color w:val="auto"/>
        </w:rPr>
      </w:pPr>
    </w:p>
    <w:p>
      <w:pPr>
        <w:ind w:left="-20" w:right="160" w:firstLine="436"/>
        <w:spacing w:after="0" w:line="277"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 shall have received on the Closing Date (i) duly executed copies of the Indenture and (ii) specimen copies of the global notes representing the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20" w:right="40" w:firstLine="436"/>
        <w:spacing w:after="0" w:line="291" w:lineRule="auto"/>
        <w:tabs>
          <w:tab w:leader="none" w:pos="797"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furnish the Representative,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as many copies of the Disclosure Package, the Prospectus, any Permitted Free Writing Prospectuses, any documents incorporated by reference therein and any supplements and amendments thereto, as applicable, in all cases as the Representative may reasonably request.</w:t>
      </w:r>
    </w:p>
    <w:p>
      <w:pPr>
        <w:spacing w:after="0" w:line="166" w:lineRule="exact"/>
        <w:rPr>
          <w:rFonts w:ascii="Arial" w:cs="Arial" w:eastAsia="Arial" w:hAnsi="Arial"/>
          <w:sz w:val="16"/>
          <w:szCs w:val="16"/>
          <w:color w:val="auto"/>
        </w:rPr>
      </w:pPr>
    </w:p>
    <w:p>
      <w:pPr>
        <w:ind w:left="-20" w:right="100" w:firstLine="436"/>
        <w:spacing w:after="0" w:line="279" w:lineRule="auto"/>
        <w:tabs>
          <w:tab w:leader="none" w:pos="81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 a copy of each such proposed amendment or supplement, and (y) to notify the Representative as promptly as practicable of the filing with the Commission of any such amendment or supplement to the Registration Statement, the Disclosure Package or the Prospectus.</w:t>
      </w:r>
    </w:p>
    <w:p>
      <w:pPr>
        <w:spacing w:after="0" w:line="171" w:lineRule="exact"/>
        <w:rPr>
          <w:rFonts w:ascii="Arial" w:cs="Arial" w:eastAsia="Arial" w:hAnsi="Arial"/>
          <w:sz w:val="17"/>
          <w:szCs w:val="17"/>
          <w:color w:val="auto"/>
        </w:rPr>
      </w:pPr>
    </w:p>
    <w:p>
      <w:pPr>
        <w:ind w:left="-20" w:firstLine="436"/>
        <w:spacing w:after="0" w:line="270" w:lineRule="auto"/>
        <w:tabs>
          <w:tab w:leader="none" w:pos="797"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furnish to the Representative, upon written request, copies of each amendment and supplement to the Registration Statement, the Disclosure Package or the Prospectus (including by way of filing with the Commission any documents incorporated by reference therein), in such quantities as the Representative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9" w:name="page10"/>
    <w:bookmarkEnd w:id="9"/>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w:t>
      </w:r>
    </w:p>
    <w:p>
      <w:pPr>
        <w:spacing w:after="0" w:line="2" w:lineRule="exact"/>
        <w:rPr>
          <w:sz w:val="20"/>
          <w:szCs w:val="20"/>
          <w:color w:val="auto"/>
        </w:rPr>
      </w:pPr>
    </w:p>
    <w:p>
      <w:pPr>
        <w:ind w:left="4" w:hanging="4"/>
        <w:spacing w:after="0" w:line="273" w:lineRule="auto"/>
        <w:tabs>
          <w:tab w:leader="none" w:pos="289"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76" w:lineRule="exact"/>
        <w:rPr>
          <w:rFonts w:ascii="Arial" w:cs="Arial" w:eastAsia="Arial" w:hAnsi="Arial"/>
          <w:sz w:val="17"/>
          <w:szCs w:val="17"/>
          <w:color w:val="auto"/>
        </w:rPr>
      </w:pPr>
    </w:p>
    <w:p>
      <w:pPr>
        <w:ind w:left="4" w:right="60" w:firstLine="436"/>
        <w:spacing w:after="0" w:line="308" w:lineRule="auto"/>
        <w:tabs>
          <w:tab w:leader="none" w:pos="831"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furnish to the Representative a copy of each proposed free writing prospectus to be prepared by or on behalf of, used by, or referred to by the Company and not to use or refer to any proposed free writing prospectus to which the Representative reasonably object.</w:t>
      </w:r>
    </w:p>
    <w:p>
      <w:pPr>
        <w:spacing w:after="0" w:line="146" w:lineRule="exact"/>
        <w:rPr>
          <w:rFonts w:ascii="Arial" w:cs="Arial" w:eastAsia="Arial" w:hAnsi="Arial"/>
          <w:sz w:val="17"/>
          <w:szCs w:val="17"/>
          <w:color w:val="auto"/>
        </w:rPr>
      </w:pPr>
    </w:p>
    <w:p>
      <w:pPr>
        <w:ind w:left="4" w:right="20" w:firstLine="436"/>
        <w:spacing w:after="0" w:line="255" w:lineRule="auto"/>
        <w:tabs>
          <w:tab w:leader="none" w:pos="821"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 may reasonably request and to maintain such qualification in effect for as long as may be necessary to complete the sale of the Securities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connection therewith the Company shall not be required to qualify as a foreign corporation to do business, or to file a general consent to</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 process, in any jurisdiction, or to take any other action that would subject it to general service of process or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left="4" w:right="120" w:firstLine="436"/>
        <w:spacing w:after="0" w:line="270" w:lineRule="auto"/>
        <w:tabs>
          <w:tab w:leader="none" w:pos="801"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Company will as promptly as practicable notify the Representative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180" w:lineRule="exact"/>
        <w:rPr>
          <w:rFonts w:ascii="Arial" w:cs="Arial" w:eastAsia="Arial" w:hAnsi="Arial"/>
          <w:sz w:val="17"/>
          <w:szCs w:val="17"/>
          <w:color w:val="auto"/>
        </w:rPr>
      </w:pPr>
    </w:p>
    <w:p>
      <w:pPr>
        <w:ind w:left="4" w:right="500" w:firstLine="436"/>
        <w:spacing w:after="0" w:line="263" w:lineRule="auto"/>
        <w:tabs>
          <w:tab w:leader="none" w:pos="831"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0" w:name="page11"/>
    <w:bookmarkEnd w:id="10"/>
    <w:p>
      <w:pPr>
        <w:jc w:val="both"/>
        <w:ind w:firstLine="436"/>
        <w:spacing w:after="0" w:line="311" w:lineRule="auto"/>
        <w:tabs>
          <w:tab w:leader="none" w:pos="827"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the prior written consent of the Representative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48" w:lineRule="exact"/>
        <w:rPr>
          <w:rFonts w:ascii="Arial" w:cs="Arial" w:eastAsia="Arial" w:hAnsi="Arial"/>
          <w:sz w:val="16"/>
          <w:szCs w:val="16"/>
          <w:color w:val="auto"/>
        </w:rPr>
      </w:pPr>
    </w:p>
    <w:p>
      <w:pPr>
        <w:ind w:right="80" w:firstLine="436"/>
        <w:spacing w:after="0" w:line="279" w:lineRule="auto"/>
        <w:tabs>
          <w:tab w:leader="none" w:pos="78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171" w:lineRule="exact"/>
        <w:rPr>
          <w:rFonts w:ascii="Arial" w:cs="Arial" w:eastAsia="Arial" w:hAnsi="Arial"/>
          <w:sz w:val="17"/>
          <w:szCs w:val="17"/>
          <w:color w:val="auto"/>
        </w:rPr>
      </w:pPr>
    </w:p>
    <w:p>
      <w:pPr>
        <w:ind w:right="200" w:firstLine="436"/>
        <w:spacing w:after="0" w:line="277" w:lineRule="auto"/>
        <w:tabs>
          <w:tab w:leader="none" w:pos="7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will, within the time period required in Rule 433(f) under the Securities Act, duly effect the filing of the Media Free Writing Prospectus with the Commission pursuant to Rule 433 under the Securities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820" w:hanging="38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60" w:firstLine="419"/>
        <w:spacing w:after="0" w:line="257" w:lineRule="auto"/>
        <w:tabs>
          <w:tab w:leader="none" w:pos="1263" w:val="left"/>
        </w:tabs>
        <w:numPr>
          <w:ilvl w:val="1"/>
          <w:numId w:val="8"/>
        </w:numPr>
        <w:rPr>
          <w:rFonts w:ascii="Arial" w:cs="Arial" w:eastAsia="Arial" w:hAnsi="Arial"/>
          <w:sz w:val="18"/>
          <w:szCs w:val="18"/>
          <w:color w:val="auto"/>
        </w:rPr>
      </w:pPr>
      <w:r>
        <w:rPr>
          <w:rFonts w:ascii="Arial" w:cs="Arial" w:eastAsia="Arial" w:hAnsi="Arial"/>
          <w:sz w:val="18"/>
          <w:szCs w:val="18"/>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b w:val="1"/>
          <w:bCs w:val="1"/>
          <w:color w:val="auto"/>
        </w:rPr>
        <w:t>FSMA</w:t>
      </w:r>
      <w:r>
        <w:rPr>
          <w:rFonts w:ascii="Arial" w:cs="Arial" w:eastAsia="Arial" w:hAnsi="Arial"/>
          <w:sz w:val="18"/>
          <w:szCs w:val="18"/>
          <w:color w:val="auto"/>
        </w:rPr>
        <w:t>”)) received by it in connection with the issue or sale of any Securities in circumstances in which Section 21(1) of the FSMA does not apply to the Company; and (B) it has complied and will comply with all applicable provisions of the FSMA with respect to anything done by it in relation to any Securities in, from or otherwise involving the United Kingdom;</w:t>
      </w:r>
    </w:p>
    <w:p>
      <w:pPr>
        <w:spacing w:after="0" w:line="79" w:lineRule="exact"/>
        <w:rPr>
          <w:rFonts w:ascii="Arial" w:cs="Arial" w:eastAsia="Arial" w:hAnsi="Arial"/>
          <w:sz w:val="18"/>
          <w:szCs w:val="18"/>
          <w:color w:val="auto"/>
        </w:rPr>
      </w:pPr>
    </w:p>
    <w:p>
      <w:pPr>
        <w:ind w:left="1300" w:hanging="441"/>
        <w:spacing w:after="0"/>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it has not offered or sold and will not offer or sell in Hong Kong, by means of any document, any Securities other than (i) to</w:t>
      </w:r>
    </w:p>
    <w:p>
      <w:pPr>
        <w:spacing w:after="0" w:line="35" w:lineRule="exact"/>
        <w:rPr>
          <w:sz w:val="20"/>
          <w:szCs w:val="20"/>
          <w:color w:val="auto"/>
        </w:rPr>
      </w:pPr>
    </w:p>
    <w:p>
      <w:pPr>
        <w:ind w:left="4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professional investors</w:t>
      </w:r>
      <w:r>
        <w:rPr>
          <w:rFonts w:ascii="Arial" w:cs="Arial" w:eastAsia="Arial" w:hAnsi="Arial"/>
          <w:sz w:val="18"/>
          <w:szCs w:val="18"/>
          <w:color w:val="auto"/>
        </w:rPr>
        <w:t>” as defined in the Securities and Futures Ordinance (Cap. 571) of Hong Kong and any rules made under that Ordinance, or (ii) in other circumstances which do not result in the document being a “</w:t>
      </w:r>
      <w:r>
        <w:rPr>
          <w:rFonts w:ascii="Arial" w:cs="Arial" w:eastAsia="Arial" w:hAnsi="Arial"/>
          <w:sz w:val="18"/>
          <w:szCs w:val="18"/>
          <w:b w:val="1"/>
          <w:bCs w:val="1"/>
          <w:color w:val="auto"/>
        </w:rPr>
        <w:t>prospectus</w:t>
      </w:r>
      <w:r>
        <w:rPr>
          <w:rFonts w:ascii="Arial" w:cs="Arial" w:eastAsia="Arial" w:hAnsi="Arial"/>
          <w:sz w:val="18"/>
          <w:szCs w:val="18"/>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disposed of only to persons outside Hong Kong or only to ‘‘professional investors’’ as defined in the Securities and Futures Ordinance and any rules made under that Ordinance;</w:t>
      </w:r>
    </w:p>
    <w:p>
      <w:pPr>
        <w:spacing w:after="0" w:line="58" w:lineRule="exact"/>
        <w:rPr>
          <w:sz w:val="20"/>
          <w:szCs w:val="20"/>
          <w:color w:val="auto"/>
        </w:rPr>
      </w:pPr>
    </w:p>
    <w:p>
      <w:pPr>
        <w:ind w:left="4" w:right="120" w:firstLine="419"/>
        <w:spacing w:after="0" w:line="274" w:lineRule="auto"/>
        <w:tabs>
          <w:tab w:leader="none" w:pos="86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Securities have not been and will not be registered under the Financial Instruments and Exchange Law of Japan (the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Instruments and Exchange Law</w:t>
      </w:r>
      <w:r>
        <w:rPr>
          <w:rFonts w:ascii="Arial" w:cs="Arial" w:eastAsia="Arial" w:hAnsi="Arial"/>
          <w:sz w:val="17"/>
          <w:szCs w:val="17"/>
          <w:color w:val="auto"/>
        </w:rPr>
        <w:t>”) and each Underwriter has agreed that it will not offer or sell any Securities, directly or indirectly, in Japan or</w:t>
      </w:r>
      <w:r>
        <w:rPr>
          <w:rFonts w:ascii="Arial" w:cs="Arial" w:eastAsia="Arial" w:hAnsi="Arial"/>
          <w:sz w:val="17"/>
          <w:szCs w:val="17"/>
          <w:b w:val="1"/>
          <w:bCs w:val="1"/>
          <w:color w:val="auto"/>
        </w:rPr>
        <w:t xml:space="preserve"> </w:t>
      </w:r>
      <w:r>
        <w:rPr>
          <w:rFonts w:ascii="Arial" w:cs="Arial" w:eastAsia="Arial" w:hAnsi="Arial"/>
          <w:sz w:val="17"/>
          <w:szCs w:val="17"/>
          <w:color w:val="auto"/>
        </w:rPr>
        <w:t>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69" w:lineRule="exact"/>
        <w:rPr>
          <w:rFonts w:ascii="Arial" w:cs="Arial" w:eastAsia="Arial" w:hAnsi="Arial"/>
          <w:sz w:val="17"/>
          <w:szCs w:val="17"/>
          <w:color w:val="auto"/>
        </w:rPr>
      </w:pPr>
    </w:p>
    <w:p>
      <w:pPr>
        <w:ind w:left="4" w:firstLine="419"/>
        <w:spacing w:after="0" w:line="268" w:lineRule="auto"/>
        <w:tabs>
          <w:tab w:leader="none" w:pos="81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 289 of Singapore (the “</w:t>
      </w:r>
      <w:r>
        <w:rPr>
          <w:rFonts w:ascii="Arial" w:cs="Arial" w:eastAsia="Arial" w:hAnsi="Arial"/>
          <w:sz w:val="17"/>
          <w:szCs w:val="17"/>
          <w:b w:val="1"/>
          <w:bCs w:val="1"/>
          <w:color w:val="auto"/>
        </w:rPr>
        <w:t>SFA</w:t>
      </w:r>
      <w:r>
        <w:rPr>
          <w:rFonts w:ascii="Arial" w:cs="Arial" w:eastAsia="Arial" w:hAnsi="Arial"/>
          <w:sz w:val="17"/>
          <w:szCs w:val="17"/>
          <w:color w:val="auto"/>
        </w:rPr>
        <w:t>”), (B) to a relevant person,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4" w:lineRule="exact"/>
        <w:rPr>
          <w:rFonts w:ascii="Arial" w:cs="Arial" w:eastAsia="Arial" w:hAnsi="Arial"/>
          <w:sz w:val="17"/>
          <w:szCs w:val="17"/>
          <w:color w:val="auto"/>
        </w:rPr>
      </w:pPr>
    </w:p>
    <w:p>
      <w:pPr>
        <w:ind w:left="384" w:hanging="384"/>
        <w:spacing w:after="0"/>
        <w:tabs>
          <w:tab w:leader="none" w:pos="3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left="4" w:firstLine="419"/>
        <w:spacing w:after="0" w:line="257" w:lineRule="auto"/>
        <w:tabs>
          <w:tab w:leader="none" w:pos="77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12" w:name="page13"/>
    <w:bookmarkEnd w:id="12"/>
    <w:p>
      <w:pPr>
        <w:ind w:left="420" w:firstLine="419"/>
        <w:spacing w:after="0" w:line="253" w:lineRule="auto"/>
        <w:tabs>
          <w:tab w:leader="none" w:pos="124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 (B) 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88" w:lineRule="exact"/>
        <w:rPr>
          <w:rFonts w:ascii="Arial" w:cs="Arial" w:eastAsia="Arial" w:hAnsi="Arial"/>
          <w:sz w:val="18"/>
          <w:szCs w:val="18"/>
          <w:color w:val="auto"/>
        </w:rPr>
      </w:pPr>
    </w:p>
    <w:p>
      <w:pPr>
        <w:ind w:left="420" w:right="580" w:firstLine="419"/>
        <w:spacing w:after="0" w:line="342" w:lineRule="auto"/>
        <w:tabs>
          <w:tab w:leader="none" w:pos="1293"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15" w:lineRule="exact"/>
        <w:rPr>
          <w:rFonts w:ascii="Arial" w:cs="Arial" w:eastAsia="Arial" w:hAnsi="Arial"/>
          <w:sz w:val="16"/>
          <w:szCs w:val="16"/>
          <w:color w:val="auto"/>
        </w:rPr>
      </w:pPr>
    </w:p>
    <w:p>
      <w:pPr>
        <w:ind w:left="1280" w:hanging="441"/>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or the other Underwriters; and</w:t>
      </w:r>
    </w:p>
    <w:p>
      <w:pPr>
        <w:spacing w:after="0" w:line="117" w:lineRule="exact"/>
        <w:rPr>
          <w:rFonts w:ascii="Arial" w:cs="Arial" w:eastAsia="Arial" w:hAnsi="Arial"/>
          <w:sz w:val="18"/>
          <w:szCs w:val="18"/>
          <w:color w:val="auto"/>
        </w:rPr>
      </w:pPr>
    </w:p>
    <w:p>
      <w:pPr>
        <w:ind w:left="420" w:right="80" w:firstLine="419"/>
        <w:spacing w:after="0" w:line="259" w:lineRule="auto"/>
        <w:tabs>
          <w:tab w:leader="none" w:pos="12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117" w:lineRule="exact"/>
        <w:rPr>
          <w:sz w:val="20"/>
          <w:szCs w:val="20"/>
          <w:color w:val="auto"/>
        </w:rPr>
      </w:pPr>
    </w:p>
    <w:p>
      <w:pPr>
        <w:ind w:left="-20" w:right="120" w:firstLine="436"/>
        <w:spacing w:after="0" w:line="26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83" w:lineRule="exact"/>
        <w:rPr>
          <w:rFonts w:ascii="Arial" w:cs="Arial" w:eastAsia="Arial" w:hAnsi="Arial"/>
          <w:sz w:val="18"/>
          <w:szCs w:val="18"/>
          <w:color w:val="auto"/>
        </w:rPr>
      </w:pPr>
    </w:p>
    <w:p>
      <w:pPr>
        <w:ind w:left="-20" w:right="440" w:firstLine="436"/>
        <w:spacing w:after="0" w:line="277" w:lineRule="auto"/>
        <w:tabs>
          <w:tab w:leader="none" w:pos="8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13" w:name="page14"/>
    <w:bookmarkEnd w:id="13"/>
    <w:p>
      <w:pPr>
        <w:ind w:left="4" w:right="60" w:firstLine="436"/>
        <w:spacing w:after="0" w:line="263" w:lineRule="auto"/>
        <w:tabs>
          <w:tab w:leader="none" w:pos="821"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83" w:lineRule="exact"/>
        <w:rPr>
          <w:rFonts w:ascii="Arial" w:cs="Arial" w:eastAsia="Arial" w:hAnsi="Arial"/>
          <w:sz w:val="18"/>
          <w:szCs w:val="18"/>
          <w:color w:val="auto"/>
        </w:rPr>
      </w:pPr>
    </w:p>
    <w:p>
      <w:pPr>
        <w:jc w:val="both"/>
        <w:ind w:left="4" w:firstLine="436"/>
        <w:spacing w:after="0" w:line="279" w:lineRule="auto"/>
        <w:tabs>
          <w:tab w:leader="none" w:pos="8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171" w:lineRule="exact"/>
        <w:rPr>
          <w:rFonts w:ascii="Arial" w:cs="Arial" w:eastAsia="Arial" w:hAnsi="Arial"/>
          <w:sz w:val="17"/>
          <w:szCs w:val="17"/>
          <w:color w:val="auto"/>
        </w:rPr>
      </w:pPr>
    </w:p>
    <w:p>
      <w:pPr>
        <w:ind w:left="4" w:firstLine="436"/>
        <w:spacing w:after="0" w:line="275" w:lineRule="auto"/>
        <w:tabs>
          <w:tab w:leader="none" w:pos="8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Each Permitted Free Writing Prospectus, if any, other than the Media Free Writing Prospectus, when considered together with the Disclosure Package, (ii) the Media Free Writing Prospectus, when taken together with the Disclosure Package, and (iii)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 The Media Free Writing Prospectus, when filed, will comply in all material respects with the Securities Act.</w:t>
      </w:r>
    </w:p>
    <w:p>
      <w:pPr>
        <w:spacing w:after="0" w:line="176" w:lineRule="exact"/>
        <w:rPr>
          <w:rFonts w:ascii="Arial" w:cs="Arial" w:eastAsia="Arial" w:hAnsi="Arial"/>
          <w:sz w:val="17"/>
          <w:szCs w:val="17"/>
          <w:color w:val="auto"/>
        </w:rPr>
      </w:pPr>
    </w:p>
    <w:p>
      <w:pPr>
        <w:jc w:val="both"/>
        <w:ind w:left="4" w:right="140" w:firstLine="436"/>
        <w:spacing w:after="0" w:line="301" w:lineRule="auto"/>
        <w:tabs>
          <w:tab w:leader="none" w:pos="8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57" w:lineRule="exact"/>
        <w:rPr>
          <w:rFonts w:ascii="Arial" w:cs="Arial" w:eastAsia="Arial" w:hAnsi="Arial"/>
          <w:sz w:val="16"/>
          <w:szCs w:val="16"/>
          <w:color w:val="auto"/>
        </w:rPr>
      </w:pPr>
    </w:p>
    <w:p>
      <w:pPr>
        <w:ind w:left="4" w:right="60" w:firstLine="436"/>
        <w:spacing w:after="0" w:line="263" w:lineRule="auto"/>
        <w:tabs>
          <w:tab w:leader="none" w:pos="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firstLine="436"/>
        <w:spacing w:after="0" w:line="263" w:lineRule="auto"/>
        <w:tabs>
          <w:tab w:leader="none" w:pos="8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83" w:lineRule="exact"/>
        <w:rPr>
          <w:rFonts w:ascii="Arial" w:cs="Arial" w:eastAsia="Arial" w:hAnsi="Arial"/>
          <w:sz w:val="18"/>
          <w:szCs w:val="18"/>
          <w:color w:val="auto"/>
        </w:rPr>
      </w:pPr>
    </w:p>
    <w:p>
      <w:pPr>
        <w:ind w:left="784" w:hanging="344"/>
        <w:spacing w:after="0"/>
        <w:tabs>
          <w:tab w:leader="none" w:pos="7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for (i) any document not constituting a prospectus pursuant to Section 2(a)(10)(a) of the Securities Act or Rule 134 under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Act, (ii) the Preliminary Prospectus, (iii) the Prospectus, (iv) the Permitted Free Writing Prospectuses identified in Schedule II hereto and</w:t>
      </w:r>
    </w:p>
    <w:p>
      <w:pPr>
        <w:spacing w:after="0" w:line="32" w:lineRule="exact"/>
        <w:rPr>
          <w:sz w:val="20"/>
          <w:szCs w:val="20"/>
          <w:color w:val="auto"/>
        </w:rPr>
      </w:pPr>
    </w:p>
    <w:p>
      <w:pPr>
        <w:ind w:left="4" w:right="400" w:hanging="4"/>
        <w:spacing w:after="0" w:line="260"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electronic road show slides and accompanying audio recording, if any, furnished to you before first use (any such slides or audio recording, “</w:t>
      </w:r>
      <w:r>
        <w:rPr>
          <w:rFonts w:ascii="Arial" w:cs="Arial" w:eastAsia="Arial" w:hAnsi="Arial"/>
          <w:sz w:val="18"/>
          <w:szCs w:val="18"/>
          <w:b w:val="1"/>
          <w:bCs w:val="1"/>
          <w:color w:val="auto"/>
        </w:rPr>
        <w:t>Additional Written Offering Communication</w:t>
      </w:r>
      <w:r>
        <w:rPr>
          <w:rFonts w:ascii="Arial" w:cs="Arial" w:eastAsia="Arial" w:hAnsi="Arial"/>
          <w:sz w:val="18"/>
          <w:szCs w:val="18"/>
          <w:color w:val="auto"/>
        </w:rPr>
        <w:t>”), the Company has not prepared, used or referred to, and will not,</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4"/>
          </w:cols>
          <w:pgMar w:left="436" w:top="274" w:right="51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your prior consent, prepare, use or refer to, any “written communication” (as defined in Rule 405 under the Securities Act) that constitutes an offer to sell or solicitation of an offer to buy the Securities.</w:t>
      </w:r>
    </w:p>
    <w:p>
      <w:pPr>
        <w:spacing w:after="0" w:line="170"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77" w:lineRule="exact"/>
        <w:rPr>
          <w:sz w:val="20"/>
          <w:szCs w:val="20"/>
          <w:color w:val="auto"/>
        </w:rPr>
      </w:pPr>
    </w:p>
    <w:p>
      <w:pPr>
        <w:ind w:right="40" w:firstLine="436"/>
        <w:spacing w:after="0" w:line="291" w:lineRule="auto"/>
        <w:tabs>
          <w:tab w:leader="none" w:pos="7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66" w:lineRule="exact"/>
        <w:rPr>
          <w:rFonts w:ascii="Arial" w:cs="Arial" w:eastAsia="Arial" w:hAnsi="Arial"/>
          <w:sz w:val="16"/>
          <w:szCs w:val="16"/>
          <w:color w:val="auto"/>
        </w:rPr>
      </w:pPr>
    </w:p>
    <w:p>
      <w:pPr>
        <w:ind w:firstLine="436"/>
        <w:spacing w:after="0" w:line="269" w:lineRule="auto"/>
        <w:tabs>
          <w:tab w:leader="none" w:pos="8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 and/or exercise of options or other equity-based awards under existing equity incentive plans described in the Registration Statement, the Disclosure Package or the Prospectus), or long-term debt of the Company or any of the subsidiaries of the Company listed on Schedule III hereto (the “</w:t>
      </w:r>
      <w:r>
        <w:rPr>
          <w:rFonts w:ascii="Arial" w:cs="Arial" w:eastAsia="Arial" w:hAnsi="Arial"/>
          <w:sz w:val="17"/>
          <w:szCs w:val="17"/>
          <w:b w:val="1"/>
          <w:bCs w:val="1"/>
          <w:color w:val="auto"/>
        </w:rPr>
        <w:t>Subsidiaries</w:t>
      </w:r>
      <w:r>
        <w:rPr>
          <w:rFonts w:ascii="Arial" w:cs="Arial" w:eastAsia="Arial" w:hAnsi="Arial"/>
          <w:sz w:val="17"/>
          <w:szCs w:val="17"/>
          <w:color w:val="auto"/>
        </w:rPr>
        <w:t>”), or any dividend or distribution of any kind declared, set aside for payment, paid or made by the Company on any class of capital stock (other than regular quarterly dividends on 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84" w:lineRule="exact"/>
        <w:rPr>
          <w:sz w:val="20"/>
          <w:szCs w:val="20"/>
          <w:color w:val="auto"/>
        </w:rPr>
      </w:pPr>
    </w:p>
    <w:p>
      <w:pPr>
        <w:ind w:firstLine="436"/>
        <w:spacing w:after="0" w:line="290"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165" w:lineRule="exact"/>
        <w:rPr>
          <w:rFonts w:ascii="Arial" w:cs="Arial" w:eastAsia="Arial" w:hAnsi="Arial"/>
          <w:sz w:val="16"/>
          <w:szCs w:val="16"/>
          <w:color w:val="auto"/>
        </w:rPr>
      </w:pPr>
    </w:p>
    <w:p>
      <w:pPr>
        <w:ind w:firstLine="436"/>
        <w:spacing w:after="0" w:line="291" w:lineRule="auto"/>
        <w:tabs>
          <w:tab w:leader="none" w:pos="8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66" w:lineRule="exact"/>
        <w:rPr>
          <w:rFonts w:ascii="Arial" w:cs="Arial" w:eastAsia="Arial" w:hAnsi="Arial"/>
          <w:sz w:val="16"/>
          <w:szCs w:val="16"/>
          <w:color w:val="auto"/>
        </w:rPr>
      </w:pPr>
    </w:p>
    <w:p>
      <w:pPr>
        <w:ind w:right="40" w:firstLine="436"/>
        <w:spacing w:after="0" w:line="290" w:lineRule="auto"/>
        <w:tabs>
          <w:tab w:leader="none" w:pos="83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left="4" w:right="20" w:firstLine="436"/>
        <w:spacing w:after="0" w:line="257" w:lineRule="auto"/>
        <w:tabs>
          <w:tab w:leader="none" w:pos="831"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execution and delivery by the Company of, and the performance by the Company of its obligations under, each of this Agreement, the Indenture and the Securities, do not and will not contravene or violate (i) any provision of applicable law, (ii) the certificate of incorporation or by-laws of the Company, (iii) any indenture, mortgage or other agreement or instrument binding upon the Company or any of its Subsidiaries that is material to the Company and its subsidiaries, taken as a whole, or (iv) any judgment, order or decree of any governmental body, agency or court having jurisdiction over the Company or any Subsidiary.</w:t>
      </w:r>
    </w:p>
    <w:p>
      <w:pPr>
        <w:spacing w:after="0" w:line="187" w:lineRule="exact"/>
        <w:rPr>
          <w:rFonts w:ascii="Arial" w:cs="Arial" w:eastAsia="Arial" w:hAnsi="Arial"/>
          <w:sz w:val="18"/>
          <w:szCs w:val="18"/>
          <w:color w:val="auto"/>
        </w:rPr>
      </w:pPr>
    </w:p>
    <w:p>
      <w:pPr>
        <w:ind w:left="4" w:right="20" w:firstLine="436"/>
        <w:spacing w:after="0" w:line="286" w:lineRule="auto"/>
        <w:tabs>
          <w:tab w:leader="none" w:pos="834" w:val="left"/>
        </w:tabs>
        <w:numPr>
          <w:ilvl w:val="1"/>
          <w:numId w:val="17"/>
        </w:numPr>
        <w:rPr>
          <w:rFonts w:ascii="Arial" w:cs="Arial" w:eastAsia="Arial" w:hAnsi="Arial"/>
          <w:sz w:val="16"/>
          <w:szCs w:val="16"/>
          <w:color w:val="auto"/>
        </w:rPr>
      </w:pPr>
      <w:r>
        <w:rPr>
          <w:rFonts w:ascii="Arial" w:cs="Arial" w:eastAsia="Arial" w:hAnsi="Arial"/>
          <w:sz w:val="16"/>
          <w:szCs w:val="16"/>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w:t>
      </w:r>
    </w:p>
    <w:p>
      <w:pPr>
        <w:spacing w:after="0" w:line="1" w:lineRule="exact"/>
        <w:rPr>
          <w:rFonts w:ascii="Arial" w:cs="Arial" w:eastAsia="Arial" w:hAnsi="Arial"/>
          <w:sz w:val="16"/>
          <w:szCs w:val="16"/>
          <w:color w:val="auto"/>
        </w:rPr>
      </w:pPr>
    </w:p>
    <w:p>
      <w:pPr>
        <w:ind w:left="4" w:right="360" w:hanging="4"/>
        <w:spacing w:after="0" w:line="260"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those required by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or (v) those that have already been obtained.</w:t>
      </w:r>
    </w:p>
    <w:p>
      <w:pPr>
        <w:spacing w:after="0" w:line="185" w:lineRule="exact"/>
        <w:rPr>
          <w:rFonts w:ascii="Arial" w:cs="Arial" w:eastAsia="Arial" w:hAnsi="Arial"/>
          <w:sz w:val="18"/>
          <w:szCs w:val="18"/>
          <w:color w:val="auto"/>
        </w:rPr>
      </w:pPr>
    </w:p>
    <w:p>
      <w:pPr>
        <w:ind w:left="4" w:firstLine="436"/>
        <w:spacing w:after="0" w:line="257" w:lineRule="auto"/>
        <w:tabs>
          <w:tab w:leader="none" w:pos="8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7" w:lineRule="exact"/>
        <w:rPr>
          <w:rFonts w:ascii="Arial" w:cs="Arial" w:eastAsia="Arial" w:hAnsi="Arial"/>
          <w:sz w:val="18"/>
          <w:szCs w:val="18"/>
          <w:color w:val="auto"/>
        </w:rPr>
      </w:pPr>
    </w:p>
    <w:p>
      <w:pPr>
        <w:ind w:left="4" w:firstLine="436"/>
        <w:spacing w:after="0" w:line="257" w:lineRule="auto"/>
        <w:tabs>
          <w:tab w:leader="none" w:pos="8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Sixth Supplemental Indenture and the Securities, the actual execution and delivery of such documents).</w:t>
      </w:r>
    </w:p>
    <w:p>
      <w:pPr>
        <w:spacing w:after="0" w:line="187" w:lineRule="exact"/>
        <w:rPr>
          <w:rFonts w:ascii="Arial" w:cs="Arial" w:eastAsia="Arial" w:hAnsi="Arial"/>
          <w:sz w:val="18"/>
          <w:szCs w:val="18"/>
          <w:color w:val="auto"/>
        </w:rPr>
      </w:pPr>
    </w:p>
    <w:p>
      <w:pPr>
        <w:ind w:left="4" w:right="20" w:firstLine="436"/>
        <w:spacing w:after="0" w:line="277" w:lineRule="auto"/>
        <w:tabs>
          <w:tab w:leader="none" w:pos="81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170" w:lineRule="exact"/>
        <w:rPr>
          <w:rFonts w:ascii="Arial" w:cs="Arial" w:eastAsia="Arial" w:hAnsi="Arial"/>
          <w:sz w:val="18"/>
          <w:szCs w:val="18"/>
          <w:color w:val="auto"/>
        </w:rPr>
      </w:pPr>
    </w:p>
    <w:p>
      <w:pPr>
        <w:ind w:left="4" w:right="140" w:firstLine="436"/>
        <w:spacing w:after="0" w:line="275" w:lineRule="auto"/>
        <w:tabs>
          <w:tab w:leader="none" w:pos="78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17" w:name="page18"/>
    <w:bookmarkEnd w:id="17"/>
    <w:p>
      <w:pPr>
        <w:ind w:left="-20" w:firstLine="436"/>
        <w:spacing w:after="0" w:line="301" w:lineRule="auto"/>
        <w:tabs>
          <w:tab w:leader="none" w:pos="807"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57" w:lineRule="exact"/>
        <w:rPr>
          <w:rFonts w:ascii="Arial" w:cs="Arial" w:eastAsia="Arial" w:hAnsi="Arial"/>
          <w:sz w:val="16"/>
          <w:szCs w:val="16"/>
          <w:color w:val="auto"/>
        </w:rPr>
      </w:pPr>
    </w:p>
    <w:p>
      <w:pPr>
        <w:ind w:left="800" w:hanging="38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right="20" w:firstLine="436"/>
        <w:spacing w:after="0" w:line="255" w:lineRule="auto"/>
        <w:tabs>
          <w:tab w:leader="none" w:pos="8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Sixth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192" w:lineRule="exact"/>
        <w:rPr>
          <w:rFonts w:ascii="Arial" w:cs="Arial" w:eastAsia="Arial" w:hAnsi="Arial"/>
          <w:sz w:val="18"/>
          <w:szCs w:val="18"/>
          <w:color w:val="auto"/>
        </w:rPr>
      </w:pPr>
    </w:p>
    <w:p>
      <w:pPr>
        <w:ind w:left="-20" w:right="20" w:firstLine="436"/>
        <w:spacing w:after="0" w:line="311" w:lineRule="auto"/>
        <w:tabs>
          <w:tab w:leader="none" w:pos="8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148" w:lineRule="exact"/>
        <w:rPr>
          <w:rFonts w:ascii="Arial" w:cs="Arial" w:eastAsia="Arial" w:hAnsi="Arial"/>
          <w:sz w:val="16"/>
          <w:szCs w:val="16"/>
          <w:color w:val="auto"/>
        </w:rPr>
      </w:pPr>
    </w:p>
    <w:p>
      <w:pPr>
        <w:jc w:val="both"/>
        <w:ind w:left="-20" w:right="280" w:firstLine="436"/>
        <w:spacing w:after="0" w:line="286" w:lineRule="auto"/>
        <w:tabs>
          <w:tab w:leader="none" w:pos="8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has not, and will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 in each case, without the prior consent of the Representative.</w:t>
      </w:r>
    </w:p>
    <w:p>
      <w:pPr>
        <w:spacing w:after="0" w:line="165" w:lineRule="exact"/>
        <w:rPr>
          <w:rFonts w:ascii="Arial" w:cs="Arial" w:eastAsia="Arial" w:hAnsi="Arial"/>
          <w:sz w:val="17"/>
          <w:szCs w:val="17"/>
          <w:color w:val="auto"/>
        </w:rPr>
      </w:pPr>
    </w:p>
    <w:p>
      <w:pPr>
        <w:ind w:left="-20" w:right="120" w:firstLine="436"/>
        <w:spacing w:after="0" w:line="293" w:lineRule="auto"/>
        <w:tabs>
          <w:tab w:leader="none" w:pos="7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64" w:lineRule="exact"/>
        <w:rPr>
          <w:sz w:val="20"/>
          <w:szCs w:val="20"/>
          <w:color w:val="auto"/>
        </w:rPr>
      </w:pPr>
    </w:p>
    <w:p>
      <w:pPr>
        <w:ind w:left="-20" w:right="360" w:firstLine="436"/>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8" w:name="page19"/>
    <w:bookmarkEnd w:id="18"/>
    <w:p>
      <w:pPr>
        <w:ind w:left="4" w:firstLine="436"/>
        <w:spacing w:after="0" w:line="284" w:lineRule="auto"/>
        <w:tabs>
          <w:tab w:leader="none" w:pos="924"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would not give rise to any material liabilities under Environmental Laws, the Company represents to the best of its knowledge and belief that: (i) the Company and its Subsidiaries are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w:t>
      </w:r>
    </w:p>
    <w:p>
      <w:pPr>
        <w:spacing w:after="0" w:line="2" w:lineRule="exact"/>
        <w:rPr>
          <w:rFonts w:ascii="Arial" w:cs="Arial" w:eastAsia="Arial" w:hAnsi="Arial"/>
          <w:sz w:val="16"/>
          <w:szCs w:val="16"/>
          <w:color w:val="auto"/>
        </w:rPr>
      </w:pPr>
    </w:p>
    <w:p>
      <w:pPr>
        <w:jc w:val="both"/>
        <w:ind w:left="4" w:right="180" w:hanging="4"/>
        <w:spacing w:after="0" w:line="281" w:lineRule="auto"/>
        <w:tabs>
          <w:tab w:leader="none" w:pos="3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w:t>
      </w:r>
    </w:p>
    <w:p>
      <w:pPr>
        <w:spacing w:after="0" w:line="1" w:lineRule="exact"/>
        <w:rPr>
          <w:rFonts w:ascii="Arial" w:cs="Arial" w:eastAsia="Arial" w:hAnsi="Arial"/>
          <w:sz w:val="16"/>
          <w:szCs w:val="16"/>
          <w:color w:val="auto"/>
        </w:rPr>
      </w:pPr>
    </w:p>
    <w:p>
      <w:pPr>
        <w:ind w:left="4" w:right="40" w:hanging="4"/>
        <w:spacing w:after="0" w:line="251"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seepage, pumping, pouring, emitting, emptying, discharging, injecting, escaping, leaching, dumping, disposing, depositing, dispersing, or migrating in, into or through the environment.</w:t>
      </w:r>
    </w:p>
    <w:p>
      <w:pPr>
        <w:spacing w:after="0" w:line="197" w:lineRule="exact"/>
        <w:rPr>
          <w:rFonts w:ascii="Arial" w:cs="Arial" w:eastAsia="Arial" w:hAnsi="Arial"/>
          <w:sz w:val="18"/>
          <w:szCs w:val="18"/>
          <w:color w:val="auto"/>
        </w:rPr>
      </w:pPr>
    </w:p>
    <w:p>
      <w:pPr>
        <w:ind w:left="4" w:right="20" w:firstLine="436"/>
        <w:spacing w:after="0" w:line="289" w:lineRule="auto"/>
        <w:tabs>
          <w:tab w:leader="none" w:pos="9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 than a “multiemployer plan” within the meaning of Section 3(37) of ERISA)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9" w:name="page20"/>
    <w:bookmarkEnd w:id="19"/>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72" w:lineRule="exact"/>
        <w:rPr>
          <w:sz w:val="20"/>
          <w:szCs w:val="20"/>
          <w:color w:val="auto"/>
        </w:rPr>
      </w:pPr>
    </w:p>
    <w:p>
      <w:pPr>
        <w:ind w:firstLine="436"/>
        <w:spacing w:after="0" w:line="285"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78" w:lineRule="exact"/>
        <w:rPr>
          <w:sz w:val="20"/>
          <w:szCs w:val="20"/>
          <w:color w:val="auto"/>
        </w:rPr>
      </w:pPr>
    </w:p>
    <w:p>
      <w:pPr>
        <w:jc w:val="both"/>
        <w:ind w:right="280" w:firstLine="436"/>
        <w:spacing w:after="0" w:line="263" w:lineRule="auto"/>
        <w:tabs>
          <w:tab w:leader="none" w:pos="8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8"/>
          <w:szCs w:val="18"/>
          <w:color w:val="auto"/>
        </w:rPr>
      </w:pPr>
    </w:p>
    <w:p>
      <w:pPr>
        <w:ind w:right="20" w:firstLine="436"/>
        <w:spacing w:after="0" w:line="253" w:lineRule="auto"/>
        <w:tabs>
          <w:tab w:leader="none" w:pos="8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96" w:lineRule="exact"/>
        <w:rPr>
          <w:rFonts w:ascii="Arial" w:cs="Arial" w:eastAsia="Arial" w:hAnsi="Arial"/>
          <w:sz w:val="18"/>
          <w:szCs w:val="18"/>
          <w:color w:val="auto"/>
        </w:rPr>
      </w:pPr>
    </w:p>
    <w:p>
      <w:pPr>
        <w:ind w:firstLine="436"/>
        <w:spacing w:after="0" w:line="291" w:lineRule="auto"/>
        <w:tabs>
          <w:tab w:leader="none" w:pos="9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with respect to the Anti-Money Laundering Laws is pending or, to the knowledge of the Company, threatened.</w:t>
      </w:r>
    </w:p>
    <w:p>
      <w:pPr>
        <w:spacing w:after="0" w:line="166" w:lineRule="exact"/>
        <w:rPr>
          <w:rFonts w:ascii="Arial" w:cs="Arial" w:eastAsia="Arial" w:hAnsi="Arial"/>
          <w:sz w:val="16"/>
          <w:szCs w:val="16"/>
          <w:color w:val="auto"/>
        </w:rPr>
      </w:pPr>
    </w:p>
    <w:p>
      <w:pPr>
        <w:ind w:right="120" w:firstLine="436"/>
        <w:spacing w:after="0" w:line="308"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of any of its subsidiaries (i)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 w:name="page22"/>
    <w:bookmarkEnd w:id="2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77" w:lineRule="exact"/>
        <w:rPr>
          <w:sz w:val="20"/>
          <w:szCs w:val="20"/>
          <w:color w:val="auto"/>
        </w:rPr>
      </w:pPr>
    </w:p>
    <w:p>
      <w:pPr>
        <w:ind w:right="140" w:firstLine="436"/>
        <w:spacing w:after="0" w:line="279"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7"/>
          <w:szCs w:val="17"/>
          <w:b w:val="1"/>
          <w:bCs w:val="1"/>
          <w:color w:val="auto"/>
        </w:rPr>
        <w:t>Sarbanes-Oxley Act</w:t>
      </w:r>
      <w:r>
        <w:rPr>
          <w:rFonts w:ascii="Arial" w:cs="Arial" w:eastAsia="Arial" w:hAnsi="Arial"/>
          <w:sz w:val="17"/>
          <w:szCs w:val="17"/>
          <w:color w:val="auto"/>
        </w:rPr>
        <w:t>”), including Section 402 related to loans and Sections 302 and 906 related to certifications.</w:t>
      </w:r>
    </w:p>
    <w:p>
      <w:pPr>
        <w:spacing w:after="0" w:line="171" w:lineRule="exact"/>
        <w:rPr>
          <w:rFonts w:ascii="Arial" w:cs="Arial" w:eastAsia="Arial" w:hAnsi="Arial"/>
          <w:sz w:val="17"/>
          <w:szCs w:val="17"/>
          <w:color w:val="auto"/>
        </w:rPr>
      </w:pPr>
    </w:p>
    <w:p>
      <w:pPr>
        <w:ind w:right="40" w:firstLine="436"/>
        <w:spacing w:after="0" w:line="263" w:lineRule="auto"/>
        <w:tabs>
          <w:tab w:leader="none" w:pos="8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0" w:firstLine="436"/>
        <w:spacing w:after="0" w:line="286"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To the knowledge of the Company, there has been no security breach, disclosure or outage of, or unauthorized access to, the Company’s or its subsidiaries’ information technology or computer systems, networks, hardware, software, websites or applications, personally identifiable or confidential data or databases thereof (including all personally identifiable or confidential data of their respective customers, employees, suppliers, and vendors, and any third party personally identifiable or confidential data, in each case that is maintained, processed or stored by the Company and its subsidiaries), equipment or technology (collectively, “</w:t>
      </w:r>
      <w:r>
        <w:rPr>
          <w:rFonts w:ascii="Arial" w:cs="Arial" w:eastAsia="Arial" w:hAnsi="Arial"/>
          <w:sz w:val="16"/>
          <w:szCs w:val="16"/>
          <w:b w:val="1"/>
          <w:bCs w:val="1"/>
          <w:color w:val="auto"/>
        </w:rPr>
        <w:t>IT Systems and Data</w:t>
      </w:r>
      <w:r>
        <w:rPr>
          <w:rFonts w:ascii="Arial" w:cs="Arial" w:eastAsia="Arial" w:hAnsi="Arial"/>
          <w:sz w:val="16"/>
          <w:szCs w:val="16"/>
          <w:color w:val="auto"/>
        </w:rPr>
        <w:t>”); (ii) neither the Company nor its subsidiaries have been notified of any security breach, disclosure or outage of, or unauthorized access to, their IT Systems and Data; and (iii) the Company and its subsidiaries have implemented reasonable controls, policies, procedures, and technological safeguards and backup and disaster recovery technology designed to maintain and protect the confidentiality, integrity, operation, redundancy and security of their IT Systems and Data that are reasonably consistent with generally accepted industry standards and practices, or as required by applicable regulatory standards, except with respect to clauses (i) and (ii), for any such security breach, disclosure, outage, or unauthorized access as would not, individually or in the aggregate, have a material adverse effect, or with respect to clause (iii), where the failure to do so would not, individually or in the aggregate, have a material adverse effect. The Company and its subsidiaries have complied, and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2" w:name="page23"/>
    <w:bookmarkEnd w:id="22"/>
    <w:p>
      <w:pPr>
        <w:ind w:left="4" w:right="1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left="4" w:right="160" w:firstLine="440"/>
        <w:spacing w:after="0" w:line="284" w:lineRule="auto"/>
        <w:rPr>
          <w:sz w:val="20"/>
          <w:szCs w:val="20"/>
          <w:color w:val="auto"/>
        </w:rPr>
      </w:pPr>
      <w:r>
        <w:rPr>
          <w:rFonts w:ascii="Arial" w:cs="Arial" w:eastAsia="Arial" w:hAnsi="Arial"/>
          <w:sz w:val="16"/>
          <w:szCs w:val="16"/>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subject to Article XVI hereof,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w:t>
      </w:r>
    </w:p>
    <w:p>
      <w:pPr>
        <w:spacing w:after="0" w:line="1" w:lineRule="exact"/>
        <w:rPr>
          <w:sz w:val="20"/>
          <w:szCs w:val="20"/>
          <w:color w:val="auto"/>
        </w:rPr>
      </w:pPr>
    </w:p>
    <w:p>
      <w:pPr>
        <w:ind w:left="264" w:hanging="264"/>
        <w:spacing w:after="0"/>
        <w:tabs>
          <w:tab w:leader="none" w:pos="2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costs and expenses related to the transfer and delivery of the Securities to the Underwriters, including any transfer or other taxes payable thereon,</w:t>
      </w:r>
    </w:p>
    <w:p>
      <w:pPr>
        <w:spacing w:after="0" w:line="32" w:lineRule="exact"/>
        <w:rPr>
          <w:rFonts w:ascii="Arial" w:cs="Arial" w:eastAsia="Arial" w:hAnsi="Arial"/>
          <w:sz w:val="16"/>
          <w:szCs w:val="16"/>
          <w:color w:val="auto"/>
        </w:rPr>
      </w:pPr>
    </w:p>
    <w:p>
      <w:pPr>
        <w:ind w:left="4" w:hanging="4"/>
        <w:spacing w:after="0" w:line="285" w:lineRule="auto"/>
        <w:tabs>
          <w:tab w:leader="none" w:pos="319"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[RESERVED], (iv) [RESERVED], (v) any fees charged by rating agencies for the rating of the Securities, (vi) the cost of the preparation, issuance and delivery of the Securities, and the cost of printing certificates representing the Securities, (vii) 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any advertising expenses connected with any offers they may make and their own costs and expenses relating to investor presentations and road show presentations, including travel and lodging expenses of the Representative and its cost of any shares transportation in connection with the road show.</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(i) the Media Free Writing Prospectus or (ii)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liable for any such loss, liability, cost, action or claim under this clause (ii)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84"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 It is understood and agreed that for purposes of this Agreement, the only information expressly furnished to the Company by the Underwriters for use in the Registration Statement, the Disclosure Package (or any part thereof), the Prospectus or any Permitted Free Writing Prospectus (or any amendment or supplement to any of the foregoing) consists of (i) the names of the Underwriters set forth on the front and back cover of the Prospectus and the Preliminary Prospectus; (ii) the names of the Underwriters and respective principal amount of 2023 Securities, 2025 Securities and 2027 Securities set forth in the table of Underwriters immediately below the first paragraph of text under the caption “Underwriting” in the Prospectus and the Preliminary Prospectus; (iii) the paragraph of text under the caption “Underwriting” in the Prospectus and the Preliminary Prospectus that begins “The underwriting agreement provides” and ends “or the offering may be terminated”; (iv) the paragraph of text under the caption “Underwriting” in the Prospectus and the Preliminary Prospectus concerning the terms of the offering by the Underwriters, which begins “The underwriters initially propose to offer the Notes” and ends “the underwriters’ right to reject any order in whole or in part”; (v) the two paragraphs of text under the caption “Underwriting” in the Prospectus and the Preliminary Prospectus concerning stabilization, over allotments and penalty bids by the Underwriters, which begin “In connection with the offering, the underwriters may purchase” and end “may discontinue them at any time”; (vi) the sentence of text under the caption “Underwriting” in the Prospectus and the Preliminary Prospectus that begins “The underwriters are full service financial institutions” and ends “hedging, financing and brokerage activities” and (vii) the paragraph of text under the caption “Underwriting” in the Prospectus and the Preliminary Prospectus that begins “In the ordinary course of their various business activities” and ends “short positions in such securities and instruments.”</w:t>
      </w:r>
    </w:p>
    <w:p>
      <w:pPr>
        <w:spacing w:after="0" w:line="392"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5" w:name="page26"/>
    <w:bookmarkEnd w:id="25"/>
    <w:p>
      <w:pPr>
        <w:ind w:left="4"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66"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w:t>
      </w:r>
    </w:p>
    <w:p>
      <w:pPr>
        <w:spacing w:after="0" w:line="2" w:lineRule="exact"/>
        <w:rPr>
          <w:sz w:val="20"/>
          <w:szCs w:val="20"/>
          <w:color w:val="auto"/>
        </w:rPr>
      </w:pPr>
    </w:p>
    <w:p>
      <w:pPr>
        <w:jc w:val="both"/>
        <w:ind w:left="4" w:hanging="4"/>
        <w:spacing w:after="0" w:line="281" w:lineRule="auto"/>
        <w:tabs>
          <w:tab w:leader="none" w:pos="2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w:t>
      </w:r>
    </w:p>
    <w:p>
      <w:pPr>
        <w:spacing w:after="0" w:line="2" w:lineRule="exact"/>
        <w:rPr>
          <w:rFonts w:ascii="Arial" w:cs="Arial" w:eastAsia="Arial" w:hAnsi="Arial"/>
          <w:sz w:val="16"/>
          <w:szCs w:val="16"/>
          <w:color w:val="auto"/>
        </w:rPr>
      </w:pPr>
    </w:p>
    <w:p>
      <w:pPr>
        <w:ind w:left="4" w:right="20" w:hanging="4"/>
        <w:spacing w:after="0" w:line="286" w:lineRule="auto"/>
        <w:tabs>
          <w:tab w:leader="none" w:pos="2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72"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6" w:name="page27"/>
    <w:bookmarkEnd w:id="2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86" w:lineRule="exact"/>
        <w:rPr>
          <w:sz w:val="20"/>
          <w:szCs w:val="20"/>
          <w:color w:val="auto"/>
        </w:rPr>
      </w:pPr>
    </w:p>
    <w:p>
      <w:pPr>
        <w:ind w:right="680" w:firstLine="440"/>
        <w:spacing w:after="0" w:line="257" w:lineRule="auto"/>
        <w:rPr>
          <w:sz w:val="20"/>
          <w:szCs w:val="20"/>
          <w:color w:val="auto"/>
        </w:rPr>
      </w:pPr>
      <w:r>
        <w:rPr>
          <w:rFonts w:ascii="Arial" w:cs="Arial" w:eastAsia="Arial" w:hAnsi="Arial"/>
          <w:sz w:val="18"/>
          <w:szCs w:val="18"/>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Representative on behalf of the Underwriters may terminate this Agreement (upon consultation with the Company) at any time prior to the time on the Closing Date at which payment would otherwise be due under this Agreement to the Company if (i) in the opinion of the Representative, a material disruption in securities settlement, payment or clearance services in the United States shall have occurred or there shall have been a change in national or international financial, political or economic conditions which in their view will have a material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XII.</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XIII.</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XIV.</w:t>
      </w:r>
    </w:p>
    <w:p>
      <w:pPr>
        <w:spacing w:after="0" w:line="225" w:lineRule="exact"/>
        <w:rPr>
          <w:sz w:val="20"/>
          <w:szCs w:val="20"/>
          <w:color w:val="auto"/>
        </w:rPr>
      </w:pPr>
    </w:p>
    <w:p>
      <w:pPr>
        <w:ind w:right="60" w:firstLine="440"/>
        <w:spacing w:after="0" w:line="284"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with a copy to King &amp; Spalding LLP, at 1180 Peachtree Street NE, Suite 1600, Atlanta, GA 30309, Attention: Keith M. Townsend, Esq. (facsimile: 404-572-5100).Notices shall be provided to Deutsche Bank Securities Inc., at 60 Wall Street, New York, New York 10005, Attention: Debt Capital Markets Syndicate, facsimile number</w:t>
      </w:r>
    </w:p>
    <w:p>
      <w:pPr>
        <w:spacing w:after="0" w:line="4"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212-469-4877 with a copy to General Counsel, facsimile number 646-374-1071, with copies to Davis Polk &amp; Wardwell LLP, 450 Lexington Avenue, New York, New York, 10017, Attention: Joseph A. Hall, Esq. (facsimile: 212-701-5565). All notices hereunder shall be effective on receipt.</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40" w:top="274" w:right="5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XV.</w:t>
      </w:r>
    </w:p>
    <w:p>
      <w:pPr>
        <w:spacing w:after="0" w:line="225"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76"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Notwithstanding anything to the contrary contained in this Agreement, unless this Agreement has been validly terminated pursuant to the immediately preceding paragraph or pursuant to Article XI, the Representative shall reimburse the Company for all of the Company’s reasonable outside counsel fees, disbursements and expenses incurred in connection with the offering of the Securities (for the avoidance of doubt, this paragraph shall not apply to any outside counsel fees, disbursements or expenses incurred in connection with any other concurrent or proposed offering by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XVII.</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 on behalf of the Underwriters (and their respective affiliates), and any such action taken by the Representative shall be binding upon the Underwriters (and their respective affiliates).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XIX.</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XXI.</w:t>
      </w:r>
    </w:p>
    <w:p>
      <w:pPr>
        <w:spacing w:after="0" w:line="225" w:lineRule="exact"/>
        <w:rPr>
          <w:sz w:val="20"/>
          <w:szCs w:val="20"/>
          <w:color w:val="auto"/>
        </w:rPr>
      </w:pPr>
    </w:p>
    <w:p>
      <w:pPr>
        <w:ind w:right="380" w:firstLine="436"/>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0" w:name="page31"/>
    <w:bookmarkEnd w:id="30"/>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4" w:lineRule="exact"/>
        <w:rPr>
          <w:sz w:val="20"/>
          <w:szCs w:val="20"/>
          <w:color w:val="auto"/>
        </w:rPr>
      </w:pPr>
    </w:p>
    <w:p>
      <w:pPr>
        <w:jc w:val="both"/>
        <w:ind w:firstLine="436"/>
        <w:spacing w:after="0" w:line="259" w:lineRule="auto"/>
        <w:tabs>
          <w:tab w:leader="none" w:pos="8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35" w:lineRule="exact"/>
        <w:rPr>
          <w:sz w:val="20"/>
          <w:szCs w:val="20"/>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44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54" w:lineRule="exact"/>
        <w:rPr>
          <w:sz w:val="20"/>
          <w:szCs w:val="20"/>
          <w:color w:val="auto"/>
        </w:rPr>
      </w:pPr>
    </w:p>
    <w:p>
      <w:pPr>
        <w:ind w:left="440" w:right="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XXII.</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Notwithstanding and to the exclusion of any other term of this Agreement or any other agreements, arrangements or understandings between the Company and the Underwriters, the Company acknowledges and accepts that a BRRD Liability (as defined below) arising under this Agreement may be subject to the exercise of Bail-in Powers (as defined below) by the Relevant Resolution Authority (as defined below), and acknowledges, accepts and agrees to be bound by:</w:t>
      </w:r>
    </w:p>
    <w:p>
      <w:pPr>
        <w:spacing w:after="0" w:line="187" w:lineRule="exact"/>
        <w:rPr>
          <w:sz w:val="20"/>
          <w:szCs w:val="20"/>
          <w:color w:val="auto"/>
        </w:rPr>
      </w:pPr>
    </w:p>
    <w:p>
      <w:pPr>
        <w:ind w:right="100" w:firstLine="436"/>
        <w:spacing w:after="0" w:line="263"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the exercise of Bail-in Powers by the Relevant Resolution Authority in relation to any BRRD Liability of the Underwriters (the “</w:t>
      </w:r>
      <w:r>
        <w:rPr>
          <w:rFonts w:ascii="Arial" w:cs="Arial" w:eastAsia="Arial" w:hAnsi="Arial"/>
          <w:sz w:val="18"/>
          <w:szCs w:val="18"/>
          <w:b w:val="1"/>
          <w:bCs w:val="1"/>
          <w:color w:val="auto"/>
        </w:rPr>
        <w:t>Relevant BRRD Party</w:t>
      </w:r>
      <w:r>
        <w:rPr>
          <w:rFonts w:ascii="Arial" w:cs="Arial" w:eastAsia="Arial" w:hAnsi="Arial"/>
          <w:sz w:val="18"/>
          <w:szCs w:val="18"/>
          <w:color w:val="auto"/>
        </w:rPr>
        <w:t>”) to the Company under this Agreement, that (without limitation) may include and result in any of the following, or some combination thereof:</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reduction of all, or a portion, of the BRRD Liability or outstanding amounts due thereon;</w:t>
      </w:r>
    </w:p>
    <w:p>
      <w:pPr>
        <w:spacing w:after="0" w:line="130" w:lineRule="exact"/>
        <w:rPr>
          <w:rFonts w:ascii="Arial" w:cs="Arial" w:eastAsia="Arial" w:hAnsi="Arial"/>
          <w:sz w:val="18"/>
          <w:szCs w:val="18"/>
          <w:color w:val="auto"/>
        </w:rPr>
      </w:pPr>
    </w:p>
    <w:p>
      <w:pPr>
        <w:ind w:left="1420" w:right="320" w:hanging="439"/>
        <w:spacing w:after="0" w:line="308" w:lineRule="auto"/>
        <w:tabs>
          <w:tab w:leader="none" w:pos="14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conversion of all, or a portion, of the BRRD Liability into shares, other securities or other obligations of the Relevant BRRD Party or another person, and the issue to or conferral on the Company of such shares, securities or obligations;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1" w:name="page32"/>
    <w:bookmarkEnd w:id="31"/>
    <w:p>
      <w:pPr>
        <w:ind w:left="1420" w:hanging="439"/>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cancellation of the BRRD Liability;</w:t>
      </w:r>
    </w:p>
    <w:p>
      <w:pPr>
        <w:spacing w:after="0" w:line="130" w:lineRule="exact"/>
        <w:rPr>
          <w:rFonts w:ascii="Arial" w:cs="Arial" w:eastAsia="Arial" w:hAnsi="Arial"/>
          <w:sz w:val="18"/>
          <w:szCs w:val="18"/>
          <w:color w:val="auto"/>
        </w:rPr>
      </w:pPr>
    </w:p>
    <w:p>
      <w:pPr>
        <w:ind w:left="1420" w:right="640" w:hanging="439"/>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amendment or alteration of any interest, if applicable, thereon, or the dates on which any payments are due, including by suspending payment for a temporary period; and</w:t>
      </w:r>
    </w:p>
    <w:p>
      <w:pPr>
        <w:spacing w:after="0" w:line="170" w:lineRule="exact"/>
        <w:rPr>
          <w:rFonts w:ascii="Arial" w:cs="Arial" w:eastAsia="Arial" w:hAnsi="Arial"/>
          <w:sz w:val="18"/>
          <w:szCs w:val="18"/>
          <w:color w:val="auto"/>
        </w:rPr>
      </w:pPr>
    </w:p>
    <w:p>
      <w:pPr>
        <w:ind w:right="380" w:firstLine="436"/>
        <w:spacing w:after="0" w:line="277" w:lineRule="auto"/>
        <w:tabs>
          <w:tab w:leader="none" w:pos="8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variation of the terms of this Agreement, as deemed necessary by the Relevant Resolution Authority, to give effect to the exercise of Bail-in Powers by the Relevant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section:</w:t>
      </w:r>
    </w:p>
    <w:p>
      <w:pPr>
        <w:spacing w:after="0" w:line="113" w:lineRule="exact"/>
        <w:rPr>
          <w:sz w:val="20"/>
          <w:szCs w:val="20"/>
          <w:color w:val="auto"/>
        </w:rPr>
      </w:pPr>
    </w:p>
    <w:p>
      <w:pPr>
        <w:jc w:val="both"/>
        <w:ind w:left="44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68" w:lineRule="exact"/>
        <w:rPr>
          <w:sz w:val="20"/>
          <w:szCs w:val="20"/>
          <w:color w:val="auto"/>
        </w:rPr>
      </w:pPr>
    </w:p>
    <w:p>
      <w:pPr>
        <w:ind w:left="44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Powers</w:t>
      </w:r>
      <w:r>
        <w:rPr>
          <w:rFonts w:ascii="Arial" w:cs="Arial" w:eastAsia="Arial" w:hAnsi="Arial"/>
          <w:sz w:val="18"/>
          <w:szCs w:val="18"/>
          <w:color w:val="auto"/>
        </w:rPr>
        <w:t>” means any Write-down and Conversion Powers as defined in the EU Bail-in Legislation Schedule, in relation to the relevant Bail-in Legislation;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BRRD</w:t>
      </w:r>
      <w:r>
        <w:rPr>
          <w:rFonts w:ascii="Arial" w:cs="Arial" w:eastAsia="Arial" w:hAnsi="Arial"/>
          <w:sz w:val="17"/>
          <w:szCs w:val="17"/>
          <w:color w:val="auto"/>
        </w:rPr>
        <w:t>” means Directive 2014/59/EU establishing a framework for the recovery and resolution of credit institutions and investment firms;</w:t>
      </w:r>
    </w:p>
    <w:p>
      <w:pPr>
        <w:spacing w:after="0" w:line="129"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BRRD Liability</w:t>
      </w:r>
      <w:r>
        <w:rPr>
          <w:rFonts w:ascii="Arial" w:cs="Arial" w:eastAsia="Arial" w:hAnsi="Arial"/>
          <w:sz w:val="18"/>
          <w:szCs w:val="18"/>
          <w:color w:val="auto"/>
        </w:rPr>
        <w:t>” means a liability in respect of which the relevant Write Down and Conversion Powers in the applicable Bail-in Legislation may be exercised;</w:t>
      </w:r>
    </w:p>
    <w:p>
      <w:pPr>
        <w:spacing w:after="0" w:line="54"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document described as such, then in effect, and published by the Loan Market Association (or any successor person) from time to time at http://www.lma.eu.com; and</w:t>
      </w:r>
    </w:p>
    <w:p>
      <w:pPr>
        <w:spacing w:after="0" w:line="54"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Resolution Authority</w:t>
      </w:r>
      <w:r>
        <w:rPr>
          <w:rFonts w:ascii="Arial" w:cs="Arial" w:eastAsia="Arial" w:hAnsi="Arial"/>
          <w:sz w:val="18"/>
          <w:szCs w:val="18"/>
          <w:color w:val="auto"/>
        </w:rPr>
        <w:t>” means the resolution authority with the ability to exercise any Bail-in Powers in relation to the Relevant BRRD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2" w:name="page33"/>
    <w:bookmarkEnd w:id="32"/>
    <w:p>
      <w:pPr>
        <w:ind w:left="3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66"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GENERAL MOTORS COMPANY</w:t>
      </w:r>
    </w:p>
    <w:p>
      <w:pPr>
        <w:spacing w:after="0" w:line="277" w:lineRule="exact"/>
        <w:rPr>
          <w:sz w:val="20"/>
          <w:szCs w:val="20"/>
          <w:color w:val="auto"/>
        </w:rPr>
      </w:pPr>
    </w:p>
    <w:p>
      <w:pPr>
        <w:ind w:left="396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Gustavo Vello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488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Gustavo Vello</w:t>
      </w:r>
    </w:p>
    <w:p>
      <w:pPr>
        <w:spacing w:after="0" w:line="23"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Assistant Treasurer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Underwriters named in Schedule I hereto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Ritu Ketkar</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40" w:type="dxa"/>
            <w:vAlign w:val="bottom"/>
          </w:tcPr>
          <w:p>
            <w:pPr>
              <w:ind w:left="100"/>
              <w:spacing w:after="0"/>
              <w:rPr>
                <w:sz w:val="20"/>
                <w:szCs w:val="20"/>
                <w:color w:val="auto"/>
              </w:rPr>
            </w:pPr>
            <w:r>
              <w:rPr>
                <w:rFonts w:ascii="Arial" w:cs="Arial" w:eastAsia="Arial" w:hAnsi="Arial"/>
                <w:sz w:val="18"/>
                <w:szCs w:val="18"/>
                <w:color w:val="auto"/>
              </w:rPr>
              <w:t>Ritu Ketkar</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ind w:left="100"/>
              <w:spacing w:after="0"/>
              <w:rPr>
                <w:sz w:val="20"/>
                <w:szCs w:val="20"/>
                <w:color w:val="auto"/>
              </w:rPr>
            </w:pPr>
            <w:r>
              <w:rPr>
                <w:rFonts w:ascii="Arial" w:cs="Arial" w:eastAsia="Arial" w:hAnsi="Arial"/>
                <w:sz w:val="18"/>
                <w:szCs w:val="18"/>
                <w:color w:val="auto"/>
              </w:rPr>
              <w:t>Managing Director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John Han</w:t>
            </w:r>
          </w:p>
        </w:tc>
      </w:tr>
      <w:tr>
        <w:trPr>
          <w:trHeight w:val="209"/>
        </w:trPr>
        <w:tc>
          <w:tcPr>
            <w:tcW w:w="5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2840" w:type="dxa"/>
            <w:vAlign w:val="bottom"/>
          </w:tcPr>
          <w:p>
            <w:pPr>
              <w:ind w:left="100"/>
              <w:spacing w:after="0"/>
              <w:rPr>
                <w:sz w:val="20"/>
                <w:szCs w:val="20"/>
                <w:color w:val="auto"/>
              </w:rPr>
            </w:pPr>
            <w:r>
              <w:rPr>
                <w:rFonts w:ascii="Arial" w:cs="Arial" w:eastAsia="Arial" w:hAnsi="Arial"/>
                <w:sz w:val="18"/>
                <w:szCs w:val="18"/>
                <w:color w:val="auto"/>
              </w:rPr>
              <w:t>John Han</w:t>
            </w: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ind w:left="10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ind w:left="860"/>
              <w:spacing w:after="0"/>
              <w:rPr>
                <w:sz w:val="20"/>
                <w:szCs w:val="20"/>
                <w:color w:val="auto"/>
              </w:rPr>
            </w:pPr>
            <w:r>
              <w:rPr>
                <w:rFonts w:ascii="Arial" w:cs="Arial" w:eastAsia="Arial" w:hAnsi="Arial"/>
                <w:sz w:val="18"/>
                <w:szCs w:val="18"/>
                <w:b w:val="1"/>
                <w:bCs w:val="1"/>
                <w:color w:val="auto"/>
              </w:rPr>
              <w:t>SCHEDULE I</w:t>
            </w:r>
          </w:p>
        </w:tc>
      </w:tr>
      <w:tr>
        <w:trPr>
          <w:trHeight w:val="369"/>
        </w:trPr>
        <w:tc>
          <w:tcPr>
            <w:tcW w:w="3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Principal</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7"/>
              </w:rPr>
              <w:t>Principal</w:t>
            </w:r>
          </w:p>
        </w:tc>
      </w:tr>
      <w:tr>
        <w:trPr>
          <w:trHeight w:val="148"/>
        </w:trPr>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Amount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49"/>
        </w:trPr>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6"/>
              </w:rPr>
              <w:t>2027</w:t>
            </w:r>
          </w:p>
        </w:tc>
        <w:tc>
          <w:tcPr>
            <w:tcW w:w="880" w:type="dxa"/>
            <w:vAlign w:val="bottom"/>
          </w:tcPr>
          <w:p>
            <w:pPr>
              <w:spacing w:after="0"/>
              <w:rPr>
                <w:sz w:val="12"/>
                <w:szCs w:val="12"/>
                <w:color w:val="auto"/>
              </w:rPr>
            </w:pPr>
          </w:p>
        </w:tc>
      </w:tr>
      <w:tr>
        <w:trPr>
          <w:trHeight w:val="148"/>
        </w:trPr>
        <w:tc>
          <w:tcPr>
            <w:tcW w:w="3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Securities to</w:t>
            </w:r>
          </w:p>
        </w:tc>
      </w:tr>
      <w:tr>
        <w:trPr>
          <w:trHeight w:val="171"/>
        </w:trPr>
        <w:tc>
          <w:tcPr>
            <w:tcW w:w="3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be Purchased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be Purchased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be Purchased</w:t>
            </w: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Barclays Capital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Banca IMI S.p.A.</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NatWest Markets Securities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Scotia Capital (USA)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SG Americas Securities, LLC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Academy Securities,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Banco Bradesco BBI S.A.</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ICBC Standard Bank Plc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SunTrust Robinson Humphrey, Inc.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14,820,000</w:t>
            </w:r>
          </w:p>
        </w:tc>
        <w:tc>
          <w:tcPr>
            <w:tcW w:w="88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3,400,000</w:t>
            </w:r>
          </w:p>
        </w:tc>
        <w:tc>
          <w:tcPr>
            <w:tcW w:w="88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880" w:type="dxa"/>
            <w:vAlign w:val="bottom"/>
          </w:tcPr>
          <w:p>
            <w:pPr>
              <w:spacing w:after="0"/>
              <w:rPr>
                <w:sz w:val="18"/>
                <w:szCs w:val="18"/>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1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3,400,000</w:t>
            </w:r>
          </w:p>
        </w:tc>
        <w:tc>
          <w:tcPr>
            <w:tcW w:w="88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2,000,000,000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1,000,000,000</w:t>
            </w:r>
          </w:p>
        </w:tc>
        <w:tc>
          <w:tcPr>
            <w:tcW w:w="88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1400" w:type="dxa"/>
            <w:vAlign w:val="bottom"/>
            <w:gridSpan w:val="2"/>
          </w:tcPr>
          <w:p>
            <w:pPr>
              <w:jc w:val="right"/>
              <w:ind w:right="247"/>
              <w:spacing w:after="0"/>
              <w:rPr>
                <w:sz w:val="20"/>
                <w:szCs w:val="20"/>
                <w:color w:val="auto"/>
              </w:rPr>
            </w:pPr>
            <w:r>
              <w:rPr>
                <w:rFonts w:ascii="Arial" w:cs="Arial" w:eastAsia="Arial" w:hAnsi="Arial"/>
                <w:sz w:val="18"/>
                <w:szCs w:val="18"/>
                <w:color w:val="auto"/>
              </w:rPr>
              <w:t>I-1</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40"/>
          </w:cols>
          <w:pgMar w:left="132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Permitted Free Writing Prospectus</w:t>
      </w:r>
    </w:p>
    <w:p>
      <w:pPr>
        <w:spacing w:after="0" w:line="135"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Pricing term sheet, in the form attached as Annex II-A hereto.</w:t>
      </w:r>
    </w:p>
    <w:p>
      <w:pPr>
        <w:spacing w:after="0" w:line="130" w:lineRule="exact"/>
        <w:rPr>
          <w:rFonts w:ascii="Arial" w:cs="Arial" w:eastAsia="Arial" w:hAnsi="Arial"/>
          <w:sz w:val="18"/>
          <w:szCs w:val="18"/>
          <w:color w:val="auto"/>
        </w:rPr>
      </w:pPr>
    </w:p>
    <w:p>
      <w:pPr>
        <w:ind w:left="540" w:right="200" w:hanging="532"/>
        <w:spacing w:after="0" w:line="34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Media Free Writing Prospectus: LaReau, Jamie L., “GM hopes to stockpile billions more in cash from a one-day bond sale” </w:t>
      </w:r>
      <w:r>
        <w:rPr>
          <w:rFonts w:ascii="Arial" w:cs="Arial" w:eastAsia="Arial" w:hAnsi="Arial"/>
          <w:sz w:val="16"/>
          <w:szCs w:val="16"/>
          <w:i w:val="1"/>
          <w:iCs w:val="1"/>
          <w:color w:val="auto"/>
        </w:rPr>
        <w:t>Detroit Free</w:t>
      </w:r>
      <w:r>
        <w:rPr>
          <w:rFonts w:ascii="Arial" w:cs="Arial" w:eastAsia="Arial" w:hAnsi="Arial"/>
          <w:sz w:val="16"/>
          <w:szCs w:val="16"/>
          <w:color w:val="auto"/>
        </w:rPr>
        <w:t xml:space="preserve"> </w:t>
      </w:r>
      <w:r>
        <w:rPr>
          <w:rFonts w:ascii="Arial" w:cs="Arial" w:eastAsia="Arial" w:hAnsi="Arial"/>
          <w:sz w:val="16"/>
          <w:szCs w:val="16"/>
          <w:i w:val="1"/>
          <w:iCs w:val="1"/>
          <w:color w:val="auto"/>
        </w:rPr>
        <w:t>Press</w:t>
      </w:r>
      <w:r>
        <w:rPr>
          <w:rFonts w:ascii="Arial" w:cs="Arial" w:eastAsia="Arial" w:hAnsi="Arial"/>
          <w:sz w:val="16"/>
          <w:szCs w:val="16"/>
          <w:color w:val="auto"/>
        </w:rPr>
        <w:t>, May 7, 2020, https://www.freep.com/story/money/cars/general-motors/2020/05/07/gm-bonds-coronavirus-crisis/3086895001/</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600"/>
          </w:cols>
          <w:pgMar w:left="860" w:top="270"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II-A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May 7, 2020 to the Prospectus dated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5, 2020. Registration Statement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333-236276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May 7, 2020</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GENERAL MOTORS COMPANY</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5.40% Senior Notes due 2023</w:t>
      </w:r>
    </w:p>
    <w:p>
      <w:pPr>
        <w:spacing w:after="0" w:line="2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6.125% Senior Notes due 2025</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6.80% Senior Notes due 2027</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information in this pricing term sheet relates only to the offering of the Securities and should be read together with the preliminary prospectus supplement of General Motors Company dated May 7, 2020 (the “Preliminary Prospectus Supplement”) to its prospectus dated February 5, 2020,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Securities</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136"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7, 2020</w:t>
      </w:r>
    </w:p>
    <w:p>
      <w:pPr>
        <w:spacing w:after="0" w:line="136"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May 12, 2020 (T+3)*</w:t>
      </w:r>
    </w:p>
    <w:p>
      <w:pPr>
        <w:spacing w:after="0" w:line="125"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Citigroup Global Market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2"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Banca IMI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Credit Agricole Securities (USA)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57" w:lineRule="exact"/>
        <w:rPr>
          <w:sz w:val="20"/>
          <w:szCs w:val="20"/>
          <w:color w:val="auto"/>
        </w:rPr>
      </w:pPr>
    </w:p>
    <w:p>
      <w:pPr>
        <w:sectPr>
          <w:pgSz w:w="11900" w:h="16838" w:orient="portrait"/>
          <w:cols w:equalWidth="0" w:num="2">
            <w:col w:w="3260" w:space="720"/>
            <w:col w:w="7040"/>
          </w:cols>
          <w:pgMar w:left="440" w:top="270" w:right="4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II-A-1</w:t>
      </w:r>
    </w:p>
    <w:p>
      <w:pPr>
        <w:sectPr>
          <w:pgSz w:w="11900" w:h="16838" w:orient="portrait"/>
          <w:cols w:equalWidth="0" w:num="1">
            <w:col w:w="11020"/>
          </w:cols>
          <w:pgMar w:left="440" w:top="270" w:right="4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Academy Securities, Inc.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Banco Bradesco BBI S.A.</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ICBC Standard Bank Plc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Lloyds Securities Inc.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SunTrust Robinson Humphrey, Inc.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WR Securities, LLC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Loop Capital Markets LLC</w:t>
            </w:r>
          </w:p>
        </w:tc>
      </w:tr>
      <w:tr>
        <w:trPr>
          <w:trHeight w:val="216"/>
        </w:trPr>
        <w:tc>
          <w:tcPr>
            <w:tcW w:w="3440" w:type="dxa"/>
            <w:vAlign w:val="bottom"/>
          </w:tcPr>
          <w:p>
            <w:pPr>
              <w:spacing w:after="0"/>
              <w:rPr>
                <w:sz w:val="18"/>
                <w:szCs w:val="18"/>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3440" w:type="dxa"/>
            <w:vAlign w:val="bottom"/>
          </w:tcPr>
          <w:p>
            <w:pPr>
              <w:spacing w:after="0"/>
              <w:rPr>
                <w:sz w:val="20"/>
                <w:szCs w:val="20"/>
                <w:color w:val="auto"/>
              </w:rPr>
            </w:pP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Siebert Williams Shank &amp; Co., LLC</w:t>
            </w:r>
          </w:p>
        </w:tc>
      </w:tr>
      <w:tr>
        <w:trPr>
          <w:trHeight w:val="364"/>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r>
      <w:tr>
        <w:trPr>
          <w:trHeight w:val="407"/>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gridSpan w:val="2"/>
          </w:tcPr>
          <w:p>
            <w:pPr>
              <w:jc w:val="center"/>
              <w:ind w:right="236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3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80" w:type="dxa"/>
            <w:vAlign w:val="bottom"/>
            <w:gridSpan w:val="2"/>
          </w:tcPr>
          <w:p>
            <w:pPr>
              <w:jc w:val="center"/>
              <w:ind w:right="2360"/>
              <w:spacing w:after="0"/>
              <w:rPr>
                <w:sz w:val="20"/>
                <w:szCs w:val="20"/>
                <w:color w:val="auto"/>
              </w:rPr>
            </w:pPr>
            <w:r>
              <w:rPr>
                <w:rFonts w:ascii="Arial" w:cs="Arial" w:eastAsia="Arial" w:hAnsi="Arial"/>
                <w:sz w:val="18"/>
                <w:szCs w:val="18"/>
                <w:b w:val="1"/>
                <w:bCs w:val="1"/>
                <w:color w:val="auto"/>
                <w:w w:val="89"/>
              </w:rPr>
              <w:t>5.40% Senior Notes due 2023</w:t>
            </w: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5.40% Senior Notes due 2023</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Senior Unsecured Notes</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3220" w:type="dxa"/>
            <w:vAlign w:val="bottom"/>
            <w:gridSpan w:val="2"/>
          </w:tcPr>
          <w:p>
            <w:pPr>
              <w:ind w:left="540"/>
              <w:spacing w:after="0"/>
              <w:rPr>
                <w:sz w:val="20"/>
                <w:szCs w:val="20"/>
                <w:color w:val="auto"/>
              </w:rPr>
            </w:pPr>
            <w:r>
              <w:rPr>
                <w:rFonts w:ascii="Arial" w:cs="Arial" w:eastAsia="Arial" w:hAnsi="Arial"/>
                <w:sz w:val="18"/>
                <w:szCs w:val="18"/>
                <w:color w:val="auto"/>
              </w:rPr>
              <w:t>$1,000,000,000</w:t>
            </w:r>
          </w:p>
        </w:tc>
        <w:tc>
          <w:tcPr>
            <w:tcW w:w="2360" w:type="dxa"/>
            <w:vAlign w:val="bottom"/>
          </w:tcPr>
          <w:p>
            <w:pPr>
              <w:spacing w:after="0"/>
              <w:rPr>
                <w:sz w:val="24"/>
                <w:szCs w:val="24"/>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w w:val="90"/>
              </w:rPr>
              <w:t>99.896%, plus accrued and unpaid interest, if any, from May 12, 2020</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October 2, 2023</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5.40% per year</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3220" w:type="dxa"/>
            <w:vAlign w:val="bottom"/>
            <w:gridSpan w:val="2"/>
          </w:tcPr>
          <w:p>
            <w:pPr>
              <w:ind w:left="540"/>
              <w:spacing w:after="0"/>
              <w:rPr>
                <w:sz w:val="20"/>
                <w:szCs w:val="20"/>
                <w:color w:val="auto"/>
              </w:rPr>
            </w:pPr>
            <w:r>
              <w:rPr>
                <w:rFonts w:ascii="Arial" w:cs="Arial" w:eastAsia="Arial" w:hAnsi="Arial"/>
                <w:sz w:val="18"/>
                <w:szCs w:val="18"/>
                <w:color w:val="auto"/>
              </w:rPr>
              <w:t>5.436%</w:t>
            </w:r>
          </w:p>
        </w:tc>
        <w:tc>
          <w:tcPr>
            <w:tcW w:w="2360" w:type="dxa"/>
            <w:vAlign w:val="bottom"/>
          </w:tcPr>
          <w:p>
            <w:pPr>
              <w:spacing w:after="0"/>
              <w:rPr>
                <w:sz w:val="24"/>
                <w:szCs w:val="24"/>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+ 525 bps</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0.250% due April 15, 2023</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Benchmark Treasury Price and Yield:</w:t>
            </w:r>
          </w:p>
        </w:tc>
        <w:tc>
          <w:tcPr>
            <w:tcW w:w="3220" w:type="dxa"/>
            <w:vAlign w:val="bottom"/>
            <w:gridSpan w:val="2"/>
          </w:tcPr>
          <w:p>
            <w:pPr>
              <w:ind w:left="540"/>
              <w:spacing w:after="0"/>
              <w:rPr>
                <w:sz w:val="20"/>
                <w:szCs w:val="20"/>
                <w:color w:val="auto"/>
              </w:rPr>
            </w:pPr>
            <w:r>
              <w:rPr>
                <w:rFonts w:ascii="Arial" w:cs="Arial" w:eastAsia="Arial" w:hAnsi="Arial"/>
                <w:sz w:val="18"/>
                <w:szCs w:val="18"/>
                <w:color w:val="auto"/>
              </w:rPr>
              <w:t>100-06; 0.186%</w:t>
            </w:r>
          </w:p>
        </w:tc>
        <w:tc>
          <w:tcPr>
            <w:tcW w:w="2360" w:type="dxa"/>
            <w:vAlign w:val="bottom"/>
          </w:tcPr>
          <w:p>
            <w:pPr>
              <w:spacing w:after="0"/>
              <w:rPr>
                <w:sz w:val="24"/>
                <w:szCs w:val="24"/>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April 2 and October 2, beginning October 2, 2020</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March 15 and September 15</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3220" w:type="dxa"/>
            <w:vAlign w:val="bottom"/>
            <w:gridSpan w:val="2"/>
          </w:tcPr>
          <w:p>
            <w:pPr>
              <w:ind w:left="540"/>
              <w:spacing w:after="0"/>
              <w:rPr>
                <w:sz w:val="20"/>
                <w:szCs w:val="20"/>
                <w:color w:val="auto"/>
              </w:rPr>
            </w:pPr>
            <w:r>
              <w:rPr>
                <w:rFonts w:ascii="Arial" w:cs="Arial" w:eastAsia="Arial" w:hAnsi="Arial"/>
                <w:sz w:val="18"/>
                <w:szCs w:val="18"/>
                <w:color w:val="auto"/>
              </w:rPr>
              <w:t>30 / 360</w:t>
            </w:r>
          </w:p>
        </w:tc>
        <w:tc>
          <w:tcPr>
            <w:tcW w:w="2360" w:type="dxa"/>
            <w:vAlign w:val="bottom"/>
          </w:tcPr>
          <w:p>
            <w:pPr>
              <w:spacing w:after="0"/>
              <w:rPr>
                <w:sz w:val="24"/>
                <w:szCs w:val="24"/>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T+50 bps prior to maturity</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24"/>
        </w:trPr>
        <w:tc>
          <w:tcPr>
            <w:tcW w:w="34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580" w:type="dxa"/>
            <w:vAlign w:val="bottom"/>
            <w:gridSpan w:val="3"/>
          </w:tcPr>
          <w:p>
            <w:pPr>
              <w:ind w:left="540"/>
              <w:spacing w:after="0"/>
              <w:rPr>
                <w:sz w:val="20"/>
                <w:szCs w:val="20"/>
                <w:color w:val="auto"/>
              </w:rPr>
            </w:pPr>
            <w:r>
              <w:rPr>
                <w:rFonts w:ascii="Arial" w:cs="Arial" w:eastAsia="Arial" w:hAnsi="Arial"/>
                <w:sz w:val="18"/>
                <w:szCs w:val="18"/>
                <w:color w:val="auto"/>
              </w:rPr>
              <w:t>37045V AW0 / US37045VAW00</w:t>
            </w:r>
          </w:p>
        </w:tc>
      </w:tr>
      <w:tr>
        <w:trPr>
          <w:trHeight w:val="364"/>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r>
      <w:tr>
        <w:trPr>
          <w:trHeight w:val="628"/>
        </w:trPr>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gridSpan w:val="2"/>
          </w:tcPr>
          <w:p>
            <w:pPr>
              <w:jc w:val="center"/>
              <w:ind w:right="2340"/>
              <w:spacing w:after="0"/>
              <w:rPr>
                <w:sz w:val="20"/>
                <w:szCs w:val="20"/>
                <w:color w:val="auto"/>
              </w:rPr>
            </w:pPr>
            <w:r>
              <w:rPr>
                <w:rFonts w:ascii="Arial" w:cs="Arial" w:eastAsia="Arial" w:hAnsi="Arial"/>
                <w:sz w:val="18"/>
                <w:szCs w:val="18"/>
                <w:color w:val="auto"/>
              </w:rPr>
              <w:t>II-A-2</w:t>
            </w:r>
          </w:p>
        </w:tc>
      </w:tr>
    </w:tbl>
    <w:p>
      <w:pPr>
        <w:jc w:val="center"/>
        <w:ind w:right="234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 w:name="page39"/>
    <w:bookmarkEnd w:id="38"/>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Terms Applicable to the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6.125% Senior Notes due 2025</w:t>
      </w:r>
    </w:p>
    <w:p>
      <w:pPr>
        <w:sectPr>
          <w:pgSz w:w="11900" w:h="16838" w:orient="portrait"/>
          <w:cols w:equalWidth="0" w:num="1">
            <w:col w:w="10019"/>
          </w:cols>
          <w:pgMar w:left="440" w:top="270" w:right="1440"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6.125% Senior Notes due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99.899%, plus accrued and unpaid interest, if any, from May 12,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1,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6.125%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+ 585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0.375% due April 30,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100-12; 0.299%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beginning October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T+50 bps prior to September 1, 2025 (one month prior to maturity)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On or after September 1, 2025 (one month prior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37045V AV2 / US37045VAV27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237490</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6039"/>
          </w:cols>
          <w:pgMar w:left="440" w:top="270" w:right="1440" w:bottom="1440" w:gutter="0" w:footer="0" w:header="0"/>
          <w:type w:val="continuous"/>
        </w:sectPr>
      </w:pPr>
    </w:p>
    <w:p>
      <w:pPr>
        <w:spacing w:after="0" w:line="38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Terms Applicable to the</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6.80% Senior Notes due 2027</w:t>
      </w:r>
    </w:p>
    <w:p>
      <w:pPr>
        <w:sectPr>
          <w:pgSz w:w="11900" w:h="16838" w:orient="portrait"/>
          <w:cols w:equalWidth="0" w:num="1">
            <w:col w:w="10019"/>
          </w:cols>
          <w:pgMar w:left="440" w:top="270" w:right="1440"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Coupon (Interest 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6.80% Senior Notes due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99.775%, plus accrued and unpaid interest, if any, from May 12,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1,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6.80%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6.841%</w:t>
      </w:r>
    </w:p>
    <w:p>
      <w:pPr>
        <w:spacing w:after="0" w:line="158" w:lineRule="exact"/>
        <w:rPr>
          <w:sz w:val="20"/>
          <w:szCs w:val="20"/>
          <w:color w:val="auto"/>
        </w:rPr>
      </w:pPr>
    </w:p>
    <w:p>
      <w:pPr>
        <w:sectPr>
          <w:pgSz w:w="11900" w:h="16838" w:orient="portrait"/>
          <w:cols w:equalWidth="0" w:num="2">
            <w:col w:w="3320" w:space="720"/>
            <w:col w:w="5979"/>
          </w:cols>
          <w:pgMar w:left="440" w:top="270" w:right="1440" w:bottom="1440" w:gutter="0" w:footer="0" w:header="0"/>
          <w:type w:val="continuous"/>
        </w:sectPr>
      </w:pPr>
    </w:p>
    <w:p>
      <w:pPr>
        <w:ind w:left="5280"/>
        <w:spacing w:after="0"/>
        <w:rPr>
          <w:sz w:val="20"/>
          <w:szCs w:val="20"/>
          <w:color w:val="auto"/>
        </w:rPr>
      </w:pPr>
      <w:r>
        <w:rPr>
          <w:rFonts w:ascii="Arial" w:cs="Arial" w:eastAsia="Arial" w:hAnsi="Arial"/>
          <w:sz w:val="18"/>
          <w:szCs w:val="18"/>
          <w:color w:val="auto"/>
        </w:rPr>
        <w:t>II-A-3</w:t>
      </w:r>
    </w:p>
    <w:p>
      <w:pPr>
        <w:sectPr>
          <w:pgSz w:w="11900" w:h="16838" w:orient="portrait"/>
          <w:cols w:equalWidth="0" w:num="1">
            <w:col w:w="10019"/>
          </w:cols>
          <w:pgMar w:left="440" w:top="270" w:right="1440" w:bottom="1440" w:gutter="0" w:footer="0" w:header="0"/>
          <w:type w:val="continuous"/>
        </w:sectPr>
      </w:pPr>
    </w:p>
    <w:bookmarkStart w:id="39" w:name="page40"/>
    <w:bookmarkEnd w:id="39"/>
    <w:p>
      <w:pPr>
        <w:ind w:left="4"/>
        <w:spacing w:after="0"/>
        <w:rPr>
          <w:sz w:val="20"/>
          <w:szCs w:val="20"/>
          <w:color w:val="auto"/>
        </w:rPr>
      </w:pPr>
      <w:r>
        <w:rPr>
          <w:rFonts w:ascii="Arial" w:cs="Arial" w:eastAsia="Arial" w:hAnsi="Arial"/>
          <w:sz w:val="18"/>
          <w:szCs w:val="18"/>
          <w:b w:val="1"/>
          <w:bCs w:val="1"/>
          <w:color w:val="auto"/>
        </w:rPr>
        <w:t>Spread to Benchmark Treasury: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Benchmark Treasury Price and Yield:</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+ 635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-215900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0.500% due April 30,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100-02; 0.491%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beginning October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T+50 bps prior to August 1, 2027 (two months prior to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or after August 1, 2027 (two months prior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37045V AU4 / US37045VAU44</w:t>
      </w:r>
    </w:p>
    <w:p>
      <w:pPr>
        <w:spacing w:after="0" w:line="194" w:lineRule="exact"/>
        <w:rPr>
          <w:sz w:val="20"/>
          <w:szCs w:val="20"/>
          <w:color w:val="auto"/>
        </w:rPr>
      </w:pPr>
    </w:p>
    <w:p>
      <w:pPr>
        <w:sectPr>
          <w:pgSz w:w="11900" w:h="16838" w:orient="portrait"/>
          <w:cols w:equalWidth="0" w:num="2">
            <w:col w:w="3264" w:space="720"/>
            <w:col w:w="7000"/>
          </w:cols>
          <w:pgMar w:left="436" w:top="270" w:right="479" w:bottom="1440" w:gutter="0" w:footer="0" w:header="0"/>
        </w:sectPr>
      </w:pPr>
    </w:p>
    <w:p>
      <w:pPr>
        <w:ind w:left="424" w:right="200" w:hanging="424"/>
        <w:spacing w:after="0" w:line="258" w:lineRule="auto"/>
        <w:tabs>
          <w:tab w:leader="none" w:pos="42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Under Rule 15c6-1 of the Exchange Act, trades in the secondary market are generally required to settle in two business days, unless the parties to any such trade expressly agree otherwise. Accordingly, purchasers who wish to trade notes on the date of pricing will be required, by virtue of the fact that the notes initially will settle T + 3, to specify an alternative settlement cycle at the time of any such trade to prevent a failed settlement. Purchasers of the notes who wish to trade the notes on the date of pricing should consult their own advisor.</w:t>
      </w:r>
    </w:p>
    <w:p>
      <w:pPr>
        <w:spacing w:after="0" w:line="183" w:lineRule="exact"/>
        <w:rPr>
          <w:sz w:val="20"/>
          <w:szCs w:val="20"/>
          <w:color w:val="auto"/>
        </w:rPr>
      </w:pPr>
    </w:p>
    <w:p>
      <w:pPr>
        <w:ind w:left="4"/>
        <w:spacing w:after="0" w:line="271" w:lineRule="auto"/>
        <w:rPr>
          <w:sz w:val="20"/>
          <w:szCs w:val="20"/>
          <w:color w:val="auto"/>
        </w:rPr>
      </w:pPr>
      <w:r>
        <w:rPr>
          <w:rFonts w:ascii="Arial" w:cs="Arial" w:eastAsia="Arial" w:hAnsi="Arial"/>
          <w:sz w:val="17"/>
          <w:szCs w:val="17"/>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Deutsche Bank Securities Inc., Attention: Prospectus Group, 60 Wall Street, New York, NY 10005 or toll-free at (800) 503-4611.</w:t>
      </w:r>
    </w:p>
    <w:p>
      <w:pPr>
        <w:spacing w:after="0" w:line="174" w:lineRule="exact"/>
        <w:rPr>
          <w:sz w:val="20"/>
          <w:szCs w:val="20"/>
          <w:color w:val="auto"/>
        </w:rPr>
      </w:pPr>
    </w:p>
    <w:p>
      <w:pPr>
        <w:jc w:val="both"/>
        <w:ind w:left="4" w:right="420"/>
        <w:spacing w:after="0" w:line="314"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142" w:lineRule="exact"/>
        <w:rPr>
          <w:sz w:val="20"/>
          <w:szCs w:val="20"/>
          <w:color w:val="auto"/>
        </w:rPr>
      </w:pPr>
    </w:p>
    <w:p>
      <w:pPr>
        <w:ind w:left="4" w:right="40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II-A-4</w:t>
      </w:r>
    </w:p>
    <w:p>
      <w:pPr>
        <w:sectPr>
          <w:pgSz w:w="11900" w:h="16838" w:orient="portrait"/>
          <w:cols w:equalWidth="0" w:num="1">
            <w:col w:w="10984"/>
          </w:cols>
          <w:pgMar w:left="436" w:top="270" w:right="47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Principal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SIXTH SUPPLEMENTAL 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as of May 12, 2020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5.40%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 DUE</w:t>
      </w:r>
      <w:r>
        <w:rPr>
          <w:rFonts w:ascii="Arial" w:cs="Arial" w:eastAsia="Arial" w:hAnsi="Arial"/>
          <w:sz w:val="18"/>
          <w:szCs w:val="18"/>
          <w:b w:val="1"/>
          <w:bCs w:val="1"/>
          <w:color w:val="auto"/>
        </w:rPr>
        <w:t xml:space="preserve"> 2023</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6.125%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 DUE</w:t>
      </w:r>
      <w:r>
        <w:rPr>
          <w:rFonts w:ascii="Arial" w:cs="Arial" w:eastAsia="Arial" w:hAnsi="Arial"/>
          <w:sz w:val="18"/>
          <w:szCs w:val="18"/>
          <w:b w:val="1"/>
          <w:bCs w:val="1"/>
          <w:color w:val="auto"/>
        </w:rPr>
        <w:t xml:space="preserve"> 2025</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6.80% 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 DUE</w:t>
      </w:r>
      <w:r>
        <w:rPr>
          <w:rFonts w:ascii="Arial" w:cs="Arial" w:eastAsia="Arial" w:hAnsi="Arial"/>
          <w:sz w:val="18"/>
          <w:szCs w:val="18"/>
          <w:b w:val="1"/>
          <w:bCs w:val="1"/>
          <w:color w:val="auto"/>
        </w:rPr>
        <w:t xml:space="preserv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95"/>
        </w:trPr>
        <w:tc>
          <w:tcPr>
            <w:tcW w:w="10560" w:type="dxa"/>
            <w:vAlign w:val="bottom"/>
            <w:gridSpan w:val="2"/>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 of Terms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2 TERMS AND CONDITIONS OF NOTES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Principal Amount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2.02.</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Maturity</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2.03.</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Further Issues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2.04.</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Payment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2.05.</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Interest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2.06.</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Authorized Denominations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Redemption and Sinking Fund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2.08.</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Ranking</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2.09.</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Appointments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Waiver of Certain Covenants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Defeasance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2.12.</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Guarantees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3 COVENANTS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3.01.</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Additional Covenants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3.02.</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Definitions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Limitation on Liens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Limitation on Sales and Lease-Backs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4 FORM OF NOTES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4.01.</w:t>
            </w:r>
          </w:p>
        </w:tc>
        <w:tc>
          <w:tcPr>
            <w:tcW w:w="9140" w:type="dxa"/>
            <w:vAlign w:val="bottom"/>
          </w:tcPr>
          <w:p>
            <w:pPr>
              <w:ind w:left="120"/>
              <w:spacing w:after="0"/>
              <w:rPr>
                <w:sz w:val="20"/>
                <w:szCs w:val="20"/>
                <w:color w:val="auto"/>
              </w:rPr>
            </w:pPr>
            <w:r>
              <w:rPr>
                <w:rFonts w:ascii="Arial" w:cs="Arial" w:eastAsia="Arial" w:hAnsi="Arial"/>
                <w:sz w:val="18"/>
                <w:szCs w:val="18"/>
                <w:i w:val="1"/>
                <w:iCs w:val="1"/>
                <w:color w:val="auto"/>
              </w:rPr>
              <w:t>Form of Notes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4.02.</w:t>
            </w:r>
          </w:p>
        </w:tc>
        <w:tc>
          <w:tcPr>
            <w:tcW w:w="9140" w:type="dxa"/>
            <w:vAlign w:val="bottom"/>
          </w:tcPr>
          <w:p>
            <w:pPr>
              <w:ind w:left="100"/>
              <w:spacing w:after="0"/>
              <w:rPr>
                <w:sz w:val="20"/>
                <w:szCs w:val="20"/>
                <w:color w:val="auto"/>
              </w:rPr>
            </w:pPr>
            <w:r>
              <w:rPr>
                <w:rFonts w:ascii="Arial" w:cs="Arial" w:eastAsia="Arial" w:hAnsi="Arial"/>
                <w:sz w:val="18"/>
                <w:szCs w:val="18"/>
                <w:i w:val="1"/>
                <w:iCs w:val="1"/>
                <w:color w:val="auto"/>
              </w:rPr>
              <w:t>Global Securities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5 ORIGINAL ISSUE OF NOTES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Original Issue of Notes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10"/>
        </w:trPr>
        <w:tc>
          <w:tcPr>
            <w:tcW w:w="10560" w:type="dxa"/>
            <w:vAlign w:val="bottom"/>
            <w:gridSpan w:val="2"/>
          </w:tcPr>
          <w:p>
            <w:pPr>
              <w:spacing w:after="0"/>
              <w:rPr>
                <w:sz w:val="20"/>
                <w:szCs w:val="20"/>
                <w:color w:val="auto"/>
              </w:rPr>
            </w:pPr>
            <w:r>
              <w:rPr>
                <w:rFonts w:ascii="Arial" w:cs="Arial" w:eastAsia="Arial" w:hAnsi="Arial"/>
                <w:sz w:val="18"/>
                <w:szCs w:val="18"/>
                <w:color w:val="auto"/>
              </w:rPr>
              <w:t>ARTICLE 6 MISCELLANEOUS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056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40"/>
          </w:cols>
          <w:pgMar w:left="440" w:top="270" w:right="5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7"/>
        </w:trPr>
        <w:tc>
          <w:tcPr>
            <w:tcW w:w="1420" w:type="dxa"/>
            <w:vAlign w:val="bottom"/>
            <w:vMerge w:val="restart"/>
          </w:tcPr>
          <w:p>
            <w:pPr>
              <w:ind w:left="360"/>
              <w:spacing w:after="0"/>
              <w:rPr>
                <w:sz w:val="20"/>
                <w:szCs w:val="20"/>
                <w:color w:val="auto"/>
              </w:rPr>
            </w:pPr>
            <w:r>
              <w:rPr>
                <w:rFonts w:ascii="Arial" w:cs="Arial" w:eastAsia="Arial" w:hAnsi="Arial"/>
                <w:sz w:val="18"/>
                <w:szCs w:val="18"/>
                <w:color w:val="auto"/>
                <w:w w:val="98"/>
              </w:rPr>
              <w:t>Section 6.03.</w:t>
            </w:r>
          </w:p>
        </w:tc>
        <w:tc>
          <w:tcPr>
            <w:tcW w:w="90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Governing Law</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95"/>
        </w:trPr>
        <w:tc>
          <w:tcPr>
            <w:tcW w:w="142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6.04.</w:t>
            </w:r>
          </w:p>
        </w:tc>
        <w:tc>
          <w:tcPr>
            <w:tcW w:w="9060" w:type="dxa"/>
            <w:vAlign w:val="bottom"/>
          </w:tcPr>
          <w:p>
            <w:pPr>
              <w:ind w:left="100"/>
              <w:spacing w:after="0"/>
              <w:rPr>
                <w:sz w:val="20"/>
                <w:szCs w:val="20"/>
                <w:color w:val="auto"/>
              </w:rPr>
            </w:pPr>
            <w:r>
              <w:rPr>
                <w:rFonts w:ascii="Arial" w:cs="Arial" w:eastAsia="Arial" w:hAnsi="Arial"/>
                <w:sz w:val="18"/>
                <w:szCs w:val="18"/>
                <w:i w:val="1"/>
                <w:iCs w:val="1"/>
                <w:color w:val="auto"/>
              </w:rPr>
              <w:t>Separability Clause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480" w:type="dxa"/>
            <w:vAlign w:val="bottom"/>
            <w:gridSpan w:val="2"/>
          </w:tcPr>
          <w:p>
            <w:pPr>
              <w:ind w:left="3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6.06.</w:t>
            </w:r>
          </w:p>
        </w:tc>
        <w:tc>
          <w:tcPr>
            <w:tcW w:w="9060" w:type="dxa"/>
            <w:vAlign w:val="bottom"/>
          </w:tcPr>
          <w:p>
            <w:pPr>
              <w:ind w:left="100"/>
              <w:spacing w:after="0"/>
              <w:rPr>
                <w:sz w:val="20"/>
                <w:szCs w:val="20"/>
                <w:color w:val="auto"/>
              </w:rPr>
            </w:pPr>
            <w:r>
              <w:rPr>
                <w:rFonts w:ascii="Arial" w:cs="Arial" w:eastAsia="Arial" w:hAnsi="Arial"/>
                <w:sz w:val="18"/>
                <w:szCs w:val="18"/>
                <w:i w:val="1"/>
                <w:iCs w:val="1"/>
                <w:color w:val="auto"/>
              </w:rPr>
              <w:t>Counterparts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0480" w:type="dxa"/>
            <w:vAlign w:val="bottom"/>
            <w:gridSpan w:val="2"/>
          </w:tcPr>
          <w:p>
            <w:pPr>
              <w:spacing w:after="0"/>
              <w:rPr>
                <w:sz w:val="20"/>
                <w:szCs w:val="20"/>
                <w:color w:val="auto"/>
              </w:rPr>
            </w:pPr>
            <w:r>
              <w:rPr>
                <w:rFonts w:ascii="Arial" w:cs="Arial" w:eastAsia="Arial" w:hAnsi="Arial"/>
                <w:sz w:val="18"/>
                <w:szCs w:val="18"/>
                <w:color w:val="auto"/>
              </w:rPr>
              <w:t>EXHIBIT A-1 — Form of 2023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EXHIBIT A-2 — Form of 2025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A-2-1</w:t>
            </w:r>
          </w:p>
        </w:tc>
        <w:tc>
          <w:tcPr>
            <w:tcW w:w="0" w:type="dxa"/>
            <w:vAlign w:val="bottom"/>
          </w:tcPr>
          <w:p>
            <w:pPr>
              <w:spacing w:after="0"/>
              <w:rPr>
                <w:sz w:val="1"/>
                <w:szCs w:val="1"/>
                <w:color w:val="auto"/>
              </w:rPr>
            </w:pPr>
          </w:p>
        </w:tc>
      </w:tr>
      <w:tr>
        <w:trPr>
          <w:trHeight w:val="230"/>
        </w:trPr>
        <w:tc>
          <w:tcPr>
            <w:tcW w:w="10480" w:type="dxa"/>
            <w:vAlign w:val="bottom"/>
            <w:gridSpan w:val="2"/>
          </w:tcPr>
          <w:p>
            <w:pPr>
              <w:spacing w:after="0"/>
              <w:rPr>
                <w:sz w:val="20"/>
                <w:szCs w:val="20"/>
                <w:color w:val="auto"/>
              </w:rPr>
            </w:pPr>
            <w:r>
              <w:rPr>
                <w:rFonts w:ascii="Arial" w:cs="Arial" w:eastAsia="Arial" w:hAnsi="Arial"/>
                <w:sz w:val="18"/>
                <w:szCs w:val="18"/>
                <w:color w:val="auto"/>
              </w:rPr>
              <w:t>EXHIBIT A-3 — Form of 2027 Notes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A-3-1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9" w:right="499" w:bottom="1440" w:gutter="0" w:footer="0" w:header="0"/>
        </w:sectPr>
      </w:pPr>
    </w:p>
    <w:bookmarkStart w:id="44" w:name="page45"/>
    <w:bookmarkEnd w:id="44"/>
    <w:p>
      <w:pPr>
        <w:ind w:right="2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SIXTH SUPPLEMENTAL INDENTURE, dated as of May 12, 2020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between General Motors Company, a corporation duly organized and existing under the laws of Delaware (herein called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having its principal office at 300 Renaissance Center, Detroit, Michigan 48265-3000, and The Bank of New York Mellon, a New York banking corporation, as trustee (herein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the Company has executed and delivered the Indenture, dated as of September 27, 2013 (as supplemented prior to the date hereof,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to the Trustee, to provide for the issuance of the Company’s debt securities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WHEREAS, pursuant to the terms of the Base Indenture, the Company desires to provide for the establishment of three new series of its Securities under the Base Indenture to be known as its “5.40% Senior Notes due 2023” (the “</w:t>
      </w:r>
      <w:r>
        <w:rPr>
          <w:rFonts w:ascii="Arial" w:cs="Arial" w:eastAsia="Arial" w:hAnsi="Arial"/>
          <w:sz w:val="16"/>
          <w:szCs w:val="16"/>
          <w:b w:val="1"/>
          <w:bCs w:val="1"/>
          <w:i w:val="1"/>
          <w:iCs w:val="1"/>
          <w:color w:val="auto"/>
        </w:rPr>
        <w:t>2023 Notes</w:t>
      </w:r>
      <w:r>
        <w:rPr>
          <w:rFonts w:ascii="Arial" w:cs="Arial" w:eastAsia="Arial" w:hAnsi="Arial"/>
          <w:sz w:val="16"/>
          <w:szCs w:val="16"/>
          <w:color w:val="auto"/>
        </w:rPr>
        <w:t>”), “6.125% Senior Notes due 2025” (the “</w:t>
      </w:r>
      <w:r>
        <w:rPr>
          <w:rFonts w:ascii="Arial" w:cs="Arial" w:eastAsia="Arial" w:hAnsi="Arial"/>
          <w:sz w:val="16"/>
          <w:szCs w:val="16"/>
          <w:b w:val="1"/>
          <w:bCs w:val="1"/>
          <w:i w:val="1"/>
          <w:iCs w:val="1"/>
          <w:color w:val="auto"/>
        </w:rPr>
        <w:t>2025 Notes</w:t>
      </w:r>
      <w:r>
        <w:rPr>
          <w:rFonts w:ascii="Arial" w:cs="Arial" w:eastAsia="Arial" w:hAnsi="Arial"/>
          <w:sz w:val="16"/>
          <w:szCs w:val="16"/>
          <w:color w:val="auto"/>
        </w:rPr>
        <w:t>”) and “6.80% Senior Notes due 2027” (the “</w:t>
      </w:r>
      <w:r>
        <w:rPr>
          <w:rFonts w:ascii="Arial" w:cs="Arial" w:eastAsia="Arial" w:hAnsi="Arial"/>
          <w:sz w:val="16"/>
          <w:szCs w:val="16"/>
          <w:b w:val="1"/>
          <w:bCs w:val="1"/>
          <w:i w:val="1"/>
          <w:iCs w:val="1"/>
          <w:color w:val="auto"/>
        </w:rPr>
        <w:t>2027 Notes</w:t>
      </w:r>
      <w:r>
        <w:rPr>
          <w:rFonts w:ascii="Arial" w:cs="Arial" w:eastAsia="Arial" w:hAnsi="Arial"/>
          <w:sz w:val="16"/>
          <w:szCs w:val="16"/>
          <w:color w:val="auto"/>
        </w:rPr>
        <w:t>,” and, together with the 2023 Notes and 2025 Notes,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respectively, the form and substance and the terms, provisions and conditions thereof to be set forth as provided in the Base Indenture and this Supplemental Indenture;</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hereby requests that the Trustee join with the Company in the execution and delivery of this Supplemental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NOW, THEREFORE, THIS SUPPLEMENTAL INDENTURE WITNESSETH:</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and for the purpose of setting forth, as provided in the Base Indenture, the forms and terms of the Notes, the Company covenants and agrees with the Trustee,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 of Terms</w:t>
      </w:r>
      <w:r>
        <w:rPr>
          <w:rFonts w:ascii="Arial" w:cs="Arial" w:eastAsia="Arial" w:hAnsi="Arial"/>
          <w:sz w:val="16"/>
          <w:szCs w:val="16"/>
          <w:color w:val="auto"/>
        </w:rPr>
        <w:t>. Unless the context otherwise requires:</w:t>
      </w:r>
    </w:p>
    <w:p>
      <w:pPr>
        <w:spacing w:after="0" w:line="117" w:lineRule="exact"/>
        <w:rPr>
          <w:sz w:val="20"/>
          <w:szCs w:val="20"/>
          <w:color w:val="auto"/>
        </w:rPr>
      </w:pPr>
    </w:p>
    <w:p>
      <w:pPr>
        <w:ind w:firstLine="436"/>
        <w:spacing w:after="0" w:line="254"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term that is defined in both the Base Indenture and this Supplemental Indenture shall have the meaning assigned to such term in this Supplemental Indenture;</w:t>
      </w:r>
    </w:p>
    <w:p>
      <w:pPr>
        <w:spacing w:after="0" w:line="194" w:lineRule="exact"/>
        <w:rPr>
          <w:rFonts w:ascii="Arial" w:cs="Arial" w:eastAsia="Arial" w:hAnsi="Arial"/>
          <w:sz w:val="18"/>
          <w:szCs w:val="18"/>
          <w:color w:val="auto"/>
        </w:rPr>
      </w:pPr>
    </w:p>
    <w:p>
      <w:pPr>
        <w:ind w:left="820" w:hanging="3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definition shall be applicable in respect of all Notes for purposes of this Supplemental Indenture:</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12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 (including for all purposes of Section 113 of the Base Indenture in respect of the Notes).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AND CONDITIONS OF NOTES</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Designation and Principal Amount</w:t>
      </w:r>
      <w:r>
        <w:rPr>
          <w:rFonts w:ascii="Arial" w:cs="Arial" w:eastAsia="Arial" w:hAnsi="Arial"/>
          <w:sz w:val="16"/>
          <w:szCs w:val="16"/>
          <w:color w:val="auto"/>
        </w:rPr>
        <w:t>.</w:t>
      </w:r>
    </w:p>
    <w:p>
      <w:pPr>
        <w:spacing w:after="0" w:line="225" w:lineRule="exact"/>
        <w:rPr>
          <w:sz w:val="20"/>
          <w:szCs w:val="20"/>
          <w:color w:val="auto"/>
        </w:rPr>
      </w:pPr>
    </w:p>
    <w:p>
      <w:pPr>
        <w:jc w:val="both"/>
        <w:ind w:firstLine="436"/>
        <w:spacing w:after="0" w:line="259" w:lineRule="auto"/>
        <w:tabs>
          <w:tab w:leader="none" w:pos="8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“5.40% Senior Notes due 2023,” which is initially limited in aggregate principal amount to $1,000,000,000 (except upon registration of transfer of, or in exchange for, or in lieu of, other 2023 Notes pursuant to Section 304, 305, 306, 311, 906 or 1106 of the Base Indenture and except for any Notes which, pursuant to Section 303 of the Base Indenture, are deemed never to have been authenticated and delivered).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6" w:name="page47"/>
    <w:bookmarkEnd w:id="46"/>
    <w:p>
      <w:pPr>
        <w:ind w:right="20" w:firstLine="436"/>
        <w:spacing w:after="0" w:line="259" w:lineRule="auto"/>
        <w:tabs>
          <w:tab w:leader="none" w:pos="827"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hereby authorized and established a series of Securities under the Base Indenture, designated as the “6.125% Senior Notes due 2025,” which is initially limited in aggregate principal amount to $2,000,000,000 (except upon registration of transfer of, or in exchange for, or in lieu of, other 2025 Notes pursuant to Section 304, 305, 306, 311, 906 or 1106 of the Base Indenture and except for any Notes which, pursuant to Section 303 of the Base Indenture, are deemed never to have been authenticated and delivered).</w:t>
      </w:r>
    </w:p>
    <w:p>
      <w:pPr>
        <w:spacing w:after="0" w:line="186" w:lineRule="exact"/>
        <w:rPr>
          <w:rFonts w:ascii="Arial" w:cs="Arial" w:eastAsia="Arial" w:hAnsi="Arial"/>
          <w:sz w:val="18"/>
          <w:szCs w:val="18"/>
          <w:color w:val="auto"/>
        </w:rPr>
      </w:pPr>
    </w:p>
    <w:p>
      <w:pPr>
        <w:jc w:val="both"/>
        <w:ind w:firstLine="436"/>
        <w:spacing w:after="0" w:line="259" w:lineRule="auto"/>
        <w:tabs>
          <w:tab w:leader="none" w:pos="8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“6.80% Senior Notes due 2027,” which is initially limited in aggregate principal amount to $1,000,000,000 (except upon registration of transfer of, or in exchange for, or in lieu of, other 2027 Notes pursuant to Section 304, 305, 306, 311, 906 or 1106 of the Base Indenture and except for any Notes which, pursuant to Section 303 of the Base Indenture, are deemed never to have been authenticated and delivered).</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i w:val="1"/>
          <w:iCs w:val="1"/>
          <w:color w:val="auto"/>
        </w:rPr>
        <w:t>Maturity</w:t>
      </w:r>
      <w:r>
        <w:rPr>
          <w:rFonts w:ascii="Arial" w:cs="Arial" w:eastAsia="Arial" w:hAnsi="Arial"/>
          <w:sz w:val="17"/>
          <w:szCs w:val="17"/>
          <w:color w:val="auto"/>
        </w:rPr>
        <w:t>.</w:t>
      </w:r>
    </w:p>
    <w:p>
      <w:pPr>
        <w:spacing w:after="0" w:line="225" w:lineRule="exact"/>
        <w:rPr>
          <w:sz w:val="20"/>
          <w:szCs w:val="20"/>
          <w:color w:val="auto"/>
        </w:rPr>
      </w:pPr>
    </w:p>
    <w:p>
      <w:pPr>
        <w:ind w:left="820" w:hanging="38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Stated Maturity of principal of the 2023 Notes shall be October 2, 2023.</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Stated Maturity of principal of the 2025 Notes shall be October 1, 2025.</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Stated Maturity of principal of the 2027 Notes shall be October 1, 2027.</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i w:val="1"/>
          <w:iCs w:val="1"/>
          <w:color w:val="auto"/>
        </w:rPr>
        <w:t>Further Issues</w:t>
      </w:r>
      <w:r>
        <w:rPr>
          <w:rFonts w:ascii="Arial" w:cs="Arial" w:eastAsia="Arial" w:hAnsi="Arial"/>
          <w:sz w:val="17"/>
          <w:szCs w:val="17"/>
          <w:color w:val="auto"/>
        </w:rPr>
        <w:t xml:space="preserve">. The Company may at any time and from time to time, without the consent of the Holders of the 2023 Notes, 2025 Notes or 2027 Notes, increase the principal amount of the 2023 Notes, 2025 Notes or 2027 Notes that may be issued under the Indenture and issue additional 2023 Notes, 2025 Notes or 2027 Notes;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 additional 2023 Notes, 2025 Notes or 2027 Notes are not fungible with the then-outstanding 2023 Notes, 2025 Notes or 2027 Notes for U.S. federal income tax purposes, respectively, the additional 2023 Notes, 2025 Notes or 2027 Notes shall have separate CUSIP numbers. Any such additional 2023 Notes, 2025 Notes or 2027 Notes shall have the same ranking, interest rate, maturity date and other terms as the 2023 Notes, 2025 Notes or 2027 Notes, respectively, but may be offered at a different offering price or have a different issue date, initial interest accrual date or initial interest payment date than such 2023 Notes, 2025 Notes or 2027 Notes, respectively. Any such additional 2023 Notes, 2025 Notes or 2027 Notes, together with the 2023 Notes, 2025 Notes or 2027 Notes herein provided for, shall each respectively constitute a single series of Securities under the Base Indenture.</w:t>
      </w:r>
    </w:p>
    <w:p>
      <w:pPr>
        <w:spacing w:after="0" w:line="18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Payment</w:t>
      </w:r>
      <w:r>
        <w:rPr>
          <w:rFonts w:ascii="Arial" w:cs="Arial" w:eastAsia="Arial" w:hAnsi="Arial"/>
          <w:sz w:val="18"/>
          <w:szCs w:val="18"/>
          <w:color w:val="auto"/>
        </w:rPr>
        <w:t>. Principal of and interest on the Notes shall be payable in U.S. dollars in immediately available funds at the office or agency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7" w:name="page48"/>
    <w:bookmarkEnd w:id="4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maintained for such purpose, which shall initially be at the Corporate Trust Office of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in the case of certificated Notes that payment of interest may be made at the option of the Company through the Paying Agent by check mailed to the Holder at such address as shall appear in the Security Register at the close of business on the Regular Record Date for such Holder or by wire transfer to an account appropriately designated by the Holder to the Company and the Trustee;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or its nominee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1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Interest</w:t>
      </w:r>
      <w:r>
        <w:rPr>
          <w:rFonts w:ascii="Arial" w:cs="Arial" w:eastAsia="Arial" w:hAnsi="Arial"/>
          <w:sz w:val="16"/>
          <w:szCs w:val="16"/>
          <w:color w:val="auto"/>
        </w:rPr>
        <w:t>.</w:t>
      </w:r>
    </w:p>
    <w:p>
      <w:pPr>
        <w:spacing w:after="0" w:line="225" w:lineRule="exact"/>
        <w:rPr>
          <w:sz w:val="20"/>
          <w:szCs w:val="20"/>
          <w:color w:val="auto"/>
        </w:rPr>
      </w:pPr>
    </w:p>
    <w:p>
      <w:pPr>
        <w:ind w:firstLine="436"/>
        <w:spacing w:after="0" w:line="255" w:lineRule="auto"/>
        <w:tabs>
          <w:tab w:leader="none" w:pos="8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2023 Notes shall bear interest (computed on the basis of a 360-day year consisting of twelve 30-day months) from May 12, 2020 at the rate of 5.40% per annum, payable semi-annually in arrears. Interest payable on each Interest Payment Date shall include interest accrued from May 12, 2020, or from the most recent Interest Payment Date to which interest has been paid or duly provided for. The Interest Payment Dates on which such interest shall be payable are April 2 and October 2, commencing on October 2, 2020; and the Regular Record Date for the interest payable on any Interest Payment Date is the close of business on the March 15 or September 15 (whether or not a Business Day), as the case may be, next preceding the relevant Interest Payment Date.</w:t>
      </w:r>
    </w:p>
    <w:p>
      <w:pPr>
        <w:spacing w:after="0" w:line="192" w:lineRule="exact"/>
        <w:rPr>
          <w:rFonts w:ascii="Arial" w:cs="Arial" w:eastAsia="Arial" w:hAnsi="Arial"/>
          <w:sz w:val="18"/>
          <w:szCs w:val="18"/>
          <w:color w:val="auto"/>
        </w:rPr>
      </w:pPr>
    </w:p>
    <w:p>
      <w:pPr>
        <w:ind w:firstLine="436"/>
        <w:spacing w:after="0" w:line="255" w:lineRule="auto"/>
        <w:tabs>
          <w:tab w:leader="none" w:pos="8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2025 Notes shall bear interest (computed on the basis of a 360-day year consisting of twelve 30-day months) from May 12, 2020 at the rate of 6.125% per annum, payable semi-annually in arrears. Interest payable on each Interest Payment Date shall include interest accrued from May 12, 2020, or from the most recent Interest Payment Date to which interest has been paid or duly provided for. The Interest Payment Dates on which such interest shall be payable are April 1 and October 1, commencing on October 1, 2020; and the Regular Record Date for the interest payable on any Interest Payment Date is the close of business on the March 15 or September 15 (whether or not a Business Day), as the case may be, next preceding the relevant Interest Payment Date.</w:t>
      </w:r>
    </w:p>
    <w:p>
      <w:pPr>
        <w:spacing w:after="0" w:line="192" w:lineRule="exact"/>
        <w:rPr>
          <w:rFonts w:ascii="Arial" w:cs="Arial" w:eastAsia="Arial" w:hAnsi="Arial"/>
          <w:sz w:val="18"/>
          <w:szCs w:val="18"/>
          <w:color w:val="auto"/>
        </w:rPr>
      </w:pPr>
    </w:p>
    <w:p>
      <w:pPr>
        <w:ind w:firstLine="436"/>
        <w:spacing w:after="0" w:line="255" w:lineRule="auto"/>
        <w:tabs>
          <w:tab w:leader="none" w:pos="8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2027 Notes shall bear interest (computed on the basis of a 360-day year consisting of twelve 30-day months) from May 12, 2020 at the rate of 6.80% per annum, payable semi-annually in arrears. Interest payable on each Interest Payment Date shall include interest accrued from May 12, 2020, or from the most recent Interest Payment Date to which interest has been paid or duly provided for. The Interest Payment Dates on which such interest shall be payable are April 1 and October 1, commencing on October 1, 2020; and the Regular Record Date for the interest payable on any Interest Payment Date is the close of business on the March 15 or September 15 (whether or not a Business Day), as the case may be, next preceding the relevant Interest Payment Date.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48" w:name="page49"/>
    <w:bookmarkEnd w:id="48"/>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2.06. </w:t>
      </w:r>
      <w:r>
        <w:rPr>
          <w:rFonts w:ascii="Arial" w:cs="Arial" w:eastAsia="Arial" w:hAnsi="Arial"/>
          <w:sz w:val="18"/>
          <w:szCs w:val="18"/>
          <w:i w:val="1"/>
          <w:iCs w:val="1"/>
          <w:color w:val="auto"/>
        </w:rPr>
        <w:t>Authorized Denominations</w:t>
      </w:r>
      <w:r>
        <w:rPr>
          <w:rFonts w:ascii="Arial" w:cs="Arial" w:eastAsia="Arial" w:hAnsi="Arial"/>
          <w:sz w:val="18"/>
          <w:szCs w:val="18"/>
          <w:color w:val="auto"/>
        </w:rPr>
        <w:t>. Each of the 2023 Notes, 2025 Notes and 2027 Notes shall be issuable in denominations of $2,000 and integral multiples of $1,000 in excess thereof.</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Redemption and Sinking Fund</w:t>
      </w:r>
      <w:r>
        <w:rPr>
          <w:rFonts w:ascii="Arial" w:cs="Arial" w:eastAsia="Arial" w:hAnsi="Arial"/>
          <w:sz w:val="16"/>
          <w:szCs w:val="16"/>
          <w:color w:val="auto"/>
        </w:rPr>
        <w:t>.</w:t>
      </w:r>
    </w:p>
    <w:p>
      <w:pPr>
        <w:spacing w:after="0" w:line="225" w:lineRule="exact"/>
        <w:rPr>
          <w:sz w:val="20"/>
          <w:szCs w:val="20"/>
          <w:color w:val="auto"/>
        </w:rPr>
      </w:pPr>
    </w:p>
    <w:p>
      <w:pPr>
        <w:ind w:right="320" w:firstLine="436"/>
        <w:spacing w:after="0" w:line="308" w:lineRule="auto"/>
        <w:tabs>
          <w:tab w:leader="none" w:pos="8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2023 Notes shall not be redeemable at the option of the Company except as set forth in Section 2 of the 2023 Notes. The 2023 Notes shall not be redeemable at the option of the Holders. The 2023 Notes shall not be entitled to the benefit of any sinking fund.</w:t>
      </w:r>
    </w:p>
    <w:p>
      <w:pPr>
        <w:spacing w:after="0" w:line="146" w:lineRule="exact"/>
        <w:rPr>
          <w:rFonts w:ascii="Arial" w:cs="Arial" w:eastAsia="Arial" w:hAnsi="Arial"/>
          <w:sz w:val="17"/>
          <w:szCs w:val="17"/>
          <w:color w:val="auto"/>
        </w:rPr>
      </w:pPr>
    </w:p>
    <w:p>
      <w:pPr>
        <w:ind w:right="300" w:firstLine="436"/>
        <w:spacing w:after="0" w:line="308" w:lineRule="auto"/>
        <w:tabs>
          <w:tab w:leader="none" w:pos="82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2025 Notes shall not be redeemable at the option of the Company except as set forth in Section 2 of the 2025 Notes. The 2025 Notes shall not be redeemable at the option of the Holders. The 2025 Notes shall not be entitled to the benefit of any sinking fund.</w:t>
      </w:r>
    </w:p>
    <w:p>
      <w:pPr>
        <w:spacing w:after="0" w:line="146" w:lineRule="exact"/>
        <w:rPr>
          <w:rFonts w:ascii="Arial" w:cs="Arial" w:eastAsia="Arial" w:hAnsi="Arial"/>
          <w:sz w:val="17"/>
          <w:szCs w:val="17"/>
          <w:color w:val="auto"/>
        </w:rPr>
      </w:pPr>
    </w:p>
    <w:p>
      <w:pPr>
        <w:ind w:right="320" w:firstLine="436"/>
        <w:spacing w:after="0" w:line="308" w:lineRule="auto"/>
        <w:tabs>
          <w:tab w:leader="none" w:pos="81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2027 Notes shall not be redeemable at the option of the Company except as set forth in Section 2 of the 2027 Notes. The 2027 Notes shall not be redeemable at the option of the Holders. The 2027 Notes shall not be entitled to the benefit of any sinking fund.</w:t>
      </w:r>
    </w:p>
    <w:p>
      <w:pPr>
        <w:spacing w:after="0" w:line="14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r>
        <w:rPr>
          <w:rFonts w:ascii="Arial" w:cs="Arial" w:eastAsia="Arial" w:hAnsi="Arial"/>
          <w:sz w:val="18"/>
          <w:szCs w:val="18"/>
          <w:color w:val="auto"/>
        </w:rPr>
        <w:t>. Each of the 2023 Notes, 2025 Notes and 2027 Notes shall be senior unsecured debt securities of the Company, ranking equally with the Company’s other unsecured and unsubordinated indebtedness.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Appointments</w:t>
      </w:r>
      <w:r>
        <w:rPr>
          <w:rFonts w:ascii="Arial" w:cs="Arial" w:eastAsia="Arial" w:hAnsi="Arial"/>
          <w:sz w:val="18"/>
          <w:szCs w:val="18"/>
          <w:color w:val="auto"/>
        </w:rPr>
        <w:t>. The Trustee shall be the initial Security Registrar and initial Paying Agent for each of the 2023 Notes, 2025 Notes and 2027 Notes.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Waiver of Certain Covenants</w:t>
      </w:r>
      <w:r>
        <w:rPr>
          <w:rFonts w:ascii="Arial" w:cs="Arial" w:eastAsia="Arial" w:hAnsi="Arial"/>
          <w:sz w:val="17"/>
          <w:szCs w:val="17"/>
          <w:color w:val="auto"/>
        </w:rPr>
        <w:t>. Without in any way limiting the applicability of Section 1006 of the Base Indenture with respect to the Notes, the Company may, with respect to the 2023 Notes, 2025 Notes or 2027 Notes, also omit in a particular instance to comply with any term, provision or condition set forth in Article 3 of this Supplemental Indenture, if, before or after the time for such compliance, the Holders of not less than a majority in aggregate principal amount of the 2023 Notes, 2025 Notes or 2027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8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Defeasance</w:t>
      </w:r>
      <w:r>
        <w:rPr>
          <w:rFonts w:ascii="Arial" w:cs="Arial" w:eastAsia="Arial" w:hAnsi="Arial"/>
          <w:sz w:val="18"/>
          <w:szCs w:val="18"/>
          <w:color w:val="auto"/>
        </w:rPr>
        <w:t>. The Company may elect, at its option at any time, pursuant to Section 402 of the Base Indenture, to have Section 403 or Section 404 in the Base Indenture, or both, apply to the 2023 Notes, 2025 Notes or 2027 Notes, respectively, or any principal amount thereof. Without in any way limiting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9" w:name="page50"/>
    <w:bookmarkEnd w:id="49"/>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applicability of Section 404 of the Base Indenture with respect to the Notes, upon the Company’s exercise of its option to have Section 404 of the Base Indenture applied to all of the Outstanding 2023 Notes, 2025 Notes or 2027 Notes, (1) the Company shall also be deemed to be released from and may omit to comply with its obligations under the covenants contained in Article 3 of this Supplemental Indenture with respect to the 2023 Notes, 2025 Notes or 2027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2023 Notes, 2025 Notes or 2027 Notes, respectively, on and after the date the conditions set forth in Section 405 of the Base Indenture are satisfied.</w:t>
      </w:r>
    </w:p>
    <w:p>
      <w:pPr>
        <w:spacing w:after="0" w:line="1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Guarantees</w:t>
      </w:r>
      <w:r>
        <w:rPr>
          <w:rFonts w:ascii="Arial" w:cs="Arial" w:eastAsia="Arial" w:hAnsi="Arial"/>
          <w:sz w:val="16"/>
          <w:szCs w:val="16"/>
          <w:color w:val="auto"/>
        </w:rPr>
        <w:t>. None of the 2023 Notes, 2025 Notes or 2027 Notes shall be guaranteed by any Person.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r>
        <w:rPr>
          <w:rFonts w:ascii="Arial" w:cs="Arial" w:eastAsia="Arial" w:hAnsi="Arial"/>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2023 Notes, 2025 Notes and 2027 Notes, and are not for the benefit of, or applicable to, any other debt securities issued under the Base Indenture or any other supplemental indenture.</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The following definitions shall be applicable to Sections 3.03 and 3.04 below:</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6"/>
          <w:szCs w:val="16"/>
          <w:b w:val="1"/>
          <w:bCs w:val="1"/>
          <w:i w:val="1"/>
          <w:iCs w:val="1"/>
          <w:color w:val="auto"/>
        </w:rPr>
        <w:t>net rental payments</w:t>
      </w:r>
      <w:r>
        <w:rPr>
          <w:rFonts w:ascii="Arial" w:cs="Arial" w:eastAsia="Arial" w:hAnsi="Arial"/>
          <w:sz w:val="16"/>
          <w:szCs w:val="16"/>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any lease which is terminable by the lessee upon the payment of a penalty in an amount which is less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discounted net rental payments required to be paid from the later of the first date upon which such lease may be so terminated and the date of the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50" w:name="page51"/>
    <w:bookmarkEnd w:id="50"/>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4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Manufacturing Subsidiary</w:t>
      </w:r>
      <w:r>
        <w:rPr>
          <w:rFonts w:ascii="Arial" w:cs="Arial" w:eastAsia="Arial" w:hAnsi="Arial"/>
          <w:sz w:val="16"/>
          <w:szCs w:val="16"/>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24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Domestic Manufacturing Property</w:t>
      </w:r>
      <w:r>
        <w:rPr>
          <w:rFonts w:ascii="Arial" w:cs="Arial" w:eastAsia="Arial" w:hAnsi="Arial"/>
          <w:sz w:val="18"/>
          <w:szCs w:val="18"/>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92"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by reason of the happening of any contingency) is at the time owned by the Company, or by one or more Subsidiaries, or by the Company and one or more Subsidiaries.</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Limitation on Liens.</w:t>
      </w:r>
      <w:r>
        <w:rPr>
          <w:rFonts w:ascii="Arial" w:cs="Arial" w:eastAsia="Arial" w:hAnsi="Arial"/>
          <w:sz w:val="17"/>
          <w:szCs w:val="17"/>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17" w:lineRule="exact"/>
        <w:rPr>
          <w:sz w:val="20"/>
          <w:szCs w:val="20"/>
          <w:color w:val="auto"/>
        </w:rPr>
      </w:pPr>
    </w:p>
    <w:p>
      <w:pPr>
        <w:ind w:left="440" w:right="900" w:firstLine="419"/>
        <w:spacing w:after="0" w:line="277" w:lineRule="auto"/>
        <w:tabs>
          <w:tab w:leader="none" w:pos="12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62" w:lineRule="exact"/>
        <w:rPr>
          <w:rFonts w:ascii="Arial" w:cs="Arial" w:eastAsia="Arial" w:hAnsi="Arial"/>
          <w:sz w:val="18"/>
          <w:szCs w:val="18"/>
          <w:color w:val="auto"/>
        </w:rPr>
      </w:pPr>
    </w:p>
    <w:p>
      <w:pPr>
        <w:ind w:left="440" w:right="60" w:firstLine="419"/>
        <w:spacing w:after="0" w:line="279" w:lineRule="auto"/>
        <w:tabs>
          <w:tab w:leader="none" w:pos="1263" w:val="left"/>
        </w:tabs>
        <w:numPr>
          <w:ilvl w:val="0"/>
          <w:numId w:val="42"/>
        </w:numPr>
        <w:rPr>
          <w:rFonts w:ascii="Arial" w:cs="Arial" w:eastAsia="Arial" w:hAnsi="Arial"/>
          <w:sz w:val="17"/>
          <w:szCs w:val="17"/>
          <w:color w:val="auto"/>
        </w:rPr>
      </w:pPr>
      <w:r>
        <w:rPr>
          <w:rFonts w:ascii="Arial" w:cs="Arial" w:eastAsia="Arial" w:hAnsi="Arial"/>
          <w:sz w:val="17"/>
          <w:szCs w:val="17"/>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63" w:lineRule="exact"/>
        <w:rPr>
          <w:rFonts w:ascii="Arial" w:cs="Arial" w:eastAsia="Arial" w:hAnsi="Arial"/>
          <w:sz w:val="17"/>
          <w:szCs w:val="17"/>
          <w:color w:val="auto"/>
        </w:rPr>
      </w:pPr>
    </w:p>
    <w:p>
      <w:pPr>
        <w:ind w:left="1300" w:hanging="441"/>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the Company or to another Manufacturing Subsidiary;</w:t>
      </w:r>
    </w:p>
    <w:p>
      <w:pPr>
        <w:spacing w:after="0" w:line="117" w:lineRule="exact"/>
        <w:rPr>
          <w:rFonts w:ascii="Arial" w:cs="Arial" w:eastAsia="Arial" w:hAnsi="Arial"/>
          <w:sz w:val="18"/>
          <w:szCs w:val="18"/>
          <w:color w:val="auto"/>
        </w:rPr>
      </w:pPr>
    </w:p>
    <w:p>
      <w:pPr>
        <w:ind w:left="440" w:right="80" w:firstLine="419"/>
        <w:spacing w:after="0" w:line="263" w:lineRule="auto"/>
        <w:tabs>
          <w:tab w:leader="none" w:pos="13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2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Mortgages in favor of the United States of America or any State thereof, or any department, agency or instrumentality or political subdivision of the United States of America or any State thereof, or in favor of any other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4" w:right="539" w:bottom="1440" w:gutter="0" w:footer="0" w:header="0"/>
        </w:sectPr>
      </w:pPr>
    </w:p>
    <w:bookmarkStart w:id="52" w:name="page53"/>
    <w:bookmarkEnd w:id="52"/>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79" w:lineRule="exact"/>
        <w:rPr>
          <w:sz w:val="20"/>
          <w:szCs w:val="20"/>
          <w:color w:val="auto"/>
        </w:rPr>
      </w:pPr>
    </w:p>
    <w:p>
      <w:pPr>
        <w:ind w:left="1300" w:hanging="441"/>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Mortgages existing on May 12, 2020; or</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Limitation on Sales and Lease-Backs</w:t>
      </w:r>
      <w:r>
        <w:rPr>
          <w:rFonts w:ascii="Arial" w:cs="Arial" w:eastAsia="Arial" w:hAnsi="Arial"/>
          <w:sz w:val="16"/>
          <w:szCs w:val="16"/>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May 12, 2020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53" w:lineRule="exact"/>
        <w:rPr>
          <w:sz w:val="20"/>
          <w:szCs w:val="20"/>
          <w:color w:val="auto"/>
        </w:rPr>
      </w:pPr>
    </w:p>
    <w:p>
      <w:pPr>
        <w:ind w:left="440" w:right="60" w:firstLine="419"/>
        <w:spacing w:after="0" w:line="255" w:lineRule="auto"/>
        <w:tabs>
          <w:tab w:leader="none" w:pos="12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84" w:lineRule="exact"/>
        <w:rPr>
          <w:rFonts w:ascii="Arial" w:cs="Arial" w:eastAsia="Arial" w:hAnsi="Arial"/>
          <w:sz w:val="18"/>
          <w:szCs w:val="18"/>
          <w:color w:val="auto"/>
        </w:rPr>
      </w:pPr>
    </w:p>
    <w:p>
      <w:pPr>
        <w:ind w:left="440" w:firstLine="419"/>
        <w:spacing w:after="0" w:line="255" w:lineRule="auto"/>
        <w:tabs>
          <w:tab w:leader="none" w:pos="12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NOTES</w:t>
      </w:r>
    </w:p>
    <w:p>
      <w:pPr>
        <w:spacing w:after="0" w:line="20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Form of Notes</w:t>
      </w:r>
      <w:r>
        <w:rPr>
          <w:rFonts w:ascii="Arial" w:cs="Arial" w:eastAsia="Arial" w:hAnsi="Arial"/>
          <w:sz w:val="16"/>
          <w:szCs w:val="16"/>
          <w:color w:val="auto"/>
        </w:rPr>
        <w:t>.</w:t>
      </w:r>
    </w:p>
    <w:p>
      <w:pPr>
        <w:spacing w:after="0" w:line="225" w:lineRule="exact"/>
        <w:rPr>
          <w:sz w:val="20"/>
          <w:szCs w:val="20"/>
          <w:color w:val="auto"/>
        </w:rPr>
      </w:pPr>
    </w:p>
    <w:p>
      <w:pPr>
        <w:ind w:right="100" w:firstLine="436"/>
        <w:spacing w:after="0" w:line="255" w:lineRule="auto"/>
        <w:tabs>
          <w:tab w:leader="none" w:pos="8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2023 Notes and the Trustee’s certificate of authentication thereon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2023 Notes, as evidenced by the execution thereof. All 2023 Notes shall be in fully registered form.</w:t>
      </w:r>
    </w:p>
    <w:p>
      <w:pPr>
        <w:spacing w:after="0" w:line="192" w:lineRule="exact"/>
        <w:rPr>
          <w:rFonts w:ascii="Arial" w:cs="Arial" w:eastAsia="Arial" w:hAnsi="Arial"/>
          <w:sz w:val="18"/>
          <w:szCs w:val="18"/>
          <w:color w:val="auto"/>
        </w:rPr>
      </w:pPr>
    </w:p>
    <w:p>
      <w:pPr>
        <w:ind w:right="80" w:firstLine="436"/>
        <w:spacing w:after="0" w:line="255" w:lineRule="auto"/>
        <w:tabs>
          <w:tab w:leader="none" w:pos="8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2025 Notes and the Trustee’s certificate of authentication thereon shall be substantially in the form set forth in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2025 Notes, as evidenced by the execution thereof. All 2025 Notes shall be in fully registered form.</w:t>
      </w:r>
    </w:p>
    <w:p>
      <w:pPr>
        <w:spacing w:after="0" w:line="192" w:lineRule="exact"/>
        <w:rPr>
          <w:rFonts w:ascii="Arial" w:cs="Arial" w:eastAsia="Arial" w:hAnsi="Arial"/>
          <w:sz w:val="18"/>
          <w:szCs w:val="18"/>
          <w:color w:val="auto"/>
        </w:rPr>
      </w:pPr>
    </w:p>
    <w:p>
      <w:pPr>
        <w:ind w:right="60" w:firstLine="436"/>
        <w:spacing w:after="0" w:line="255" w:lineRule="auto"/>
        <w:tabs>
          <w:tab w:leader="none" w:pos="8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2027 Notes and the Trustee’s certificate of authentication thereon shall be substantially in the form set forth in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2027 Notes, as evidenced by the execution thereof. All 2027 Notes shall be in fully registered form.</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Global Securities.</w:t>
      </w:r>
      <w:r>
        <w:rPr>
          <w:rFonts w:ascii="Arial" w:cs="Arial" w:eastAsia="Arial" w:hAnsi="Arial"/>
          <w:sz w:val="18"/>
          <w:szCs w:val="18"/>
          <w:color w:val="auto"/>
        </w:rPr>
        <w:t xml:space="preserve"> Upon their original issuance, the 2023 Notes, 2025 Notes and 2027 Notes shall each be issued in the form of one or more permanent global notes in definitive, fully registered form without interest coupons (the “</w:t>
      </w:r>
      <w:r>
        <w:rPr>
          <w:rFonts w:ascii="Arial" w:cs="Arial" w:eastAsia="Arial" w:hAnsi="Arial"/>
          <w:sz w:val="18"/>
          <w:szCs w:val="18"/>
          <w:b w:val="1"/>
          <w:bCs w:val="1"/>
          <w:color w:val="auto"/>
        </w:rPr>
        <w:t>Global Securities</w:t>
      </w:r>
      <w:r>
        <w:rPr>
          <w:rFonts w:ascii="Arial" w:cs="Arial" w:eastAsia="Arial" w:hAnsi="Arial"/>
          <w:sz w:val="18"/>
          <w:szCs w:val="18"/>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2023 Notes, 2025 Notes and 2027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18"/>
          <w:szCs w:val="18"/>
          <w:b w:val="1"/>
          <w:bCs w:val="1"/>
          <w:color w:val="auto"/>
        </w:rPr>
        <w:t>Agent Members</w:t>
      </w:r>
      <w:r>
        <w:rPr>
          <w:rFonts w:ascii="Arial" w:cs="Arial" w:eastAsia="Arial" w:hAnsi="Arial"/>
          <w:sz w:val="18"/>
          <w:szCs w:val="18"/>
          <w:color w:val="auto"/>
        </w:rPr>
        <w: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67" w:right="499" w:bottom="1440" w:gutter="0" w:footer="0" w:header="0"/>
        </w:sectPr>
      </w:pPr>
    </w:p>
    <w:bookmarkStart w:id="54" w:name="page55"/>
    <w:bookmarkEnd w:id="54"/>
    <w:p>
      <w:pPr>
        <w:ind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Agent Members shall have no rights under the Base Indenture or the Supplemental Indenture with respect 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164" w:lineRule="exact"/>
        <w:rPr>
          <w:sz w:val="20"/>
          <w:szCs w:val="20"/>
          <w:color w:val="auto"/>
        </w:rPr>
      </w:pPr>
    </w:p>
    <w:p>
      <w:pPr>
        <w:ind w:firstLine="436"/>
        <w:spacing w:after="0" w:line="255"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84" w:lineRule="exact"/>
        <w:rPr>
          <w:rFonts w:ascii="Arial" w:cs="Arial" w:eastAsia="Arial" w:hAnsi="Arial"/>
          <w:sz w:val="18"/>
          <w:szCs w:val="18"/>
          <w:color w:val="auto"/>
        </w:rPr>
      </w:pPr>
    </w:p>
    <w:p>
      <w:pPr>
        <w:ind w:left="440" w:right="60" w:firstLine="419"/>
        <w:spacing w:after="0" w:line="269" w:lineRule="auto"/>
        <w:tabs>
          <w:tab w:leader="none" w:pos="1253" w:val="left"/>
        </w:tabs>
        <w:numPr>
          <w:ilvl w:val="1"/>
          <w:numId w:val="46"/>
        </w:numPr>
        <w:rPr>
          <w:rFonts w:ascii="Arial" w:cs="Arial" w:eastAsia="Arial" w:hAnsi="Arial"/>
          <w:sz w:val="17"/>
          <w:szCs w:val="17"/>
          <w:color w:val="auto"/>
        </w:rPr>
      </w:pPr>
      <w:r>
        <w:rPr>
          <w:rFonts w:ascii="Arial" w:cs="Arial" w:eastAsia="Arial" w:hAnsi="Arial"/>
          <w:sz w:val="17"/>
          <w:szCs w:val="17"/>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Arial" w:cs="Arial" w:eastAsia="Arial" w:hAnsi="Arial"/>
          <w:sz w:val="17"/>
          <w:szCs w:val="17"/>
          <w:b w:val="1"/>
          <w:bCs w:val="1"/>
          <w:color w:val="auto"/>
        </w:rPr>
        <w:t>Definitive Security</w:t>
      </w:r>
      <w:r>
        <w:rPr>
          <w:rFonts w:ascii="Arial" w:cs="Arial" w:eastAsia="Arial" w:hAnsi="Arial"/>
          <w:sz w:val="17"/>
          <w:szCs w:val="17"/>
          <w:color w:val="auto"/>
        </w:rPr>
        <w:t>”)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55" w:name="page56"/>
    <w:bookmarkEnd w:id="55"/>
    <w:p>
      <w:pPr>
        <w:ind w:right="200" w:firstLine="987"/>
        <w:spacing w:after="0" w:line="277" w:lineRule="auto"/>
        <w:tabs>
          <w:tab w:leader="none" w:pos="1381"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Note certificate evidencing the Global Securities shall bear a legend in substantially the following form (each defined term in the legend being defined as such for purposes of the legend only):</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38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 ISSUE OF NOTES</w:t>
      </w:r>
    </w:p>
    <w:p>
      <w:pPr>
        <w:spacing w:after="0" w:line="20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Original Issue of Notes</w:t>
      </w:r>
      <w:r>
        <w:rPr>
          <w:rFonts w:ascii="Arial" w:cs="Arial" w:eastAsia="Arial" w:hAnsi="Arial"/>
          <w:sz w:val="16"/>
          <w:szCs w:val="16"/>
          <w:color w:val="auto"/>
        </w:rPr>
        <w:t>.</w:t>
      </w:r>
    </w:p>
    <w:p>
      <w:pPr>
        <w:spacing w:after="0" w:line="225" w:lineRule="exact"/>
        <w:rPr>
          <w:sz w:val="20"/>
          <w:szCs w:val="20"/>
          <w:color w:val="auto"/>
        </w:rPr>
      </w:pPr>
    </w:p>
    <w:p>
      <w:pPr>
        <w:ind w:right="760" w:firstLine="436"/>
        <w:spacing w:after="0" w:line="342" w:lineRule="auto"/>
        <w:tabs>
          <w:tab w:leader="none" w:pos="8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2023 Notes may, upon execution of this Supplemental Indenture, be executed by the Company and delivered to the Trustee for authentication, and the Trustee shall, upon Company Order, authenticate and deliver such 2023 Notes as in such Company Order provided.</w:t>
      </w:r>
    </w:p>
    <w:p>
      <w:pPr>
        <w:spacing w:after="0" w:line="123" w:lineRule="exact"/>
        <w:rPr>
          <w:rFonts w:ascii="Arial" w:cs="Arial" w:eastAsia="Arial" w:hAnsi="Arial"/>
          <w:sz w:val="16"/>
          <w:szCs w:val="16"/>
          <w:color w:val="auto"/>
        </w:rPr>
      </w:pPr>
    </w:p>
    <w:p>
      <w:pPr>
        <w:ind w:right="740" w:firstLine="436"/>
        <w:spacing w:after="0" w:line="342" w:lineRule="auto"/>
        <w:tabs>
          <w:tab w:leader="none" w:pos="8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2025 Notes may, upon execution of this Supplemental Indenture, be executed by the Company and delivered to the Trustee for authentication, and the Trustee shall, upon Company Order, authenticate and deliver such 2025 Notes as in such Company Order provided.</w:t>
      </w:r>
    </w:p>
    <w:p>
      <w:pPr>
        <w:spacing w:after="0" w:line="123" w:lineRule="exact"/>
        <w:rPr>
          <w:rFonts w:ascii="Arial" w:cs="Arial" w:eastAsia="Arial" w:hAnsi="Arial"/>
          <w:sz w:val="16"/>
          <w:szCs w:val="16"/>
          <w:color w:val="auto"/>
        </w:rPr>
      </w:pPr>
    </w:p>
    <w:p>
      <w:pPr>
        <w:ind w:right="760" w:firstLine="436"/>
        <w:spacing w:after="0" w:line="342" w:lineRule="auto"/>
        <w:tabs>
          <w:tab w:leader="none" w:pos="81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2027 Notes may, upon execution of this Supplemental Indenture, be executed by the Company and delivered to the Trustee for authentication, and the Trustee shall, upon Company Order, authenticate and deliver such 2027 Notes as in such Company Order provided.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0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r>
        <w:rPr>
          <w:rFonts w:ascii="Arial" w:cs="Arial" w:eastAsia="Arial" w:hAnsi="Arial"/>
          <w:sz w:val="18"/>
          <w:szCs w:val="18"/>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provisions of this Supplemental Indenture shall apply solely with respect to the Notes and not to any other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under the Base Indenture.</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r>
        <w:rPr>
          <w:rFonts w:ascii="Arial" w:cs="Arial" w:eastAsia="Arial" w:hAnsi="Arial"/>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Governing Law</w:t>
      </w:r>
      <w:r>
        <w:rPr>
          <w:rFonts w:ascii="Arial" w:cs="Arial" w:eastAsia="Arial" w:hAnsi="Arial"/>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88"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Counterparts</w:t>
      </w:r>
      <w:r>
        <w:rPr>
          <w:rFonts w:ascii="Arial" w:cs="Arial" w:eastAsia="Arial" w:hAnsi="Arial"/>
          <w:sz w:val="17"/>
          <w:szCs w:val="17"/>
          <w:color w:val="auto"/>
        </w:rPr>
        <w:t>. This Supplemental Indenture or any document to be signed in connection with this Supplemental Indenture may be executed in any number of counterparts by manual, facsimile or electronic signature,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7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words “execution,” “delivered,” “signature,” “authenticated,”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7" w:right="4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Sixth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Gustavo Vello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14605</wp:posOffset>
            </wp:positionV>
            <wp:extent cx="2511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Gustavo Vello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Assistant Treasurer</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Sixth Supplemental Indenture</w:t>
      </w:r>
      <w:r>
        <w:rPr>
          <w:rFonts w:ascii="Arial" w:cs="Arial" w:eastAsia="Arial" w:hAnsi="Arial"/>
          <w:sz w:val="18"/>
          <w:szCs w:val="18"/>
          <w:color w:val="auto"/>
        </w:rPr>
        <w:t>]</w:t>
      </w:r>
    </w:p>
    <w:p>
      <w:pPr>
        <w:sectPr>
          <w:pgSz w:w="11900" w:h="16838" w:orient="portrait"/>
          <w:cols w:equalWidth="0" w:num="1">
            <w:col w:w="10520"/>
          </w:cols>
          <w:pgMar w:left="880" w:top="274" w:right="499" w:bottom="1440" w:gutter="0" w:footer="0" w:header="0"/>
        </w:sectPr>
      </w:pPr>
    </w:p>
    <w:bookmarkStart w:id="58" w:name="page59"/>
    <w:bookmarkEnd w:id="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p>
    <w:p>
      <w:pPr>
        <w:spacing w:after="0" w:line="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Stacey B. Poindexter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25114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Stacey B. Poindexter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 Signature Page to Sixth Supplemental Indenture</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5.40% SENIOR NOTE DUE 2023]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11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20"/>
          </w:cols>
          <w:pgMar w:left="440" w:top="270" w:right="439" w:bottom="1440" w:gutter="0" w:footer="0" w:header="0"/>
        </w:sectPr>
      </w:pPr>
    </w:p>
    <w:bookmarkStart w:id="60" w:name="page61"/>
    <w:bookmarkEnd w:id="6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5.40% Senior Notes due 2023</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37045V AW0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No.: US37045VAW00</w:t>
      </w:r>
    </w:p>
    <w:p>
      <w:pPr>
        <w:spacing w:after="0" w:line="116" w:lineRule="exact"/>
        <w:rPr>
          <w:sz w:val="20"/>
          <w:szCs w:val="20"/>
          <w:color w:val="auto"/>
        </w:rPr>
      </w:pPr>
    </w:p>
    <w:p>
      <w:pPr>
        <w:ind w:left="4"/>
        <w:spacing w:after="0"/>
        <w:tabs>
          <w:tab w:leader="none" w:pos="524" w:val="left"/>
          <w:tab w:leader="none" w:pos="9004" w:val="left"/>
          <w:tab w:leader="none" w:pos="9504"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October 2, 2023, and to pay interest thereon from May 12, 2020 or from the most recent Interest Payment Date to which interest has been paid or duly provided for, semi-annually in arrears on April 2 and October 2 of each year, commencing on October 2, 2020, at the rate of 5.40%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6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left="4" w:right="720" w:firstLine="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224" w:hanging="224"/>
        <w:spacing w:after="0"/>
        <w:tabs>
          <w:tab w:leader="none" w:pos="224" w:val="left"/>
        </w:tabs>
        <w:numPr>
          <w:ilvl w:val="0"/>
          <w:numId w:val="49"/>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4"/>
          </w:cols>
          <w:pgMar w:left="436" w:top="270" w:right="45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019"/>
          </w:cols>
          <w:pgMar w:left="440" w:top="274" w:right="1440"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019"/>
          </w:cols>
          <w:pgMar w:left="440" w:top="274"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NOTE]</w:t>
      </w:r>
    </w:p>
    <w:p>
      <w:pPr>
        <w:spacing w:after="0" w:line="225" w:lineRule="exact"/>
        <w:rPr>
          <w:sz w:val="20"/>
          <w:szCs w:val="20"/>
          <w:color w:val="auto"/>
        </w:rPr>
      </w:pPr>
    </w:p>
    <w:p>
      <w:pPr>
        <w:ind w:firstLine="436"/>
        <w:spacing w:after="0" w:line="291" w:lineRule="auto"/>
        <w:tabs>
          <w:tab w:leader="none" w:pos="7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Sixth Supplemental Indenture relating to the Notes dated as of May 12, 2020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$1,000,000,000;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3"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right="60" w:firstLine="436"/>
        <w:spacing w:after="0" w:line="272" w:lineRule="auto"/>
        <w:tabs>
          <w:tab w:leader="none" w:pos="7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At any time prior to October 2, 2023, the Company may at any time and from time to time, in whole or in part, on at least 10 days’ but not more than 60 days’ prior notice delivered to the registered email or physical address of each Holder of Notes to be redeemed, redeem the Notes at a redemption price equal to the greater of: (i) 100% of the principal amount of the Notes to be redeemed; and (ii) as determined by the Company, the sum of the present values of the remaining scheduled payments of principal and interest on the Notes to be redeemed that would be due from the redemption date to October 2, 2023 (except that, if such redemption date is not an interest payment date, the amount of the next succeeding scheduled interest payment will be reduced by the amount of interest accrued thereon to the redemption date), discounted to the redemption date on a semiannual basis at a rate equal to the sum of the Treasury Rate plus 50 basis points.</w:t>
      </w:r>
    </w:p>
    <w:p>
      <w:pPr>
        <w:spacing w:after="0" w:line="17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20"/>
          </w:cols>
          <w:pgMar w:left="440" w:top="270" w:right="439" w:bottom="1440" w:gutter="0" w:footer="0" w:header="0"/>
        </w:sectPr>
      </w:pPr>
    </w:p>
    <w:bookmarkStart w:id="64" w:name="page65"/>
    <w:bookmarkEnd w:id="64"/>
    <w:p>
      <w:pPr>
        <w:ind w:right="1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49"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as determined by the Company, (A) the average of the five Reference Treasury Dealer Quotations for such redemption date, after excluding the highest and lowest of the Reference Treasury Dealer Quotations or (B) if the Company obtains fewer than five Reference Treasury Dealer Quotations, the average of all Reference Treasury Dealer Quotations so received.</w:t>
      </w:r>
    </w:p>
    <w:p>
      <w:pPr>
        <w:spacing w:after="0" w:line="1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w:t>
      </w:r>
      <w:r>
        <w:rPr>
          <w:rFonts w:ascii="Arial" w:cs="Arial" w:eastAsia="Arial" w:hAnsi="Arial"/>
          <w:sz w:val="17"/>
          <w:szCs w:val="17"/>
          <w:color w:val="auto"/>
        </w:rPr>
        <w:t>” means (i) each of Deutsche Bank Securities Inc., Barclays Capital Inc., BofA Securities, Inc., Citigroup Global Markets Inc., Goldman Sachs &amp; Co. LLC, J.P. Morgan Securities LLC and Morgan Stanley &amp; Co. LLC and their respective successors, unless any of them ceases to be a primary United States Government securities dealer in New York City (a “</w:t>
      </w:r>
      <w:r>
        <w:rPr>
          <w:rFonts w:ascii="Arial" w:cs="Arial" w:eastAsia="Arial" w:hAnsi="Arial"/>
          <w:sz w:val="17"/>
          <w:szCs w:val="17"/>
          <w:b w:val="1"/>
          <w:bCs w:val="1"/>
          <w:i w:val="1"/>
          <w:iCs w:val="1"/>
          <w:color w:val="auto"/>
        </w:rPr>
        <w:t>Primary Treasury Dealer</w:t>
      </w:r>
      <w:r>
        <w:rPr>
          <w:rFonts w:ascii="Arial" w:cs="Arial" w:eastAsia="Arial" w:hAnsi="Arial"/>
          <w:sz w:val="17"/>
          <w:szCs w:val="17"/>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8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5" w:lineRule="exact"/>
        <w:rPr>
          <w:sz w:val="20"/>
          <w:szCs w:val="20"/>
          <w:color w:val="auto"/>
        </w:rPr>
      </w:pPr>
    </w:p>
    <w:p>
      <w:pPr>
        <w:ind w:firstLine="436"/>
        <w:spacing w:after="0" w:line="277" w:lineRule="auto"/>
        <w:tabs>
          <w:tab w:leader="none" w:pos="7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right="220" w:firstLine="436"/>
        <w:spacing w:after="0" w:line="257" w:lineRule="auto"/>
        <w:tabs>
          <w:tab w:leader="none" w:pos="7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000"/>
          </w:cols>
          <w:pgMar w:left="440" w:top="274" w:right="459" w:bottom="1440" w:gutter="0" w:footer="0" w:header="0"/>
        </w:sectPr>
      </w:pPr>
    </w:p>
    <w:bookmarkStart w:id="65" w:name="page66"/>
    <w:bookmarkEnd w:id="6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8" w:lineRule="exact"/>
        <w:rPr>
          <w:sz w:val="20"/>
          <w:szCs w:val="20"/>
          <w:color w:val="auto"/>
        </w:rPr>
      </w:pPr>
    </w:p>
    <w:p>
      <w:pPr>
        <w:ind w:right="880" w:firstLine="436"/>
        <w:spacing w:after="0" w:line="277" w:lineRule="auto"/>
        <w:tabs>
          <w:tab w:leader="none" w:pos="7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180" w:firstLine="436"/>
        <w:spacing w:after="0" w:line="263" w:lineRule="auto"/>
        <w:tabs>
          <w:tab w:leader="none" w:pos="7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3" w:lineRule="exact"/>
        <w:rPr>
          <w:rFonts w:ascii="Arial" w:cs="Arial" w:eastAsia="Arial" w:hAnsi="Arial"/>
          <w:sz w:val="18"/>
          <w:szCs w:val="18"/>
          <w:color w:val="auto"/>
        </w:rPr>
      </w:pPr>
    </w:p>
    <w:p>
      <w:pPr>
        <w:ind w:firstLine="436"/>
        <w:spacing w:after="0" w:line="255" w:lineRule="auto"/>
        <w:tabs>
          <w:tab w:leader="none" w:pos="7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Notes are issuable only in registered form without coupons in denominations of $2,000 and integral multiples of $1,000 in excess thereof.</w:t>
      </w:r>
    </w:p>
    <w:p>
      <w:pPr>
        <w:spacing w:after="0" w:line="24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80"/>
          </w:cols>
          <w:pgMar w:left="440" w:top="274" w:right="479" w:bottom="1440" w:gutter="0" w:footer="0" w:header="0"/>
        </w:sectPr>
      </w:pPr>
    </w:p>
    <w:bookmarkStart w:id="66" w:name="page67"/>
    <w:bookmarkEnd w:id="66"/>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name this Note is registered as the owner hereof for all purposes, whether or not this Note be overdue, and neither the Company, the Trustee nor any such agent shall be affected by notice to the contrary.</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715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0"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To be included in Global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80"/>
          </w:cols>
          <w:pgMar w:left="440" w:top="274" w:right="479" w:bottom="1440" w:gutter="0" w:footer="0" w:header="0"/>
        </w:sectPr>
      </w:pPr>
    </w:p>
    <w:bookmarkStart w:id="67" w:name="page68"/>
    <w:bookmarkEnd w:id="67"/>
    <w:p>
      <w:pPr>
        <w:ind w:left="36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524"/>
          </w:cols>
          <w:pgMar w:left="436" w:top="274" w:right="939" w:bottom="1440" w:gutter="0" w:footer="0" w:header="0"/>
        </w:sectPr>
      </w:pPr>
    </w:p>
    <w:p>
      <w:pPr>
        <w:spacing w:after="0" w:line="38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Amount of increase in</w:t>
            </w: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Principal Amount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160" w:type="dxa"/>
            <w:vAlign w:val="bottom"/>
            <w:gridSpan w:val="2"/>
            <w:vMerge w:val="continue"/>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this Global Security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8"/>
        </w:trPr>
        <w:tc>
          <w:tcPr>
            <w:tcW w:w="21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 Security</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8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7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284" w:space="720"/>
            <w:col w:w="5520"/>
          </w:cols>
          <w:pgMar w:left="436" w:top="274" w:right="9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224" w:hanging="224"/>
        <w:spacing w:after="0"/>
        <w:tabs>
          <w:tab w:leader="none" w:pos="224" w:val="left"/>
        </w:tabs>
        <w:numPr>
          <w:ilvl w:val="0"/>
          <w:numId w:val="55"/>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483"/>
        <w:spacing w:after="0"/>
        <w:rPr>
          <w:sz w:val="20"/>
          <w:szCs w:val="20"/>
          <w:color w:val="auto"/>
        </w:rPr>
      </w:pPr>
      <w:r>
        <w:rPr>
          <w:rFonts w:ascii="Arial" w:cs="Arial" w:eastAsia="Arial" w:hAnsi="Arial"/>
          <w:sz w:val="17"/>
          <w:szCs w:val="17"/>
          <w:color w:val="auto"/>
        </w:rPr>
        <w:t>A-1-9</w:t>
      </w:r>
    </w:p>
    <w:p>
      <w:pPr>
        <w:sectPr>
          <w:pgSz w:w="11900" w:h="16838" w:orient="portrait"/>
          <w:cols w:equalWidth="0" w:num="1">
            <w:col w:w="10524"/>
          </w:cols>
          <w:pgMar w:left="436" w:top="274" w:right="9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80" w:type="dxa"/>
            <w:vAlign w:val="bottom"/>
            <w:gridSpan w:val="2"/>
          </w:tcPr>
          <w:p>
            <w:pPr>
              <w:ind w:left="2220"/>
              <w:spacing w:after="0"/>
              <w:rPr>
                <w:sz w:val="20"/>
                <w:szCs w:val="20"/>
                <w:color w:val="auto"/>
              </w:rPr>
            </w:pPr>
            <w:r>
              <w:rPr>
                <w:rFonts w:ascii="Arial" w:cs="Arial" w:eastAsia="Arial" w:hAnsi="Arial"/>
                <w:sz w:val="18"/>
                <w:szCs w:val="18"/>
                <w:color w:val="auto"/>
              </w:rPr>
              <w:t>(Insert assignee’s soc. sec. or tax I.D. No.)</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760" w:type="dxa"/>
            <w:vAlign w:val="bottom"/>
            <w:gridSpan w:val="3"/>
          </w:tcPr>
          <w:p>
            <w:pPr>
              <w:ind w:left="560"/>
              <w:spacing w:after="0"/>
              <w:rPr>
                <w:sz w:val="20"/>
                <w:szCs w:val="20"/>
                <w:color w:val="auto"/>
              </w:rPr>
            </w:pPr>
            <w:r>
              <w:rPr>
                <w:rFonts w:ascii="Arial" w:cs="Arial" w:eastAsia="Arial" w:hAnsi="Arial"/>
                <w:sz w:val="18"/>
                <w:szCs w:val="18"/>
                <w:color w:val="auto"/>
                <w:w w:val="97"/>
              </w:rPr>
              <w:t>agent to transfer this Note on the books of the Company. The agent may substitute another to act for him.</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0" w:type="dxa"/>
            <w:vAlign w:val="bottom"/>
          </w:tcPr>
          <w:p>
            <w:pPr>
              <w:ind w:left="2980"/>
              <w:spacing w:after="0"/>
              <w:rPr>
                <w:sz w:val="20"/>
                <w:szCs w:val="20"/>
                <w:color w:val="auto"/>
              </w:rPr>
            </w:pPr>
            <w:r>
              <w:rPr>
                <w:rFonts w:ascii="Arial" w:cs="Arial" w:eastAsia="Arial" w:hAnsi="Arial"/>
                <w:sz w:val="18"/>
                <w:szCs w:val="18"/>
                <w:color w:val="auto"/>
              </w:rPr>
              <w:t>Your Signature:</w:t>
            </w:r>
          </w:p>
        </w:tc>
        <w:tc>
          <w:tcPr>
            <w:tcW w:w="2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0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Date:</w:t>
            </w:r>
          </w:p>
        </w:tc>
        <w:tc>
          <w:tcPr>
            <w:tcW w:w="10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c>
          <w:tcPr>
            <w:tcW w:w="2440" w:type="dxa"/>
            <w:vAlign w:val="bottom"/>
            <w:tcBorders>
              <w:top w:val="single" w:sz="8" w:color="auto"/>
              <w:right w:val="single" w:sz="8" w:color="auto"/>
            </w:tcBorders>
          </w:tcPr>
          <w:p>
            <w:pPr>
              <w:spacing w:after="0"/>
              <w:rPr>
                <w:sz w:val="16"/>
                <w:szCs w:val="16"/>
                <w:color w:val="auto"/>
              </w:rPr>
            </w:pPr>
          </w:p>
        </w:tc>
      </w:tr>
      <w:tr>
        <w:trPr>
          <w:trHeight w:val="74"/>
        </w:trPr>
        <w:tc>
          <w:tcPr>
            <w:tcW w:w="640" w:type="dxa"/>
            <w:vAlign w:val="bottom"/>
            <w:tcBorders>
              <w:left w:val="single" w:sz="8" w:color="auto"/>
              <w:bottom w:val="single" w:sz="8" w:color="auto"/>
            </w:tcBorders>
          </w:tcPr>
          <w:p>
            <w:pPr>
              <w:spacing w:after="0"/>
              <w:rPr>
                <w:sz w:val="6"/>
                <w:szCs w:val="6"/>
                <w:color w:val="auto"/>
              </w:rPr>
            </w:pPr>
          </w:p>
        </w:tc>
        <w:tc>
          <w:tcPr>
            <w:tcW w:w="1480" w:type="dxa"/>
            <w:vAlign w:val="bottom"/>
            <w:tcBorders>
              <w:top w:val="single" w:sz="8" w:color="auto"/>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0" w:type="dxa"/>
            <w:vAlign w:val="bottom"/>
            <w:tcBorders>
              <w:top w:val="single" w:sz="8" w:color="auto"/>
              <w:bottom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r>
      <w:tr>
        <w:trPr>
          <w:trHeight w:val="290"/>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6"/>
              </w:rPr>
              <w:t>Signature must be guaranteed by a participant in a</w:t>
            </w:r>
          </w:p>
        </w:tc>
        <w:tc>
          <w:tcPr>
            <w:tcW w:w="6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3"/>
              </w:rPr>
              <w:t>recognized signature guaranty medallion program or</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30"/>
        </w:trPr>
        <w:tc>
          <w:tcPr>
            <w:tcW w:w="41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1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r>
      <w:tr>
        <w:trPr>
          <w:trHeight w:val="358"/>
        </w:trPr>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40" w:type="dxa"/>
            <w:vAlign w:val="bottom"/>
            <w:gridSpan w:val="2"/>
          </w:tcPr>
          <w:p>
            <w:pPr>
              <w:ind w:left="1040"/>
              <w:spacing w:after="0"/>
              <w:rPr>
                <w:sz w:val="20"/>
                <w:szCs w:val="20"/>
                <w:color w:val="auto"/>
              </w:rPr>
            </w:pPr>
            <w:r>
              <w:rPr>
                <w:rFonts w:ascii="Arial" w:cs="Arial" w:eastAsia="Arial" w:hAnsi="Arial"/>
                <w:sz w:val="18"/>
                <w:szCs w:val="18"/>
                <w:color w:val="auto"/>
              </w:rPr>
              <w:t>A-1-10</w:t>
            </w:r>
          </w:p>
        </w:tc>
      </w:tr>
    </w:tbl>
    <w:p>
      <w:pPr>
        <w:sectPr>
          <w:pgSz w:w="11900" w:h="16838" w:orient="portrait"/>
          <w:cols w:equalWidth="0" w:num="1">
            <w:col w:w="11020"/>
          </w:cols>
          <w:pgMar w:left="440" w:top="274"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6.125% SENIOR NOTE DUE 2025]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11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20"/>
          </w:cols>
          <w:pgMar w:left="440" w:top="270" w:right="439" w:bottom="1440" w:gutter="0" w:footer="0" w:header="0"/>
        </w:sectPr>
      </w:pPr>
    </w:p>
    <w:bookmarkStart w:id="70" w:name="page71"/>
    <w:bookmarkEnd w:id="7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6.125% Senior Notes due 2025</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37045V AV2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No.: US37045VAV27</w:t>
      </w:r>
    </w:p>
    <w:p>
      <w:pPr>
        <w:spacing w:after="0" w:line="116" w:lineRule="exact"/>
        <w:rPr>
          <w:sz w:val="20"/>
          <w:szCs w:val="20"/>
          <w:color w:val="auto"/>
        </w:rPr>
      </w:pPr>
    </w:p>
    <w:p>
      <w:pPr>
        <w:ind w:left="4"/>
        <w:spacing w:after="0"/>
        <w:tabs>
          <w:tab w:leader="none" w:pos="524" w:val="left"/>
          <w:tab w:leader="none" w:pos="9004" w:val="left"/>
          <w:tab w:leader="none" w:pos="9504"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October 1, 2025, and to pay interest thereon from May 12, 2020 or from the most recent Interest Payment Date to which interest has been paid or duly provided for, semi-annually in arrears on April 1 and October 1 of each year, commencing on October 1, 2020, at the rate of 6.125%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6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left="4" w:right="720" w:firstLine="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8" w:lineRule="exact"/>
        <w:rPr>
          <w:sz w:val="20"/>
          <w:szCs w:val="20"/>
          <w:color w:val="auto"/>
        </w:rPr>
      </w:pPr>
    </w:p>
    <w:p>
      <w:pPr>
        <w:ind w:left="224" w:hanging="224"/>
        <w:spacing w:after="0"/>
        <w:tabs>
          <w:tab w:leader="none" w:pos="224" w:val="left"/>
        </w:tabs>
        <w:numPr>
          <w:ilvl w:val="0"/>
          <w:numId w:val="56"/>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04"/>
          </w:cols>
          <w:pgMar w:left="436" w:top="270" w:right="45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019"/>
          </w:cols>
          <w:pgMar w:left="440" w:top="274" w:right="1440" w:bottom="1440" w:gutter="0" w:footer="0" w:header="0"/>
        </w:sectPr>
      </w:pPr>
    </w:p>
    <w:bookmarkStart w:id="72" w:name="page73"/>
    <w:bookmarkEnd w:id="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019"/>
          </w:cols>
          <w:pgMar w:left="440" w:top="274"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NOTE]</w:t>
      </w:r>
    </w:p>
    <w:p>
      <w:pPr>
        <w:spacing w:after="0" w:line="225" w:lineRule="exact"/>
        <w:rPr>
          <w:sz w:val="20"/>
          <w:szCs w:val="20"/>
          <w:color w:val="auto"/>
        </w:rPr>
      </w:pPr>
    </w:p>
    <w:p>
      <w:pPr>
        <w:ind w:firstLine="436"/>
        <w:spacing w:after="0" w:line="291" w:lineRule="auto"/>
        <w:tabs>
          <w:tab w:leader="none" w:pos="7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Sixth Supplemental Indenture relating to the Notes dated as of May 12, 2020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$2,000,000,000;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3"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right="60" w:firstLine="436"/>
        <w:spacing w:after="0" w:line="272" w:lineRule="auto"/>
        <w:tabs>
          <w:tab w:leader="none" w:pos="7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At any time prior to September 1, 2025, the Company may at any time and from time to time, in whole or in part, on at least 10 days’ but not more than 60 days’ prior notice delivered to the registered email or physical address of each Holder of Notes to be redeemed, redeem the Notes at a redemption price equal to the greater of: (i) 100% of the principal amount of the Notes to be redeemed; and (ii) as determined by the Company, the sum of the present values of the remaining scheduled payments of principal and interest on the Notes to be redeemed that would be due from the redemption date to September 1, 2025 (except that, if such redemption date is not an interest payment date, the amount of the next succeeding scheduled interest payment will be reduced by the amount of interest accrued thereon to the redemption date), discounted to the redemption date on a semiannual basis at a rate equal to the sum of the Treasury Rate plus 50 basis points.</w:t>
      </w:r>
    </w:p>
    <w:p>
      <w:pPr>
        <w:spacing w:after="0" w:line="17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On or after September 1, 2025, the Company may, at any time and from time to time, in whole or in part, on at least 10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20"/>
          </w:cols>
          <w:pgMar w:left="440" w:top="270" w:right="4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 (assuming for this purpose that such Notes mature on September 1, 2025).</w:t>
      </w:r>
    </w:p>
    <w:p>
      <w:pPr>
        <w:spacing w:after="0" w:line="18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as determined by the Company, (A) the average of the five Reference Treasury Dealer Quotations for such redemption date, after excluding the highest and lowest of the Reference Treasury Dealer Quotations or (B) if the Company obtains fewer than five Reference Treasury Dealer Quotations, the average of all Reference Treasury Dealer Quotations so received.</w:t>
      </w:r>
    </w:p>
    <w:p>
      <w:pPr>
        <w:spacing w:after="0" w:line="1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w:t>
      </w:r>
      <w:r>
        <w:rPr>
          <w:rFonts w:ascii="Arial" w:cs="Arial" w:eastAsia="Arial" w:hAnsi="Arial"/>
          <w:sz w:val="17"/>
          <w:szCs w:val="17"/>
          <w:color w:val="auto"/>
        </w:rPr>
        <w:t>” means (i) each of Deutsche Bank Securities Inc., Barclays Capital Inc., BofA Securities, Inc., Citigroup Global Markets Inc., Goldman Sachs &amp; Co. LLC, J.P. Morgan Securities LLC and Morgan Stanley &amp; Co. LLC and their respective successors, unless any of them ceases to be a primary United States Government securities dealer in New York City (a “</w:t>
      </w:r>
      <w:r>
        <w:rPr>
          <w:rFonts w:ascii="Arial" w:cs="Arial" w:eastAsia="Arial" w:hAnsi="Arial"/>
          <w:sz w:val="17"/>
          <w:szCs w:val="17"/>
          <w:b w:val="1"/>
          <w:bCs w:val="1"/>
          <w:i w:val="1"/>
          <w:iCs w:val="1"/>
          <w:color w:val="auto"/>
        </w:rPr>
        <w:t>Primary Treasury Dealer</w:t>
      </w:r>
      <w:r>
        <w:rPr>
          <w:rFonts w:ascii="Arial" w:cs="Arial" w:eastAsia="Arial" w:hAnsi="Arial"/>
          <w:sz w:val="17"/>
          <w:szCs w:val="17"/>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8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5" w:lineRule="exact"/>
        <w:rPr>
          <w:sz w:val="20"/>
          <w:szCs w:val="20"/>
          <w:color w:val="auto"/>
        </w:rPr>
      </w:pPr>
    </w:p>
    <w:p>
      <w:pPr>
        <w:ind w:firstLine="436"/>
        <w:spacing w:after="0" w:line="277" w:lineRule="auto"/>
        <w:tabs>
          <w:tab w:leader="none" w:pos="7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00"/>
          </w:cols>
          <w:pgMar w:left="440" w:top="274" w:right="459" w:bottom="1440" w:gutter="0" w:footer="0" w:header="0"/>
        </w:sectPr>
      </w:pPr>
    </w:p>
    <w:bookmarkStart w:id="75" w:name="page76"/>
    <w:bookmarkEnd w:id="75"/>
    <w:p>
      <w:pPr>
        <w:ind w:right="60" w:firstLine="436"/>
        <w:spacing w:after="0" w:line="270" w:lineRule="auto"/>
        <w:tabs>
          <w:tab w:leader="none" w:pos="752"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0" w:lineRule="exact"/>
        <w:rPr>
          <w:rFonts w:ascii="Arial" w:cs="Arial" w:eastAsia="Arial" w:hAnsi="Arial"/>
          <w:sz w:val="17"/>
          <w:szCs w:val="17"/>
          <w:color w:val="auto"/>
        </w:rPr>
      </w:pPr>
    </w:p>
    <w:p>
      <w:pPr>
        <w:ind w:right="880" w:firstLine="436"/>
        <w:spacing w:after="0" w:line="277" w:lineRule="auto"/>
        <w:tabs>
          <w:tab w:leader="none" w:pos="7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180" w:firstLine="436"/>
        <w:spacing w:after="0" w:line="263" w:lineRule="auto"/>
        <w:tabs>
          <w:tab w:leader="none" w:pos="7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3" w:lineRule="exact"/>
        <w:rPr>
          <w:rFonts w:ascii="Arial" w:cs="Arial" w:eastAsia="Arial" w:hAnsi="Arial"/>
          <w:sz w:val="18"/>
          <w:szCs w:val="18"/>
          <w:color w:val="auto"/>
        </w:rPr>
      </w:pPr>
    </w:p>
    <w:p>
      <w:pPr>
        <w:ind w:firstLine="436"/>
        <w:spacing w:after="0" w:line="255" w:lineRule="auto"/>
        <w:tabs>
          <w:tab w:leader="none" w:pos="7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80"/>
          </w:cols>
          <w:pgMar w:left="440" w:top="274" w:right="479" w:bottom="1440" w:gutter="0" w:footer="0" w:header="0"/>
        </w:sectPr>
      </w:pPr>
    </w:p>
    <w:bookmarkStart w:id="76" w:name="page77"/>
    <w:bookmarkEnd w:id="7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Notes are issuable only in registered form without coupons in denominations of $2,000 and integral multiples of $1,000 in excess thereof.</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71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0"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To be included in Global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440" w:top="274" w:right="459" w:bottom="1440" w:gutter="0" w:footer="0" w:header="0"/>
        </w:sectPr>
      </w:pPr>
    </w:p>
    <w:bookmarkStart w:id="77" w:name="page78"/>
    <w:bookmarkEnd w:id="77"/>
    <w:p>
      <w:pPr>
        <w:ind w:left="36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524"/>
          </w:cols>
          <w:pgMar w:left="436" w:top="274" w:right="939" w:bottom="1440" w:gutter="0" w:footer="0" w:header="0"/>
        </w:sectPr>
      </w:pPr>
    </w:p>
    <w:p>
      <w:pPr>
        <w:spacing w:after="0" w:line="38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Amount of increase in</w:t>
            </w: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Principal Amount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2160" w:type="dxa"/>
            <w:vAlign w:val="bottom"/>
            <w:gridSpan w:val="2"/>
            <w:vMerge w:val="continue"/>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this Global Security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8"/>
        </w:trPr>
        <w:tc>
          <w:tcPr>
            <w:tcW w:w="21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 Security</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8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7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284" w:space="720"/>
            <w:col w:w="5520"/>
          </w:cols>
          <w:pgMar w:left="436" w:top="274" w:right="9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224" w:hanging="224"/>
        <w:spacing w:after="0"/>
        <w:tabs>
          <w:tab w:leader="none" w:pos="224" w:val="left"/>
        </w:tabs>
        <w:numPr>
          <w:ilvl w:val="0"/>
          <w:numId w:val="62"/>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483"/>
        <w:spacing w:after="0"/>
        <w:rPr>
          <w:sz w:val="20"/>
          <w:szCs w:val="20"/>
          <w:color w:val="auto"/>
        </w:rPr>
      </w:pPr>
      <w:r>
        <w:rPr>
          <w:rFonts w:ascii="Arial" w:cs="Arial" w:eastAsia="Arial" w:hAnsi="Arial"/>
          <w:sz w:val="17"/>
          <w:szCs w:val="17"/>
          <w:color w:val="auto"/>
        </w:rPr>
        <w:t>A-2-9</w:t>
      </w:r>
    </w:p>
    <w:p>
      <w:pPr>
        <w:sectPr>
          <w:pgSz w:w="11900" w:h="16838" w:orient="portrait"/>
          <w:cols w:equalWidth="0" w:num="1">
            <w:col w:w="10524"/>
          </w:cols>
          <w:pgMar w:left="436" w:top="274" w:right="9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80" w:type="dxa"/>
            <w:vAlign w:val="bottom"/>
            <w:gridSpan w:val="2"/>
          </w:tcPr>
          <w:p>
            <w:pPr>
              <w:ind w:left="2220"/>
              <w:spacing w:after="0"/>
              <w:rPr>
                <w:sz w:val="20"/>
                <w:szCs w:val="20"/>
                <w:color w:val="auto"/>
              </w:rPr>
            </w:pPr>
            <w:r>
              <w:rPr>
                <w:rFonts w:ascii="Arial" w:cs="Arial" w:eastAsia="Arial" w:hAnsi="Arial"/>
                <w:sz w:val="18"/>
                <w:szCs w:val="18"/>
                <w:color w:val="auto"/>
              </w:rPr>
              <w:t>(Insert assignee’s soc. sec. or tax I.D. No.)</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760" w:type="dxa"/>
            <w:vAlign w:val="bottom"/>
            <w:gridSpan w:val="3"/>
          </w:tcPr>
          <w:p>
            <w:pPr>
              <w:ind w:left="560"/>
              <w:spacing w:after="0"/>
              <w:rPr>
                <w:sz w:val="20"/>
                <w:szCs w:val="20"/>
                <w:color w:val="auto"/>
              </w:rPr>
            </w:pPr>
            <w:r>
              <w:rPr>
                <w:rFonts w:ascii="Arial" w:cs="Arial" w:eastAsia="Arial" w:hAnsi="Arial"/>
                <w:sz w:val="18"/>
                <w:szCs w:val="18"/>
                <w:color w:val="auto"/>
                <w:w w:val="97"/>
              </w:rPr>
              <w:t>agent to transfer this Note on the books of the Company. The agent may substitute another to act for him.</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0" w:type="dxa"/>
            <w:vAlign w:val="bottom"/>
          </w:tcPr>
          <w:p>
            <w:pPr>
              <w:ind w:left="2980"/>
              <w:spacing w:after="0"/>
              <w:rPr>
                <w:sz w:val="20"/>
                <w:szCs w:val="20"/>
                <w:color w:val="auto"/>
              </w:rPr>
            </w:pPr>
            <w:r>
              <w:rPr>
                <w:rFonts w:ascii="Arial" w:cs="Arial" w:eastAsia="Arial" w:hAnsi="Arial"/>
                <w:sz w:val="18"/>
                <w:szCs w:val="18"/>
                <w:color w:val="auto"/>
              </w:rPr>
              <w:t>Your Signature:</w:t>
            </w:r>
          </w:p>
        </w:tc>
        <w:tc>
          <w:tcPr>
            <w:tcW w:w="2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0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Date:</w:t>
            </w:r>
          </w:p>
        </w:tc>
        <w:tc>
          <w:tcPr>
            <w:tcW w:w="10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c>
          <w:tcPr>
            <w:tcW w:w="2440" w:type="dxa"/>
            <w:vAlign w:val="bottom"/>
            <w:tcBorders>
              <w:top w:val="single" w:sz="8" w:color="auto"/>
              <w:right w:val="single" w:sz="8" w:color="auto"/>
            </w:tcBorders>
          </w:tcPr>
          <w:p>
            <w:pPr>
              <w:spacing w:after="0"/>
              <w:rPr>
                <w:sz w:val="16"/>
                <w:szCs w:val="16"/>
                <w:color w:val="auto"/>
              </w:rPr>
            </w:pPr>
          </w:p>
        </w:tc>
      </w:tr>
      <w:tr>
        <w:trPr>
          <w:trHeight w:val="74"/>
        </w:trPr>
        <w:tc>
          <w:tcPr>
            <w:tcW w:w="640" w:type="dxa"/>
            <w:vAlign w:val="bottom"/>
            <w:tcBorders>
              <w:left w:val="single" w:sz="8" w:color="auto"/>
              <w:bottom w:val="single" w:sz="8" w:color="auto"/>
            </w:tcBorders>
          </w:tcPr>
          <w:p>
            <w:pPr>
              <w:spacing w:after="0"/>
              <w:rPr>
                <w:sz w:val="6"/>
                <w:szCs w:val="6"/>
                <w:color w:val="auto"/>
              </w:rPr>
            </w:pPr>
          </w:p>
        </w:tc>
        <w:tc>
          <w:tcPr>
            <w:tcW w:w="1480" w:type="dxa"/>
            <w:vAlign w:val="bottom"/>
            <w:tcBorders>
              <w:top w:val="single" w:sz="8" w:color="auto"/>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0" w:type="dxa"/>
            <w:vAlign w:val="bottom"/>
            <w:tcBorders>
              <w:top w:val="single" w:sz="8" w:color="auto"/>
              <w:bottom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r>
      <w:tr>
        <w:trPr>
          <w:trHeight w:val="290"/>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6"/>
              </w:rPr>
              <w:t>Signature must be guaranteed by a participant in a</w:t>
            </w:r>
          </w:p>
        </w:tc>
        <w:tc>
          <w:tcPr>
            <w:tcW w:w="6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3"/>
              </w:rPr>
              <w:t>recognized signature guaranty medallion program or</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30"/>
        </w:trPr>
        <w:tc>
          <w:tcPr>
            <w:tcW w:w="41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1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r>
      <w:tr>
        <w:trPr>
          <w:trHeight w:val="358"/>
        </w:trPr>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40" w:type="dxa"/>
            <w:vAlign w:val="bottom"/>
            <w:gridSpan w:val="2"/>
          </w:tcPr>
          <w:p>
            <w:pPr>
              <w:ind w:left="1040"/>
              <w:spacing w:after="0"/>
              <w:rPr>
                <w:sz w:val="20"/>
                <w:szCs w:val="20"/>
                <w:color w:val="auto"/>
              </w:rPr>
            </w:pPr>
            <w:r>
              <w:rPr>
                <w:rFonts w:ascii="Arial" w:cs="Arial" w:eastAsia="Arial" w:hAnsi="Arial"/>
                <w:sz w:val="18"/>
                <w:szCs w:val="18"/>
                <w:color w:val="auto"/>
              </w:rPr>
              <w:t>A-2-10</w:t>
            </w:r>
          </w:p>
        </w:tc>
      </w:tr>
    </w:tbl>
    <w:p>
      <w:pPr>
        <w:sectPr>
          <w:pgSz w:w="11900" w:h="16838" w:orient="portrait"/>
          <w:cols w:equalWidth="0" w:num="1">
            <w:col w:w="11020"/>
          </w:cols>
          <w:pgMar w:left="440" w:top="274" w:right="4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6.80% SENIOR NOTE DUE 2027]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11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400" w:firstLine="44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20"/>
          </w:cols>
          <w:pgMar w:left="440" w:top="270" w:right="439" w:bottom="1440" w:gutter="0" w:footer="0" w:header="0"/>
        </w:sectPr>
      </w:pPr>
    </w:p>
    <w:bookmarkStart w:id="80" w:name="page81"/>
    <w:bookmarkEnd w:id="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6.80% Senior Notes due 2027</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37045V AU4</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ISIN No.: US37045VAU44</w:t>
      </w:r>
    </w:p>
    <w:p>
      <w:pPr>
        <w:spacing w:after="0" w:line="116" w:lineRule="exact"/>
        <w:rPr>
          <w:sz w:val="20"/>
          <w:szCs w:val="20"/>
          <w:color w:val="auto"/>
        </w:rPr>
      </w:pPr>
    </w:p>
    <w:p>
      <w:pPr>
        <w:ind w:left="4"/>
        <w:spacing w:after="0"/>
        <w:tabs>
          <w:tab w:leader="none" w:pos="524" w:val="left"/>
          <w:tab w:leader="none" w:pos="9004" w:val="left"/>
          <w:tab w:leader="none" w:pos="9504"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 sum of $[ ] ([ ] DOLLARS)[, as revised by the Schedule of Increases and Decreases attached hereto,]</w:t>
      </w:r>
      <w:r>
        <w:rPr>
          <w:rFonts w:ascii="Arial" w:cs="Arial" w:eastAsia="Arial" w:hAnsi="Arial"/>
          <w:sz w:val="13"/>
          <w:szCs w:val="13"/>
          <w:color w:val="auto"/>
        </w:rPr>
        <w:t>1</w:t>
      </w:r>
      <w:r>
        <w:rPr>
          <w:rFonts w:ascii="Arial" w:cs="Arial" w:eastAsia="Arial" w:hAnsi="Arial"/>
          <w:sz w:val="16"/>
          <w:szCs w:val="16"/>
          <w:color w:val="auto"/>
        </w:rPr>
        <w:t xml:space="preserve"> on October 1, 2027, and to pay interest thereon from May 12, 2020 or from the most recent Interest Payment Date to which interest has been paid or duly provided for, semi-annually in arrears on April 1 and October 1 of each year, commencing on October 1, 2020, at the rate of 6.80%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68"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left="4" w:right="720" w:firstLine="440"/>
        <w:spacing w:after="0" w:line="342" w:lineRule="auto"/>
        <w:rPr>
          <w:sz w:val="20"/>
          <w:szCs w:val="20"/>
          <w:color w:val="auto"/>
        </w:rPr>
      </w:pPr>
      <w:r>
        <w:rPr>
          <w:rFonts w:ascii="Arial" w:cs="Arial" w:eastAsia="Arial" w:hAnsi="Arial"/>
          <w:sz w:val="16"/>
          <w:szCs w:val="16"/>
          <w:color w:val="auto"/>
        </w:rPr>
        <w:t>Unless the certificate of authentication hereon has been executed by the Trustee referred to on the reverse hereof by manual, facsimile or electronic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71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8" w:lineRule="exact"/>
        <w:rPr>
          <w:sz w:val="20"/>
          <w:szCs w:val="20"/>
          <w:color w:val="auto"/>
        </w:rPr>
      </w:pPr>
    </w:p>
    <w:p>
      <w:pPr>
        <w:ind w:left="224" w:hanging="224"/>
        <w:spacing w:after="0"/>
        <w:tabs>
          <w:tab w:leader="none" w:pos="224" w:val="left"/>
        </w:tabs>
        <w:numPr>
          <w:ilvl w:val="0"/>
          <w:numId w:val="63"/>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004"/>
          </w:cols>
          <w:pgMar w:left="436" w:top="270" w:right="45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019"/>
          </w:cols>
          <w:pgMar w:left="440" w:top="274" w:right="1440"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2020</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019"/>
          </w:cols>
          <w:pgMar w:left="440" w:top="274" w:right="1440"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NOTE]</w:t>
      </w:r>
    </w:p>
    <w:p>
      <w:pPr>
        <w:spacing w:after="0" w:line="225" w:lineRule="exact"/>
        <w:rPr>
          <w:sz w:val="20"/>
          <w:szCs w:val="20"/>
          <w:color w:val="auto"/>
        </w:rPr>
      </w:pPr>
    </w:p>
    <w:p>
      <w:pPr>
        <w:ind w:firstLine="436"/>
        <w:spacing w:after="0" w:line="291" w:lineRule="auto"/>
        <w:tabs>
          <w:tab w:leader="none" w:pos="7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Note is one of a duly authorized issue of Securities of the Company (the “</w:t>
      </w:r>
      <w:r>
        <w:rPr>
          <w:rFonts w:ascii="Arial" w:cs="Arial" w:eastAsia="Arial" w:hAnsi="Arial"/>
          <w:sz w:val="16"/>
          <w:szCs w:val="16"/>
          <w:b w:val="1"/>
          <w:bCs w:val="1"/>
          <w:color w:val="auto"/>
        </w:rPr>
        <w:t>Notes</w:t>
      </w:r>
      <w:r>
        <w:rPr>
          <w:rFonts w:ascii="Arial" w:cs="Arial" w:eastAsia="Arial" w:hAnsi="Arial"/>
          <w:sz w:val="16"/>
          <w:szCs w:val="16"/>
          <w:color w:val="auto"/>
        </w:rPr>
        <w:t>”), issued and to be issued in one or more series under the Indenture, dated as of September 27, 2013 (as supplemented prior to the date hereof, the “</w:t>
      </w:r>
      <w:r>
        <w:rPr>
          <w:rFonts w:ascii="Arial" w:cs="Arial" w:eastAsia="Arial" w:hAnsi="Arial"/>
          <w:sz w:val="16"/>
          <w:szCs w:val="16"/>
          <w:b w:val="1"/>
          <w:bCs w:val="1"/>
          <w:color w:val="auto"/>
        </w:rPr>
        <w:t>Base Indenture</w:t>
      </w:r>
      <w:r>
        <w:rPr>
          <w:rFonts w:ascii="Arial" w:cs="Arial" w:eastAsia="Arial" w:hAnsi="Arial"/>
          <w:sz w:val="16"/>
          <w:szCs w:val="16"/>
          <w:color w:val="auto"/>
        </w:rPr>
        <w:t>”), and the Sixth Supplemental Indenture relating to the Notes dated as of May 12, 2020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$1,000,000,000;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at any time and from time to time, without the consent of any Holder, issue additional Notes of this series.</w:t>
      </w:r>
    </w:p>
    <w:p>
      <w:pPr>
        <w:spacing w:after="0" w:line="163"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All terms which are used but not defined in this Note and which are defined in the Indenture shall have the meanings assigned to them in the Indenture.</w:t>
      </w:r>
    </w:p>
    <w:p>
      <w:pPr>
        <w:spacing w:after="0" w:line="170" w:lineRule="exact"/>
        <w:rPr>
          <w:sz w:val="20"/>
          <w:szCs w:val="20"/>
          <w:color w:val="auto"/>
        </w:rPr>
      </w:pPr>
    </w:p>
    <w:p>
      <w:pPr>
        <w:ind w:right="60" w:firstLine="436"/>
        <w:spacing w:after="0" w:line="272" w:lineRule="auto"/>
        <w:tabs>
          <w:tab w:leader="none" w:pos="7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any time prior to August 1, 2027, the Company may at any time and from time to time, in whole or in part, on at least 10 days’ but not more than 60 days’ prior notice delivered to the registered email or physical address of each Holder of Notes to be redeemed, redeem the Notes at a redemption price equal to the greater of: (i) 100% of the principal amount of the Notes to be redeemed; and (ii) as determined by the Company, the sum of the present values of the remaining scheduled payments of principal and interest on the Notes to be redeemed that would be due from the redemption date to August 1, 2027 (except that, if such redemption date is not an interest payment date, the amount of the next succeeding scheduled interest payment will be reduced by the amount of interest accrued thereon to the redemption date), discounted to the redemption date on a semiannual basis at a rate equal to the sum of the Treasury Rate plus 50 basis points.</w:t>
      </w:r>
    </w:p>
    <w:p>
      <w:pPr>
        <w:spacing w:after="0" w:line="177"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On or after August 1, 2027, the Company may, at any time and from time to time, in whole or in part, on at least 10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020"/>
          </w:cols>
          <w:pgMar w:left="440" w:top="270" w:right="4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Article Eleven of the Base Indenture shall apply to any redemption of the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2, the following terms shall have the following specified meanings:</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 (assuming for this purpose that such Notes mature on August 1, 2027).</w:t>
      </w:r>
    </w:p>
    <w:p>
      <w:pPr>
        <w:spacing w:after="0" w:line="187"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means, with respect to any redemption date, as determined by the Company, (A) the average of the five Reference Treasury Dealer Quotations for such redemption date, after excluding the highest and lowest of the Reference Treasury Dealer Quotations or (B) if the Company obtains fewer than five Reference Treasury Dealer Quotations, the average of all Reference Treasury Dealer Quotations so received.</w:t>
      </w:r>
    </w:p>
    <w:p>
      <w:pPr>
        <w:spacing w:after="0" w:line="1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Reference Treasury Dealer</w:t>
      </w:r>
      <w:r>
        <w:rPr>
          <w:rFonts w:ascii="Arial" w:cs="Arial" w:eastAsia="Arial" w:hAnsi="Arial"/>
          <w:sz w:val="17"/>
          <w:szCs w:val="17"/>
          <w:color w:val="auto"/>
        </w:rPr>
        <w:t>” means (i) each of Deutsche Bank Securities Inc., Barclays Capital Inc., BofA Securities, Inc., Citigroup Global Markets Inc., Goldman Sachs &amp; Co. LLC, J.P. Morgan Securities LLC and Morgan Stanley &amp; Co. LLC and their respective successors, unless any of them ceases to be a primary United States Government securities dealer in New York City (a “</w:t>
      </w:r>
      <w:r>
        <w:rPr>
          <w:rFonts w:ascii="Arial" w:cs="Arial" w:eastAsia="Arial" w:hAnsi="Arial"/>
          <w:sz w:val="17"/>
          <w:szCs w:val="17"/>
          <w:b w:val="1"/>
          <w:bCs w:val="1"/>
          <w:i w:val="1"/>
          <w:iCs w:val="1"/>
          <w:color w:val="auto"/>
        </w:rPr>
        <w:t>Primary Treasury Dealer</w:t>
      </w:r>
      <w:r>
        <w:rPr>
          <w:rFonts w:ascii="Arial" w:cs="Arial" w:eastAsia="Arial" w:hAnsi="Arial"/>
          <w:sz w:val="17"/>
          <w:szCs w:val="17"/>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8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5" w:lineRule="exact"/>
        <w:rPr>
          <w:sz w:val="20"/>
          <w:szCs w:val="20"/>
          <w:color w:val="auto"/>
        </w:rPr>
      </w:pPr>
    </w:p>
    <w:p>
      <w:pPr>
        <w:ind w:firstLine="436"/>
        <w:spacing w:after="0" w:line="277" w:lineRule="auto"/>
        <w:tabs>
          <w:tab w:leader="none" w:pos="7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00"/>
          </w:cols>
          <w:pgMar w:left="440" w:top="274" w:right="459" w:bottom="1440" w:gutter="0" w:footer="0" w:header="0"/>
        </w:sectPr>
      </w:pPr>
    </w:p>
    <w:bookmarkStart w:id="85" w:name="page86"/>
    <w:bookmarkEnd w:id="85"/>
    <w:p>
      <w:pPr>
        <w:ind w:right="60" w:firstLine="436"/>
        <w:spacing w:after="0" w:line="270" w:lineRule="auto"/>
        <w:tabs>
          <w:tab w:leader="none" w:pos="752"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80" w:lineRule="exact"/>
        <w:rPr>
          <w:rFonts w:ascii="Arial" w:cs="Arial" w:eastAsia="Arial" w:hAnsi="Arial"/>
          <w:sz w:val="17"/>
          <w:szCs w:val="17"/>
          <w:color w:val="auto"/>
        </w:rPr>
      </w:pPr>
    </w:p>
    <w:p>
      <w:pPr>
        <w:ind w:right="880" w:firstLine="436"/>
        <w:spacing w:after="0" w:line="277" w:lineRule="auto"/>
        <w:tabs>
          <w:tab w:leader="none" w:pos="7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5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180" w:firstLine="436"/>
        <w:spacing w:after="0" w:line="263" w:lineRule="auto"/>
        <w:tabs>
          <w:tab w:leader="none" w:pos="7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3" w:lineRule="exact"/>
        <w:rPr>
          <w:rFonts w:ascii="Arial" w:cs="Arial" w:eastAsia="Arial" w:hAnsi="Arial"/>
          <w:sz w:val="18"/>
          <w:szCs w:val="18"/>
          <w:color w:val="auto"/>
        </w:rPr>
      </w:pPr>
    </w:p>
    <w:p>
      <w:pPr>
        <w:ind w:firstLine="436"/>
        <w:spacing w:after="0" w:line="255" w:lineRule="auto"/>
        <w:tabs>
          <w:tab w:leader="none" w:pos="7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0980"/>
          </w:cols>
          <w:pgMar w:left="440" w:top="274" w:right="479" w:bottom="1440" w:gutter="0" w:footer="0" w:header="0"/>
        </w:sectPr>
      </w:pPr>
    </w:p>
    <w:bookmarkStart w:id="86" w:name="page87"/>
    <w:bookmarkEnd w:id="8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are issuable only in registered form without coupons in denominations of $2,000 and integral multiples of $1,000 in excess thereof.</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This Note and the Indenture shall be governed by and construed in accordance with the law of the State of New York in the United</w:t>
      </w:r>
      <w:r>
        <w:rPr>
          <w:rFonts w:ascii="Arial" w:cs="Arial" w:eastAsia="Arial" w:hAnsi="Arial"/>
          <w:sz w:val="18"/>
          <w:szCs w:val="18"/>
          <w:color w:val="auto"/>
        </w:rPr>
        <w:t xml:space="preserve"> </w:t>
      </w:r>
      <w:r>
        <w:rPr>
          <w:rFonts w:ascii="Arial" w:cs="Arial" w:eastAsia="Arial" w:hAnsi="Arial"/>
          <w:sz w:val="18"/>
          <w:szCs w:val="18"/>
          <w:b w:val="1"/>
          <w:bCs w:val="1"/>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0"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To be included in Global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000"/>
          </w:cols>
          <w:pgMar w:left="440" w:top="274" w:right="459" w:bottom="1440" w:gutter="0" w:footer="0" w:header="0"/>
        </w:sectPr>
      </w:pPr>
    </w:p>
    <w:bookmarkStart w:id="87" w:name="page88"/>
    <w:bookmarkEnd w:id="87"/>
    <w:p>
      <w:pPr>
        <w:ind w:left="36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0524"/>
          </w:cols>
          <w:pgMar w:left="436" w:top="274" w:right="939" w:bottom="1440" w:gutter="0" w:footer="0" w:header="0"/>
        </w:sectPr>
      </w:pPr>
    </w:p>
    <w:p>
      <w:pPr>
        <w:spacing w:after="0" w:line="38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Amount of increase in</w:t>
            </w: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Principal Amount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8"/>
        </w:trPr>
        <w:tc>
          <w:tcPr>
            <w:tcW w:w="2160" w:type="dxa"/>
            <w:vAlign w:val="bottom"/>
            <w:gridSpan w:val="2"/>
            <w:vMerge w:val="continue"/>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this Global Security</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8"/>
        </w:trPr>
        <w:tc>
          <w:tcPr>
            <w:tcW w:w="21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 Security</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8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7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284" w:space="720"/>
            <w:col w:w="5520"/>
          </w:cols>
          <w:pgMar w:left="436" w:top="274" w:right="9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224" w:hanging="224"/>
        <w:spacing w:after="0"/>
        <w:tabs>
          <w:tab w:leader="none" w:pos="224" w:val="left"/>
        </w:tabs>
        <w:numPr>
          <w:ilvl w:val="0"/>
          <w:numId w:val="69"/>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483"/>
        <w:spacing w:after="0"/>
        <w:rPr>
          <w:sz w:val="20"/>
          <w:szCs w:val="20"/>
          <w:color w:val="auto"/>
        </w:rPr>
      </w:pPr>
      <w:r>
        <w:rPr>
          <w:rFonts w:ascii="Arial" w:cs="Arial" w:eastAsia="Arial" w:hAnsi="Arial"/>
          <w:sz w:val="17"/>
          <w:szCs w:val="17"/>
          <w:color w:val="auto"/>
        </w:rPr>
        <w:t>A-3-9</w:t>
      </w:r>
    </w:p>
    <w:p>
      <w:pPr>
        <w:sectPr>
          <w:pgSz w:w="11900" w:h="16838" w:orient="portrait"/>
          <w:cols w:equalWidth="0" w:num="1">
            <w:col w:w="10524"/>
          </w:cols>
          <w:pgMar w:left="436" w:top="274" w:right="9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80" w:type="dxa"/>
            <w:vAlign w:val="bottom"/>
            <w:gridSpan w:val="2"/>
          </w:tcPr>
          <w:p>
            <w:pPr>
              <w:ind w:left="2220"/>
              <w:spacing w:after="0"/>
              <w:rPr>
                <w:sz w:val="20"/>
                <w:szCs w:val="20"/>
                <w:color w:val="auto"/>
              </w:rPr>
            </w:pPr>
            <w:r>
              <w:rPr>
                <w:rFonts w:ascii="Arial" w:cs="Arial" w:eastAsia="Arial" w:hAnsi="Arial"/>
                <w:sz w:val="18"/>
                <w:szCs w:val="18"/>
                <w:color w:val="auto"/>
              </w:rPr>
              <w:t>(Insert assignee’s soc. sec. or tax I.D. No.)</w:t>
            </w:r>
          </w:p>
        </w:tc>
      </w:tr>
      <w:tr>
        <w:trPr>
          <w:trHeight w:val="432"/>
        </w:trPr>
        <w:tc>
          <w:tcPr>
            <w:tcW w:w="22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760" w:type="dxa"/>
            <w:vAlign w:val="bottom"/>
            <w:gridSpan w:val="3"/>
          </w:tcPr>
          <w:p>
            <w:pPr>
              <w:ind w:left="560"/>
              <w:spacing w:after="0"/>
              <w:rPr>
                <w:sz w:val="20"/>
                <w:szCs w:val="20"/>
                <w:color w:val="auto"/>
              </w:rPr>
            </w:pPr>
            <w:r>
              <w:rPr>
                <w:rFonts w:ascii="Arial" w:cs="Arial" w:eastAsia="Arial" w:hAnsi="Arial"/>
                <w:sz w:val="18"/>
                <w:szCs w:val="18"/>
                <w:color w:val="auto"/>
                <w:w w:val="97"/>
              </w:rPr>
              <w:t>agent to transfer this Note on the books of the Company. The agent may substitute another to act for him.</w:t>
            </w: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00" w:type="dxa"/>
            <w:vAlign w:val="bottom"/>
          </w:tcPr>
          <w:p>
            <w:pPr>
              <w:ind w:left="2980"/>
              <w:spacing w:after="0"/>
              <w:rPr>
                <w:sz w:val="20"/>
                <w:szCs w:val="20"/>
                <w:color w:val="auto"/>
              </w:rPr>
            </w:pPr>
            <w:r>
              <w:rPr>
                <w:rFonts w:ascii="Arial" w:cs="Arial" w:eastAsia="Arial" w:hAnsi="Arial"/>
                <w:sz w:val="18"/>
                <w:szCs w:val="18"/>
                <w:color w:val="auto"/>
              </w:rPr>
              <w:t>Your Signature:</w:t>
            </w:r>
          </w:p>
        </w:tc>
        <w:tc>
          <w:tcPr>
            <w:tcW w:w="2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462915</wp:posOffset>
            </wp:positionV>
            <wp:extent cx="6995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00" w:type="dxa"/>
            <w:vAlign w:val="bottom"/>
            <w:tcBorders>
              <w:top w:val="single" w:sz="8" w:color="auto"/>
              <w:left w:val="single" w:sz="8" w:color="auto"/>
              <w:right w:val="single" w:sz="8" w:color="auto"/>
            </w:tcBorders>
            <w:gridSpan w:val="3"/>
          </w:tcPr>
          <w:p>
            <w:pPr>
              <w:ind w:left="160"/>
              <w:spacing w:after="0" w:line="189" w:lineRule="exact"/>
              <w:rPr>
                <w:sz w:val="20"/>
                <w:szCs w:val="20"/>
                <w:color w:val="auto"/>
              </w:rPr>
            </w:pPr>
            <w:r>
              <w:rPr>
                <w:rFonts w:ascii="Arial" w:cs="Arial" w:eastAsia="Arial" w:hAnsi="Arial"/>
                <w:sz w:val="18"/>
                <w:szCs w:val="18"/>
                <w:color w:val="auto"/>
              </w:rPr>
              <w:t>Date:</w:t>
            </w:r>
          </w:p>
        </w:tc>
        <w:tc>
          <w:tcPr>
            <w:tcW w:w="10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c>
          <w:tcPr>
            <w:tcW w:w="2440" w:type="dxa"/>
            <w:vAlign w:val="bottom"/>
            <w:tcBorders>
              <w:top w:val="single" w:sz="8" w:color="auto"/>
              <w:right w:val="single" w:sz="8" w:color="auto"/>
            </w:tcBorders>
          </w:tcPr>
          <w:p>
            <w:pPr>
              <w:spacing w:after="0"/>
              <w:rPr>
                <w:sz w:val="16"/>
                <w:szCs w:val="16"/>
                <w:color w:val="auto"/>
              </w:rPr>
            </w:pPr>
          </w:p>
        </w:tc>
      </w:tr>
      <w:tr>
        <w:trPr>
          <w:trHeight w:val="74"/>
        </w:trPr>
        <w:tc>
          <w:tcPr>
            <w:tcW w:w="640" w:type="dxa"/>
            <w:vAlign w:val="bottom"/>
            <w:tcBorders>
              <w:left w:val="single" w:sz="8" w:color="auto"/>
              <w:bottom w:val="single" w:sz="8" w:color="auto"/>
            </w:tcBorders>
          </w:tcPr>
          <w:p>
            <w:pPr>
              <w:spacing w:after="0"/>
              <w:rPr>
                <w:sz w:val="6"/>
                <w:szCs w:val="6"/>
                <w:color w:val="auto"/>
              </w:rPr>
            </w:pPr>
          </w:p>
        </w:tc>
        <w:tc>
          <w:tcPr>
            <w:tcW w:w="1480" w:type="dxa"/>
            <w:vAlign w:val="bottom"/>
            <w:tcBorders>
              <w:top w:val="single" w:sz="8" w:color="auto"/>
              <w:bottom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0" w:type="dxa"/>
            <w:vAlign w:val="bottom"/>
            <w:tcBorders>
              <w:top w:val="single" w:sz="8" w:color="auto"/>
              <w:bottom w:val="single" w:sz="8" w:color="auto"/>
            </w:tcBorders>
          </w:tcPr>
          <w:p>
            <w:pPr>
              <w:spacing w:after="0"/>
              <w:rPr>
                <w:sz w:val="6"/>
                <w:szCs w:val="6"/>
                <w:color w:val="auto"/>
              </w:rPr>
            </w:pPr>
          </w:p>
        </w:tc>
        <w:tc>
          <w:tcPr>
            <w:tcW w:w="2440" w:type="dxa"/>
            <w:vAlign w:val="bottom"/>
            <w:tcBorders>
              <w:bottom w:val="single" w:sz="8" w:color="auto"/>
              <w:right w:val="single" w:sz="8" w:color="auto"/>
            </w:tcBorders>
          </w:tcPr>
          <w:p>
            <w:pPr>
              <w:spacing w:after="0"/>
              <w:rPr>
                <w:sz w:val="6"/>
                <w:szCs w:val="6"/>
                <w:color w:val="auto"/>
              </w:rPr>
            </w:pPr>
          </w:p>
        </w:tc>
      </w:tr>
      <w:tr>
        <w:trPr>
          <w:trHeight w:val="290"/>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6"/>
              </w:rPr>
              <w:t>Signature must be guaranteed by a participant in a</w:t>
            </w:r>
          </w:p>
        </w:tc>
        <w:tc>
          <w:tcPr>
            <w:tcW w:w="69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Signature of Signature Guarantee</w:t>
            </w: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3"/>
              </w:rPr>
              <w:t>recognized signature guaranty medallion program or</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16"/>
        </w:trPr>
        <w:tc>
          <w:tcPr>
            <w:tcW w:w="41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r>
      <w:tr>
        <w:trPr>
          <w:trHeight w:val="230"/>
        </w:trPr>
        <w:tc>
          <w:tcPr>
            <w:tcW w:w="410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1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r>
      <w:tr>
        <w:trPr>
          <w:trHeight w:val="358"/>
        </w:trPr>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40" w:type="dxa"/>
            <w:vAlign w:val="bottom"/>
            <w:gridSpan w:val="2"/>
          </w:tcPr>
          <w:p>
            <w:pPr>
              <w:ind w:left="1040"/>
              <w:spacing w:after="0"/>
              <w:rPr>
                <w:sz w:val="20"/>
                <w:szCs w:val="20"/>
                <w:color w:val="auto"/>
              </w:rPr>
            </w:pPr>
            <w:r>
              <w:rPr>
                <w:rFonts w:ascii="Arial" w:cs="Arial" w:eastAsia="Arial" w:hAnsi="Arial"/>
                <w:sz w:val="18"/>
                <w:szCs w:val="18"/>
                <w:color w:val="auto"/>
              </w:rPr>
              <w:t>A-3-10</w:t>
            </w:r>
          </w:p>
        </w:tc>
      </w:tr>
    </w:tbl>
    <w:p>
      <w:pPr>
        <w:sectPr>
          <w:pgSz w:w="11900" w:h="16838" w:orient="portrait"/>
          <w:cols w:equalWidth="0" w:num="1">
            <w:col w:w="11020"/>
          </w:cols>
          <w:pgMar w:left="440" w:top="274" w:right="4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311150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1115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May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General Motors Company 5.40% Senior Notes due 2023, 6.125% Senior Notes due 2025, and 6.80% Senior Notes due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We have acted as counsel for General Motors Company, a Delaware corporation (the “Company”), in connection with the offering by the</w:t>
      </w:r>
    </w:p>
    <w:p>
      <w:pPr>
        <w:spacing w:after="0" w:line="3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Company of $1.0 billion aggregate principal amount of 5.40% Senior Notes due 2023 (the “2023 Notes”), $2.0 billion aggregate principal amount of</w:t>
      </w:r>
    </w:p>
    <w:p>
      <w:pPr>
        <w:spacing w:after="0" w:line="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6.125% Senior Notes due 2025 (the “2025 Notes”), and $1.0 billion aggregate principal amount of 6.80% Senior Notes due 2027 (the “2027 Notes” and, collectively with the 2023 Notes and the 2025 Notes, the “Notes”). The Notes will be issued pursuant to a Registration Statement on Form S-3 (Registration Statement No. 333-236276) (the “Registration Statement”), filed with the Securities and Exchange Commission (the “Commission”) under the Securities Act of 1933, as amended (the “Act”), the related prospectus dated February 5, 2020 (the “Base Prospectus”) and a Prospectus Supplement relating to the Notes, dated May 7, 2020 (the “Prospectus Supplement” and, collectively with the Base Prospectus, the “Prospectus”), filed with the Commission pursuant to Rule 424(b) of the rules and regulations promulgated under the Act. This opinion is being provided at your request, to be filed with the Commission and incorporated by reference as an exhibit to the Registration Statement.</w:t>
      </w:r>
    </w:p>
    <w:p>
      <w:pPr>
        <w:spacing w:after="0" w:line="18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In connection with this opinion, we have reviewed such matters of law and examined original, certified, conformed or photographic copies of such other documents, records, agreements and certificates as we have deemed necessary as a basis for the opinions hereinafter expressed. In such review, we have assumed the genuineness of signatures on all documents submitted to us as originals and the conformity to original documents of all documents submitted to us as certified, conformed or photographic copies. We have relied, as to the matters set forth therein, on certificates of public officials. As to certain matters of fact material to this opinion, we have relied, without independent verification, upon certificates of certain officers of the Company.</w:t>
      </w:r>
    </w:p>
    <w:p>
      <w:pPr>
        <w:spacing w:after="0" w:line="16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We have assumed that the indenture, dated as of September 27, 2013 (the “Base Indenture”), as supplemented by the sixth supplemental indenture, dated as of May 12, 2020 (the “Sixth Supplemental Indenture” and, together with the Base Indenture, the “Indenture”), between the Company and The Bank of New York Mellon, as trustee (the “Trustee”), is enforceable against the Trustee in accordance with its terms.</w:t>
      </w:r>
    </w:p>
    <w:p>
      <w:pPr>
        <w:sectPr>
          <w:pgSz w:w="11900" w:h="16838" w:orient="portrait"/>
          <w:cols w:equalWidth="0" w:num="1">
            <w:col w:w="11020"/>
          </w:cols>
          <w:pgMar w:left="440" w:top="121" w:right="439" w:bottom="1440" w:gutter="0" w:footer="0" w:header="0"/>
        </w:sectPr>
      </w:pPr>
    </w:p>
    <w:bookmarkStart w:id="90" w:name="page91"/>
    <w:bookmarkEnd w:id="90"/>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opinions expressed herein are limited in all respects to the federal laws of the United States of America and the corporate law of the State of Delaware (which includes the Delaware General Corporation Law, applicable provisions of the Delaware Constitution and reported judicial interpretations concerning those laws), and no opinion is expressed with respect to the laws of any other jurisdiction or any effect which such laws may have on the opinions expressed herein. This opinion is limited to the matters stated herein, and no opinion is implied or may be inferred beyond the matters expressly stated herein.</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Based upon the foregoing, and subject to the assumptions, qualifications and limitations set forth herein, we are of the opinion that the Notes, upon issuance and sale thereof as described in the Prospectus and, when executed and delivered by the Company and authenticated by the Trustee under the Indenture and delivered and paid for by the purchasers thereof, will be validly issued and will constitute valid and binding obligations of the Company enforceable against the Company in accordance with their terms, subject, as to the enforcement of remedies, to bankruptcy, insolvency, reorganization, moratorium and similar laws affecting the rights and remedies of creditors generally and to the effect of general principles of equity.</w:t>
      </w:r>
    </w:p>
    <w:p>
      <w:pPr>
        <w:spacing w:after="0" w:line="16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This opinion is given as of the date hereof, and we assume no obligation to advise you after the date hereof of facts or circumstances that come to our attention or changes in law that occur which could affect the opinions contained herein. This opinion is being rendered solely for the benefit of the Company in connection with the matters addressed herein.</w:t>
      </w:r>
    </w:p>
    <w:p>
      <w:pPr>
        <w:spacing w:after="0" w:line="184"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We hereby consent to the filing of this opinion as an Exhibit to the Current Report on Form 8-K that you will file on May 12, 2020 and which will be incorporated by reference into the Registration Statement, and to the reference to us under the caption “Legal Matters” in the Prospectus Supplement.</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King &amp; Spalding LLP</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lowerLetter"/>
      <w:start w:val="1"/>
    </w:lvl>
  </w:abstractNum>
  <w:abstractNum w:abstractNumId="2">
    <w:nsid w:val="5072367"/>
    <w:multiLevelType w:val="hybridMultilevel"/>
    <w:lvl w:ilvl="0">
      <w:lvlJc w:val="left"/>
      <w:lvlText w:val="(%1)"/>
      <w:numFmt w:val="lowerLetter"/>
      <w:start w:val="2"/>
    </w:lvl>
  </w:abstractNum>
  <w:abstractNum w:abstractNumId="3">
    <w:nsid w:val="3804823E"/>
    <w:multiLevelType w:val="hybridMultilevel"/>
    <w:lvl w:ilvl="0">
      <w:lvlJc w:val="left"/>
      <w:lvlText w:val="(%1)"/>
      <w:numFmt w:val="lowerLetter"/>
      <w:start w:val="7"/>
    </w:lvl>
  </w:abstractNum>
  <w:abstractNum w:abstractNumId="4">
    <w:nsid w:val="77465F01"/>
    <w:multiLevelType w:val="hybridMultilevel"/>
    <w:lvl w:ilvl="0">
      <w:lvlJc w:val="left"/>
      <w:lvlText w:val="(%1)"/>
      <w:numFmt w:val="lowerLetter"/>
      <w:start w:val="1"/>
    </w:lvl>
  </w:abstractNum>
  <w:abstractNum w:abstractNumId="5">
    <w:nsid w:val="7724C67E"/>
    <w:multiLevelType w:val="hybridMultilevel"/>
    <w:lvl w:ilvl="0">
      <w:lvlJc w:val="left"/>
      <w:lvlText w:val="(%1)"/>
      <w:numFmt w:val="upperLetter"/>
      <w:start w:val="2"/>
    </w:lvl>
    <w:lvl w:ilvl="1">
      <w:lvlJc w:val="left"/>
      <w:lvlText w:val="(%2)"/>
      <w:numFmt w:val="lowerLetter"/>
      <w:start w:val="4"/>
    </w:lvl>
  </w:abstractNum>
  <w:abstractNum w:abstractNumId="6">
    <w:nsid w:val="5C482A97"/>
    <w:multiLevelType w:val="hybridMultilevel"/>
    <w:lvl w:ilvl="0">
      <w:lvlJc w:val="left"/>
      <w:lvlText w:val="(%1)"/>
      <w:numFmt w:val="lowerLetter"/>
      <w:start w:val="8"/>
    </w:lvl>
  </w:abstractNum>
  <w:abstractNum w:abstractNumId="7">
    <w:nsid w:val="2463B9EA"/>
    <w:multiLevelType w:val="hybridMultilevel"/>
    <w:lvl w:ilvl="0">
      <w:lvlJc w:val="left"/>
      <w:lvlText w:val="(%1)"/>
      <w:numFmt w:val="lowerLetter"/>
      <w:start w:val="1"/>
    </w:lvl>
    <w:lvl w:ilvl="1">
      <w:lvlJc w:val="left"/>
      <w:lvlText w:val="(%2)"/>
      <w:numFmt w:val="lowerRoman"/>
      <w:start w:val="1"/>
    </w:lvl>
  </w:abstractNum>
  <w:abstractNum w:abstractNumId="8">
    <w:nsid w:val="5E884ADC"/>
    <w:multiLevelType w:val="hybridMultilevel"/>
    <w:lvl w:ilvl="0">
      <w:lvlJc w:val="left"/>
      <w:lvlText w:val="%1"/>
      <w:numFmt w:val="lowerLetter"/>
      <w:start w:val="1"/>
    </w:lvl>
    <w:lvl w:ilvl="1">
      <w:lvlJc w:val="left"/>
      <w:lvlText w:val="(%2)"/>
      <w:numFmt w:val="lowerRoman"/>
      <w:start w:val="4"/>
    </w:lvl>
  </w:abstractNum>
  <w:abstractNum w:abstractNumId="9">
    <w:nsid w:val="51EAD36B"/>
    <w:multiLevelType w:val="hybridMultilevel"/>
    <w:lvl w:ilvl="0">
      <w:lvlJc w:val="left"/>
      <w:lvlText w:val="(%1)"/>
      <w:numFmt w:val="lowerLetter"/>
      <w:start w:val="2"/>
    </w:lvl>
    <w:lvl w:ilvl="1">
      <w:lvlJc w:val="left"/>
      <w:lvlText w:val="(%2)"/>
      <w:numFmt w:val="lowerRoman"/>
      <w:start w:val="1"/>
    </w:lvl>
  </w:abstractNum>
  <w:abstractNum w:abstractNumId="10">
    <w:nsid w:val="2D517796"/>
    <w:multiLevelType w:val="hybridMultilevel"/>
    <w:lvl w:ilvl="0">
      <w:lvlJc w:val="left"/>
      <w:lvlText w:val="(%1)"/>
      <w:numFmt w:val="lowerRoman"/>
      <w:start w:val="2"/>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3"/>
    </w:lvl>
  </w:abstractNum>
  <w:abstractNum w:abstractNumId="13">
    <w:nsid w:val="3855585C"/>
    <w:multiLevelType w:val="hybridMultilevel"/>
    <w:lvl w:ilvl="0">
      <w:lvlJc w:val="left"/>
      <w:lvlText w:val="(%1)"/>
      <w:numFmt w:val="lowerRoman"/>
      <w:start w:val="5"/>
    </w:lvl>
  </w:abstractNum>
  <w:abstractNum w:abstractNumId="14">
    <w:nsid w:val="70A64E2A"/>
    <w:multiLevelType w:val="hybridMultilevel"/>
    <w:lvl w:ilvl="0">
      <w:lvlJc w:val="left"/>
      <w:lvlText w:val="(%1)"/>
      <w:numFmt w:val="lowerLetter"/>
      <w:start w:val="10"/>
    </w:lvl>
  </w:abstractNum>
  <w:abstractNum w:abstractNumId="15">
    <w:nsid w:val="6A2342EC"/>
    <w:multiLevelType w:val="hybridMultilevel"/>
    <w:lvl w:ilvl="0">
      <w:lvlJc w:val="left"/>
      <w:lvlText w:val="(%1)"/>
      <w:numFmt w:val="lowerLetter"/>
      <w:start w:val="12"/>
    </w:lvl>
  </w:abstractNum>
  <w:abstractNum w:abstractNumId="16">
    <w:nsid w:val="2A487CB0"/>
    <w:multiLevelType w:val="hybridMultilevel"/>
    <w:lvl w:ilvl="0">
      <w:lvlJc w:val="left"/>
      <w:lvlText w:val="%1"/>
      <w:numFmt w:val="lowerRoman"/>
      <w:start w:val="1"/>
    </w:lvl>
    <w:lvl w:ilvl="1">
      <w:lvlJc w:val="left"/>
      <w:lvlText w:val="(%2)"/>
      <w:numFmt w:val="lowerLetter"/>
      <w:start w:val="15"/>
    </w:lvl>
  </w:abstractNum>
  <w:abstractNum w:abstractNumId="17">
    <w:nsid w:val="1D4ED43B"/>
    <w:multiLevelType w:val="hybridMultilevel"/>
    <w:lvl w:ilvl="0">
      <w:lvlJc w:val="left"/>
      <w:lvlText w:val="(%1)"/>
      <w:numFmt w:val="lowerRoman"/>
      <w:start w:val="4"/>
    </w:lvl>
    <w:lvl w:ilvl="1">
      <w:lvlJc w:val="left"/>
      <w:lvlText w:val="(%2)"/>
      <w:numFmt w:val="lowerLetter"/>
      <w:start w:val="17"/>
    </w:lvl>
  </w:abstractNum>
  <w:abstractNum w:abstractNumId="18">
    <w:nsid w:val="725A06FB"/>
    <w:multiLevelType w:val="hybridMultilevel"/>
    <w:lvl w:ilvl="0">
      <w:lvlJc w:val="left"/>
      <w:lvlText w:val="(%1)"/>
      <w:numFmt w:val="lowerLetter"/>
      <w:start w:val="21"/>
    </w:lvl>
  </w:abstractNum>
  <w:abstractNum w:abstractNumId="19">
    <w:nsid w:val="2CD89A32"/>
    <w:multiLevelType w:val="hybridMultilevel"/>
    <w:lvl w:ilvl="0">
      <w:lvlJc w:val="left"/>
      <w:lvlText w:val="(%1)"/>
      <w:numFmt w:val="lowerLetter"/>
      <w:start w:val="27"/>
    </w:lvl>
  </w:abstractNum>
  <w:abstractNum w:abstractNumId="20">
    <w:nsid w:val="57E4CCAF"/>
    <w:multiLevelType w:val="hybridMultilevel"/>
    <w:lvl w:ilvl="0">
      <w:lvlJc w:val="left"/>
      <w:lvlText w:val="%1"/>
      <w:numFmt w:val="lowerRoman"/>
      <w:start w:val="1"/>
    </w:lvl>
    <w:lvl w:ilvl="1">
      <w:lvlJc w:val="left"/>
      <w:lvlText w:val="(%2)"/>
      <w:numFmt w:val="lowerLetter"/>
      <w:start w:val="28"/>
    </w:lvl>
  </w:abstractNum>
  <w:abstractNum w:abstractNumId="21">
    <w:nsid w:val="7A6D8D3C"/>
    <w:multiLevelType w:val="hybridMultilevel"/>
    <w:lvl w:ilvl="0">
      <w:lvlJc w:val="left"/>
      <w:lvlText w:val="(%1)"/>
      <w:numFmt w:val="lowerRoman"/>
      <w:start w:val="4"/>
    </w:lvl>
    <w:lvl w:ilvl="1">
      <w:lvlJc w:val="left"/>
      <w:lvlText w:val="(%2)"/>
      <w:numFmt w:val="lowerLetter"/>
      <w:start w:val="29"/>
    </w:lvl>
  </w:abstractNum>
  <w:abstractNum w:abstractNumId="22">
    <w:nsid w:val="4B588F54"/>
    <w:multiLevelType w:val="hybridMultilevel"/>
    <w:lvl w:ilvl="0">
      <w:lvlJc w:val="left"/>
      <w:lvlText w:val="(%1)"/>
      <w:numFmt w:val="lowerLetter"/>
      <w:start w:val="30"/>
    </w:lvl>
  </w:abstractNum>
  <w:abstractNum w:abstractNumId="23">
    <w:nsid w:val="542289EC"/>
    <w:multiLevelType w:val="hybridMultilevel"/>
    <w:lvl w:ilvl="0">
      <w:lvlJc w:val="left"/>
      <w:lvlText w:val="(%1)"/>
      <w:numFmt w:val="lowerLetter"/>
      <w:start w:val="31"/>
    </w:lvl>
  </w:abstractNum>
  <w:abstractNum w:abstractNumId="24">
    <w:nsid w:val="6DE91B18"/>
    <w:multiLevelType w:val="hybridMultilevel"/>
    <w:lvl w:ilvl="0">
      <w:lvlJc w:val="left"/>
      <w:lvlText w:val="(%1)"/>
      <w:numFmt w:val="lowerLetter"/>
      <w:start w:val="35"/>
    </w:lvl>
  </w:abstractNum>
  <w:abstractNum w:abstractNumId="25">
    <w:nsid w:val="38437FDB"/>
    <w:multiLevelType w:val="hybridMultilevel"/>
    <w:lvl w:ilvl="0">
      <w:lvlJc w:val="left"/>
      <w:lvlText w:val="(%1)"/>
      <w:numFmt w:val="lowerRoman"/>
      <w:start w:val="2"/>
    </w:lvl>
  </w:abstractNum>
  <w:abstractNum w:abstractNumId="26">
    <w:nsid w:val="7644A45C"/>
    <w:multiLevelType w:val="hybridMultilevel"/>
    <w:lvl w:ilvl="0">
      <w:lvlJc w:val="left"/>
      <w:lvlText w:val="(%1)"/>
      <w:numFmt w:val="lowerRoman"/>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Letter"/>
      <w:start w:val="2"/>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1)"/>
      <w:numFmt w:val="lowerLetter"/>
      <w:start w:val="1"/>
    </w:lvl>
    <w:lvl w:ilvl="1">
      <w:lvlJc w:val="left"/>
      <w:lvlText w:val="(%2)"/>
      <w:numFmt w:val="lowerRoman"/>
      <w:start w:val="1"/>
    </w:lvl>
  </w:abstractNum>
  <w:abstractNum w:abstractNumId="31">
    <w:nsid w:val="3DC240FB"/>
    <w:multiLevelType w:val="hybridMultilevel"/>
    <w:lvl w:ilvl="0">
      <w:lvlJc w:val="left"/>
      <w:lvlText w:val="%1"/>
      <w:numFmt w:val="lowerLetter"/>
      <w:start w:val="1"/>
    </w:lvl>
    <w:lvl w:ilvl="1">
      <w:lvlJc w:val="left"/>
      <w:lvlText w:val="(%2)"/>
      <w:numFmt w:val="lowerRoman"/>
      <w:start w:val="3"/>
    </w:lvl>
  </w:abstractNum>
  <w:abstractNum w:abstractNumId="32">
    <w:nsid w:val="1BA026FA"/>
    <w:multiLevelType w:val="hybridMultilevel"/>
    <w:lvl w:ilvl="0">
      <w:lvlJc w:val="left"/>
      <w:lvlText w:val="(%1)"/>
      <w:numFmt w:val="lowerLetter"/>
      <w:start w:val="2"/>
    </w:lvl>
    <w:lvl w:ilvl="1">
      <w:lvlJc w:val="left"/>
      <w:lvlText w:val="%2"/>
      <w:numFmt w:val="lowerRoman"/>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2"/>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Roman"/>
      <w:start w:val="1"/>
    </w:lvl>
  </w:abstractNum>
  <w:abstractNum w:abstractNumId="42">
    <w:nsid w:val="275AC794"/>
    <w:multiLevelType w:val="hybridMultilevel"/>
    <w:lvl w:ilvl="0">
      <w:lvlJc w:val="left"/>
      <w:lvlText w:val="(%1)"/>
      <w:numFmt w:val="lowerRoman"/>
      <w:start w:val="6"/>
    </w:lvl>
  </w:abstractNum>
  <w:abstractNum w:abstractNumId="43">
    <w:nsid w:val="39386575"/>
    <w:multiLevelType w:val="hybridMultilevel"/>
    <w:lvl w:ilvl="0">
      <w:lvlJc w:val="left"/>
      <w:lvlText w:val="(%1)"/>
      <w:numFmt w:val="lowerRoman"/>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lvl w:ilvl="1">
      <w:lvlJc w:val="left"/>
      <w:lvlText w:val="(%2)"/>
      <w:numFmt w:val="lowerLetter"/>
      <w:start w:val="35"/>
    </w:lvl>
  </w:abstractNum>
  <w:abstractNum w:abstractNumId="46">
    <w:nsid w:val="235BA861"/>
    <w:multiLevelType w:val="hybridMultilevel"/>
    <w:lvl w:ilvl="0">
      <w:lvlJc w:val="left"/>
      <w:lvlText w:val="(%1)"/>
      <w:numFmt w:val="lowerLetter"/>
      <w:start w:val="2"/>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2"/>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1."/>
      <w:numFmt w:val="decimal"/>
      <w:start w:val="5"/>
    </w:lvl>
  </w:abstractNum>
  <w:abstractNum w:abstractNumId="53">
    <w:nsid w:val="3F6AB60F"/>
    <w:multiLevelType w:val="hybridMultilevel"/>
    <w:lvl w:ilvl="0">
      <w:lvlJc w:val="left"/>
      <w:lvlText w:val="%1."/>
      <w:numFmt w:val="decimal"/>
      <w:start w:val="6"/>
    </w:lvl>
  </w:abstractNum>
  <w:abstractNum w:abstractNumId="54">
    <w:nsid w:val="61574095"/>
    <w:multiLevelType w:val="hybridMultilevel"/>
    <w:lvl w:ilvl="0">
      <w:lvlJc w:val="left"/>
      <w:lvlText w:val="1"/>
      <w:numFmt w:val="bullet"/>
      <w:start w:val="1"/>
    </w:lvl>
  </w:abstractNum>
  <w:abstractNum w:abstractNumId="55">
    <w:nsid w:val="7E0C57B1"/>
    <w:multiLevelType w:val="hybridMultilevel"/>
    <w:lvl w:ilvl="0">
      <w:lvlJc w:val="left"/>
      <w:lvlText w:val="1"/>
      <w:numFmt w:val="bullet"/>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2"/>
    </w:lvl>
  </w:abstractNum>
  <w:abstractNum w:abstractNumId="58">
    <w:nsid w:val="310C50B3"/>
    <w:multiLevelType w:val="hybridMultilevel"/>
    <w:lvl w:ilvl="0">
      <w:lvlJc w:val="left"/>
      <w:lvlText w:val="%1."/>
      <w:numFmt w:val="decimal"/>
      <w:start w:val="3"/>
    </w:lvl>
  </w:abstractNum>
  <w:abstractNum w:abstractNumId="59">
    <w:nsid w:val="5FF87E05"/>
    <w:multiLevelType w:val="hybridMultilevel"/>
    <w:lvl w:ilvl="0">
      <w:lvlJc w:val="left"/>
      <w:lvlText w:val="%1."/>
      <w:numFmt w:val="decimal"/>
      <w:start w:val="4"/>
    </w:lvl>
  </w:abstractNum>
  <w:abstractNum w:abstractNumId="60">
    <w:nsid w:val="2F305DEF"/>
    <w:multiLevelType w:val="hybridMultilevel"/>
    <w:lvl w:ilvl="0">
      <w:lvlJc w:val="left"/>
      <w:lvlText w:val="%1."/>
      <w:numFmt w:val="decimal"/>
      <w:start w:val="6"/>
    </w:lvl>
  </w:abstractNum>
  <w:abstractNum w:abstractNumId="61">
    <w:nsid w:val="25A70BF7"/>
    <w:multiLevelType w:val="hybridMultilevel"/>
    <w:lvl w:ilvl="0">
      <w:lvlJc w:val="left"/>
      <w:lvlText w:val="1"/>
      <w:numFmt w:val="bullet"/>
      <w:start w:val="1"/>
    </w:lvl>
  </w:abstractNum>
  <w:abstractNum w:abstractNumId="62">
    <w:nsid w:val="1DBABF00"/>
    <w:multiLevelType w:val="hybridMultilevel"/>
    <w:lvl w:ilvl="0">
      <w:lvlJc w:val="left"/>
      <w:lvlText w:val="1"/>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2"/>
    </w:lvl>
  </w:abstractNum>
  <w:abstractNum w:abstractNumId="65">
    <w:nsid w:val="1381823A"/>
    <w:multiLevelType w:val="hybridMultilevel"/>
    <w:lvl w:ilvl="0">
      <w:lvlJc w:val="left"/>
      <w:lvlText w:val="%1."/>
      <w:numFmt w:val="decimal"/>
      <w:start w:val="3"/>
    </w:lvl>
  </w:abstractNum>
  <w:abstractNum w:abstractNumId="66">
    <w:nsid w:val="5DB70AE5"/>
    <w:multiLevelType w:val="hybridMultilevel"/>
    <w:lvl w:ilvl="0">
      <w:lvlJc w:val="left"/>
      <w:lvlText w:val="%1."/>
      <w:numFmt w:val="decimal"/>
      <w:start w:val="4"/>
    </w:lvl>
  </w:abstractNum>
  <w:abstractNum w:abstractNumId="67">
    <w:nsid w:val="100F8FCA"/>
    <w:multiLevelType w:val="hybridMultilevel"/>
    <w:lvl w:ilvl="0">
      <w:lvlJc w:val="left"/>
      <w:lvlText w:val="%1."/>
      <w:numFmt w:val="decimal"/>
      <w:start w:val="6"/>
    </w:lvl>
  </w:abstractNum>
  <w:abstractNum w:abstractNumId="68">
    <w:nsid w:val="6590700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7" Type="http://schemas.openxmlformats.org/officeDocument/2006/relationships/hyperlink" Target="http://www.sec.gov/Archives/edgar/data/1467858/000146785814000133/ex42043014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2020-05-12T15:41:26Z</dcterms:created>
  <dcterms:modified xsi:type="dcterms:W3CDTF">2020-05-12T15:41:26Z</dcterms:modified>
</cp:coreProperties>
</file>