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87"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333"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February 1, 2012</w:t>
      </w:r>
    </w:p>
    <w:p>
      <w:pPr>
        <w:sectPr>
          <w:pgSz w:w="11900" w:h="16838" w:orient="portrait"/>
          <w:cols w:equalWidth="0" w:num="1">
            <w:col w:w="10219"/>
          </w:cols>
          <w:pgMar w:left="240" w:top="79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February 1, 2012, General Motors Company (GM) issued a news release announcing January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February 1,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180"/>
          </w:cols>
          <w:pgMar w:left="240" w:top="1013" w:right="4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Date: February 7, 2012</w:t>
            </w:r>
          </w:p>
        </w:tc>
        <w:tc>
          <w:tcPr>
            <w:tcW w:w="2160" w:type="dxa"/>
            <w:vAlign w:val="bottom"/>
            <w:vMerge w:val="restart"/>
          </w:tcPr>
          <w:p>
            <w:pPr>
              <w:ind w:left="156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4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298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319405</wp:posOffset>
            </wp:positionV>
            <wp:extent cx="3464560" cy="1003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6456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 Release: Wednesday, Feb. 1, 2012, 10 a.m. EST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U.S. Sales Down 6 percent in January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Chevrolet car sales up 13 percent on Strength of Cruze, Sonic</w:t>
      </w:r>
    </w:p>
    <w:p>
      <w:pPr>
        <w:spacing w:after="0" w:line="207" w:lineRule="exact"/>
        <w:rPr>
          <w:sz w:val="20"/>
          <w:szCs w:val="20"/>
          <w:color w:val="auto"/>
        </w:rPr>
      </w:pPr>
    </w:p>
    <w:p>
      <w:pPr>
        <w:ind w:right="120"/>
        <w:spacing w:after="0" w:line="272"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total sales of 167,962 vehicles in the United States in January, down</w:t>
      </w:r>
      <w:r>
        <w:rPr>
          <w:rFonts w:ascii="Arial" w:cs="Arial" w:eastAsia="Arial" w:hAnsi="Arial"/>
          <w:sz w:val="20"/>
          <w:szCs w:val="20"/>
          <w:b w:val="1"/>
          <w:bCs w:val="1"/>
          <w:color w:val="auto"/>
        </w:rPr>
        <w:t xml:space="preserve"> </w:t>
      </w:r>
      <w:r>
        <w:rPr>
          <w:rFonts w:ascii="Arial" w:cs="Arial" w:eastAsia="Arial" w:hAnsi="Arial"/>
          <w:sz w:val="20"/>
          <w:szCs w:val="20"/>
          <w:color w:val="auto"/>
        </w:rPr>
        <w:t>6 percent compared with a very strong January 2011.</w:t>
      </w:r>
    </w:p>
    <w:p>
      <w:pPr>
        <w:spacing w:after="0" w:line="178"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“Chevrolet drove our performance once again and sales of our fuel-efficient new cars were especially good,” and Don Johnson, vice president, U.S. Sales Operations. “The strength that the economy and the auto industry showed in the fourth quarter carried into January, so we believe the year is off to a good start.”</w:t>
      </w:r>
    </w:p>
    <w:p>
      <w:pPr>
        <w:spacing w:after="0" w:line="206" w:lineRule="exact"/>
        <w:rPr>
          <w:sz w:val="20"/>
          <w:szCs w:val="20"/>
          <w:color w:val="auto"/>
        </w:rPr>
      </w:pPr>
    </w:p>
    <w:p>
      <w:pPr>
        <w:jc w:val="both"/>
        <w:ind w:right="100"/>
        <w:spacing w:after="0" w:line="243" w:lineRule="auto"/>
        <w:rPr>
          <w:sz w:val="20"/>
          <w:szCs w:val="20"/>
          <w:color w:val="auto"/>
        </w:rPr>
      </w:pPr>
      <w:r>
        <w:rPr>
          <w:rFonts w:ascii="Arial" w:cs="Arial" w:eastAsia="Arial" w:hAnsi="Arial"/>
          <w:sz w:val="20"/>
          <w:szCs w:val="20"/>
          <w:color w:val="auto"/>
        </w:rPr>
        <w:t>Chevrolet passenger car sales increased 13 percent. GM's total passenger car sales increased 3 percent in January, led by a 30 percent increase in sales of fuel -efficient small and compact cars, which include the new Chevrolet Sonic, the consistently strong-selling Chevrolet Cruze and the new Buick Verano.</w:t>
      </w:r>
    </w:p>
    <w:p>
      <w:pPr>
        <w:spacing w:after="0" w:line="206" w:lineRule="exact"/>
        <w:rPr>
          <w:sz w:val="20"/>
          <w:szCs w:val="20"/>
          <w:color w:val="auto"/>
        </w:rPr>
      </w:pPr>
    </w:p>
    <w:p>
      <w:pPr>
        <w:ind w:right="640"/>
        <w:spacing w:after="0" w:line="247" w:lineRule="auto"/>
        <w:rPr>
          <w:sz w:val="20"/>
          <w:szCs w:val="20"/>
          <w:color w:val="auto"/>
        </w:rPr>
      </w:pPr>
      <w:r>
        <w:rPr>
          <w:rFonts w:ascii="Arial" w:cs="Arial" w:eastAsia="Arial" w:hAnsi="Arial"/>
          <w:sz w:val="20"/>
          <w:szCs w:val="20"/>
          <w:color w:val="auto"/>
        </w:rPr>
        <w:t>In addition, the Buick LaCrosse, which now offers the 36-mpg highway eAssist powertrain as standard equipment, posted a 6 percent year-over-year increase, and the Chevrolet Camaro was up 20 percent.</w:t>
      </w:r>
    </w:p>
    <w:p>
      <w:pPr>
        <w:spacing w:after="0" w:line="202" w:lineRule="exact"/>
        <w:rPr>
          <w:sz w:val="20"/>
          <w:szCs w:val="20"/>
          <w:color w:val="auto"/>
        </w:rPr>
      </w:pPr>
    </w:p>
    <w:p>
      <w:pPr>
        <w:ind w:right="600"/>
        <w:spacing w:after="0" w:line="247" w:lineRule="auto"/>
        <w:rPr>
          <w:sz w:val="20"/>
          <w:szCs w:val="20"/>
          <w:color w:val="auto"/>
        </w:rPr>
      </w:pPr>
      <w:r>
        <w:rPr>
          <w:rFonts w:ascii="Arial" w:cs="Arial" w:eastAsia="Arial" w:hAnsi="Arial"/>
          <w:sz w:val="20"/>
          <w:szCs w:val="20"/>
          <w:color w:val="auto"/>
        </w:rPr>
        <w:t>GM's crossover sales decreased 18 percent and sales of trucks, which include full-size pickups, vans and SUVs, decreased 6 percent.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Retail deliveries declined 15 percent compared with the same month a year ago and accounted for 70 percent of GM sales.</w:t>
      </w:r>
    </w:p>
    <w:p>
      <w:pPr>
        <w:spacing w:after="0" w:line="200" w:lineRule="exact"/>
        <w:rPr>
          <w:sz w:val="20"/>
          <w:szCs w:val="20"/>
          <w:color w:val="auto"/>
        </w:rPr>
      </w:pPr>
    </w:p>
    <w:p>
      <w:pPr>
        <w:spacing w:after="0" w:line="350" w:lineRule="exact"/>
        <w:rPr>
          <w:sz w:val="20"/>
          <w:szCs w:val="20"/>
          <w:color w:val="auto"/>
        </w:rPr>
      </w:pPr>
    </w:p>
    <w:tbl>
      <w:tblPr>
        <w:tblLayout w:type="fixed"/>
        <w:tblInd w:w="1970" w:type="dxa"/>
        <w:tblCellMar>
          <w:top w:w="0" w:type="dxa"/>
          <w:left w:w="0" w:type="dxa"/>
          <w:bottom w:w="0" w:type="dxa"/>
          <w:right w:w="0" w:type="dxa"/>
        </w:tblCellMar>
      </w:tblPr>
      <w:tr>
        <w:trPr>
          <w:trHeight w:val="170"/>
        </w:trPr>
        <w:tc>
          <w:tcPr>
            <w:tcW w:w="16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93"/>
              </w:rPr>
              <w:t>Highlights</w:t>
            </w:r>
          </w:p>
        </w:tc>
        <w:tc>
          <w:tcPr>
            <w:tcW w:w="1300" w:type="dxa"/>
            <w:vAlign w:val="bottom"/>
            <w:tcBorders>
              <w:top w:val="single" w:sz="8" w:color="auto"/>
              <w:right w:val="single" w:sz="8" w:color="auto"/>
            </w:tcBorders>
          </w:tcPr>
          <w:p>
            <w:pPr>
              <w:jc w:val="right"/>
              <w:ind w:right="142"/>
              <w:spacing w:after="0"/>
              <w:rPr>
                <w:sz w:val="20"/>
                <w:szCs w:val="20"/>
                <w:color w:val="auto"/>
              </w:rPr>
            </w:pPr>
            <w:r>
              <w:rPr>
                <w:rFonts w:ascii="Arial" w:cs="Arial" w:eastAsia="Arial" w:hAnsi="Arial"/>
                <w:sz w:val="14"/>
                <w:szCs w:val="14"/>
                <w:b w:val="1"/>
                <w:bCs w:val="1"/>
                <w:i w:val="1"/>
                <w:iCs w:val="1"/>
                <w:color w:val="auto"/>
              </w:rPr>
              <w:t>Jan. 2012 Total</w:t>
            </w:r>
          </w:p>
        </w:tc>
        <w:tc>
          <w:tcPr>
            <w:tcW w:w="1280" w:type="dxa"/>
            <w:vAlign w:val="bottom"/>
            <w:tcBorders>
              <w:top w:val="single" w:sz="8" w:color="auto"/>
              <w:right w:val="single" w:sz="8" w:color="auto"/>
            </w:tcBorders>
          </w:tcPr>
          <w:p>
            <w:pPr>
              <w:jc w:val="right"/>
              <w:ind w:right="102"/>
              <w:spacing w:after="0"/>
              <w:rPr>
                <w:sz w:val="20"/>
                <w:szCs w:val="20"/>
                <w:color w:val="auto"/>
              </w:rPr>
            </w:pPr>
            <w:r>
              <w:rPr>
                <w:rFonts w:ascii="Arial" w:cs="Arial" w:eastAsia="Arial" w:hAnsi="Arial"/>
                <w:sz w:val="14"/>
                <w:szCs w:val="14"/>
                <w:b w:val="1"/>
                <w:bCs w:val="1"/>
                <w:i w:val="1"/>
                <w:iCs w:val="1"/>
                <w:color w:val="auto"/>
                <w:w w:val="96"/>
              </w:rPr>
              <w:t>Total Change vs.</w:t>
            </w:r>
          </w:p>
        </w:tc>
        <w:tc>
          <w:tcPr>
            <w:tcW w:w="1560" w:type="dxa"/>
            <w:vAlign w:val="bottom"/>
            <w:tcBorders>
              <w:top w:val="single" w:sz="8" w:color="auto"/>
              <w:right w:val="single" w:sz="8" w:color="auto"/>
            </w:tcBorders>
          </w:tcPr>
          <w:p>
            <w:pPr>
              <w:jc w:val="right"/>
              <w:ind w:right="62"/>
              <w:spacing w:after="0"/>
              <w:rPr>
                <w:sz w:val="20"/>
                <w:szCs w:val="20"/>
                <w:color w:val="auto"/>
              </w:rPr>
            </w:pPr>
            <w:r>
              <w:rPr>
                <w:rFonts w:ascii="Arial" w:cs="Arial" w:eastAsia="Arial" w:hAnsi="Arial"/>
                <w:sz w:val="14"/>
                <w:szCs w:val="14"/>
                <w:b w:val="1"/>
                <w:bCs w:val="1"/>
                <w:i w:val="1"/>
                <w:iCs w:val="1"/>
                <w:color w:val="auto"/>
                <w:w w:val="96"/>
              </w:rPr>
              <w:t>Jan. 2012 Retail Sales</w:t>
            </w:r>
          </w:p>
        </w:tc>
        <w:tc>
          <w:tcPr>
            <w:tcW w:w="1720" w:type="dxa"/>
            <w:vAlign w:val="bottom"/>
            <w:tcBorders>
              <w:top w:val="single" w:sz="8" w:color="auto"/>
              <w:right w:val="single" w:sz="8" w:color="auto"/>
            </w:tcBorders>
          </w:tcPr>
          <w:p>
            <w:pPr>
              <w:jc w:val="right"/>
              <w:ind w:right="142"/>
              <w:spacing w:after="0"/>
              <w:rPr>
                <w:sz w:val="20"/>
                <w:szCs w:val="20"/>
                <w:color w:val="auto"/>
              </w:rPr>
            </w:pPr>
            <w:r>
              <w:rPr>
                <w:rFonts w:ascii="Arial" w:cs="Arial" w:eastAsia="Arial" w:hAnsi="Arial"/>
                <w:sz w:val="14"/>
                <w:szCs w:val="14"/>
                <w:b w:val="1"/>
                <w:bCs w:val="1"/>
                <w:i w:val="1"/>
                <w:iCs w:val="1"/>
                <w:color w:val="auto"/>
              </w:rPr>
              <w:t>Jan. 2012 Retail Sales</w:t>
            </w:r>
          </w:p>
        </w:tc>
        <w:tc>
          <w:tcPr>
            <w:tcW w:w="0" w:type="dxa"/>
            <w:vAlign w:val="bottom"/>
          </w:tcPr>
          <w:p>
            <w:pPr>
              <w:spacing w:after="0"/>
              <w:rPr>
                <w:sz w:val="1"/>
                <w:szCs w:val="1"/>
                <w:color w:val="auto"/>
              </w:rPr>
            </w:pPr>
          </w:p>
        </w:tc>
      </w:tr>
      <w:tr>
        <w:trPr>
          <w:trHeight w:val="101"/>
        </w:trPr>
        <w:tc>
          <w:tcPr>
            <w:tcW w:w="1680" w:type="dxa"/>
            <w:vAlign w:val="bottom"/>
            <w:tcBorders>
              <w:left w:val="single" w:sz="8" w:color="auto"/>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right"/>
              <w:ind w:right="442"/>
              <w:spacing w:after="0"/>
              <w:rPr>
                <w:sz w:val="20"/>
                <w:szCs w:val="20"/>
                <w:color w:val="auto"/>
              </w:rPr>
            </w:pPr>
            <w:r>
              <w:rPr>
                <w:rFonts w:ascii="Arial" w:cs="Arial" w:eastAsia="Arial" w:hAnsi="Arial"/>
                <w:sz w:val="14"/>
                <w:szCs w:val="14"/>
                <w:b w:val="1"/>
                <w:bCs w:val="1"/>
                <w:i w:val="1"/>
                <w:iCs w:val="1"/>
                <w:color w:val="auto"/>
              </w:rPr>
              <w:t>Sales</w:t>
            </w:r>
          </w:p>
        </w:tc>
        <w:tc>
          <w:tcPr>
            <w:tcW w:w="1280" w:type="dxa"/>
            <w:vAlign w:val="bottom"/>
            <w:tcBorders>
              <w:right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i w:val="1"/>
                <w:iCs w:val="1"/>
                <w:color w:val="auto"/>
              </w:rPr>
              <w:t>Jan. 2011</w:t>
            </w:r>
          </w:p>
        </w:tc>
        <w:tc>
          <w:tcPr>
            <w:tcW w:w="1560" w:type="dxa"/>
            <w:vAlign w:val="bottom"/>
            <w:tcBorders>
              <w:right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i w:val="1"/>
                <w:iCs w:val="1"/>
                <w:color w:val="auto"/>
              </w:rPr>
              <w:t>vs. Jan. 2011</w:t>
            </w:r>
          </w:p>
        </w:tc>
        <w:tc>
          <w:tcPr>
            <w:tcW w:w="1720" w:type="dxa"/>
            <w:vAlign w:val="bottom"/>
            <w:tcBorders>
              <w:right w:val="single" w:sz="8" w:color="auto"/>
            </w:tcBorders>
            <w:vMerge w:val="restart"/>
          </w:tcPr>
          <w:p>
            <w:pPr>
              <w:jc w:val="right"/>
              <w:ind w:right="162"/>
              <w:spacing w:after="0"/>
              <w:rPr>
                <w:sz w:val="20"/>
                <w:szCs w:val="20"/>
                <w:color w:val="auto"/>
              </w:rPr>
            </w:pPr>
            <w:r>
              <w:rPr>
                <w:rFonts w:ascii="Arial" w:cs="Arial" w:eastAsia="Arial" w:hAnsi="Arial"/>
                <w:sz w:val="14"/>
                <w:szCs w:val="14"/>
                <w:b w:val="1"/>
                <w:bCs w:val="1"/>
                <w:i w:val="1"/>
                <w:iCs w:val="1"/>
                <w:color w:val="auto"/>
              </w:rPr>
              <w:t>Change vs. Jan. 2011</w:t>
            </w:r>
          </w:p>
        </w:tc>
        <w:tc>
          <w:tcPr>
            <w:tcW w:w="0" w:type="dxa"/>
            <w:vAlign w:val="bottom"/>
          </w:tcPr>
          <w:p>
            <w:pPr>
              <w:spacing w:after="0"/>
              <w:rPr>
                <w:sz w:val="1"/>
                <w:szCs w:val="1"/>
                <w:color w:val="auto"/>
              </w:rPr>
            </w:pPr>
          </w:p>
        </w:tc>
      </w:tr>
      <w:tr>
        <w:trPr>
          <w:trHeight w:val="87"/>
        </w:trPr>
        <w:tc>
          <w:tcPr>
            <w:tcW w:w="1680" w:type="dxa"/>
            <w:vAlign w:val="bottom"/>
            <w:tcBorders>
              <w:left w:val="single" w:sz="8" w:color="auto"/>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vMerge w:val="continue"/>
          </w:tcPr>
          <w:p>
            <w:pPr>
              <w:spacing w:after="0"/>
              <w:rPr>
                <w:sz w:val="7"/>
                <w:szCs w:val="7"/>
                <w:color w:val="auto"/>
              </w:rPr>
            </w:pPr>
          </w:p>
        </w:tc>
        <w:tc>
          <w:tcPr>
            <w:tcW w:w="1280" w:type="dxa"/>
            <w:vAlign w:val="bottom"/>
            <w:tcBorders>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vMerge w:val="continue"/>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3"/>
              </w:rPr>
              <w:t>Chevrolet</w:t>
            </w:r>
          </w:p>
        </w:tc>
        <w:tc>
          <w:tcPr>
            <w:tcW w:w="130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color w:val="auto"/>
              </w:rPr>
              <w:t>123,864</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5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78,189</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6"/>
              </w:rPr>
              <w:t>GMC</w:t>
            </w:r>
          </w:p>
        </w:tc>
        <w:tc>
          <w:tcPr>
            <w:tcW w:w="130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color w:val="auto"/>
              </w:rPr>
              <w:t>24,966</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5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21,649</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Buick</w:t>
            </w:r>
          </w:p>
        </w:tc>
        <w:tc>
          <w:tcPr>
            <w:tcW w:w="130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color w:val="auto"/>
              </w:rPr>
              <w:t>10,208</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5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9,521</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i w:val="1"/>
                <w:iCs w:val="1"/>
                <w:color w:val="auto"/>
                <w:w w:val="98"/>
              </w:rPr>
              <w:t>Cadillac</w:t>
            </w:r>
          </w:p>
        </w:tc>
        <w:tc>
          <w:tcPr>
            <w:tcW w:w="130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color w:val="auto"/>
              </w:rPr>
              <w:t>8,924</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5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8,373</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Total GM</w:t>
            </w:r>
          </w:p>
        </w:tc>
        <w:tc>
          <w:tcPr>
            <w:tcW w:w="130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color w:val="auto"/>
              </w:rPr>
              <w:t>167,962</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56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117,732</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“In 2012, we will strengthen our position with more new products, an even better dealership experience</w:t>
      </w:r>
    </w:p>
    <w:p>
      <w:pPr>
        <w:sectPr>
          <w:pgSz w:w="11900" w:h="16838" w:orient="portrait"/>
          <w:cols w:equalWidth="0" w:num="1">
            <w:col w:w="11420"/>
          </w:cols>
          <w:pgMar w:left="240" w:top="234" w:right="23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and reinforce the disciplined 'go to market' strategy that helped us grow profitably in the United States in 2011,” said Johnson.</w:t>
      </w:r>
    </w:p>
    <w:p>
      <w:pPr>
        <w:spacing w:after="0" w:line="216"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GM has an aggressive new product plan for 2012: Production of the new 2013 Buick Verano is ramping up. In January, the company began production of the 37-mpg 2013 Chevrolet Malibu Eco, with four-cylinder and turbo powertrains launching in the summer, about the same time the new 2013 Chevrolet Spark arrives in showrooms.</w:t>
      </w:r>
    </w:p>
    <w:p>
      <w:pPr>
        <w:spacing w:after="0" w:line="220" w:lineRule="exact"/>
        <w:rPr>
          <w:sz w:val="20"/>
          <w:szCs w:val="20"/>
          <w:color w:val="auto"/>
        </w:rPr>
      </w:pPr>
    </w:p>
    <w:p>
      <w:pPr>
        <w:ind w:right="400"/>
        <w:spacing w:after="0" w:line="247" w:lineRule="auto"/>
        <w:rPr>
          <w:sz w:val="20"/>
          <w:szCs w:val="20"/>
          <w:color w:val="auto"/>
        </w:rPr>
      </w:pPr>
      <w:r>
        <w:rPr>
          <w:rFonts w:ascii="Arial" w:cs="Arial" w:eastAsia="Arial" w:hAnsi="Arial"/>
          <w:sz w:val="20"/>
          <w:szCs w:val="20"/>
          <w:color w:val="auto"/>
        </w:rPr>
        <w:t>In late spring, Cadillac will launch its new XTS large sedan and in late summer, its new ATS luxury sports sedan. Late in 2012, Buick will launch the new Encore crossover, which made its debut at the North American International Auto Show.</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At the Chicago Auto Show, GMC will introduce a new Acadia, which will go into production in late 2012. Other new products will be announced at major U.S. auto shows and other events throughout the year.</w:t>
      </w:r>
    </w:p>
    <w:p>
      <w:pPr>
        <w:spacing w:after="0" w:line="200" w:lineRule="exact"/>
        <w:rPr>
          <w:sz w:val="20"/>
          <w:szCs w:val="20"/>
          <w:color w:val="auto"/>
        </w:rPr>
      </w:pPr>
    </w:p>
    <w:p>
      <w:pPr>
        <w:spacing w:after="0" w:line="337" w:lineRule="exact"/>
        <w:rPr>
          <w:sz w:val="20"/>
          <w:szCs w:val="20"/>
          <w:color w:val="auto"/>
        </w:rPr>
      </w:pPr>
    </w:p>
    <w:tbl>
      <w:tblPr>
        <w:tblLayout w:type="fixed"/>
        <w:tblInd w:w="1350" w:type="dxa"/>
        <w:tblCellMar>
          <w:top w:w="0" w:type="dxa"/>
          <w:left w:w="0" w:type="dxa"/>
          <w:bottom w:w="0" w:type="dxa"/>
          <w:right w:w="0" w:type="dxa"/>
        </w:tblCellMar>
      </w:tblPr>
      <w:tr>
        <w:trPr>
          <w:trHeight w:val="229"/>
        </w:trPr>
        <w:tc>
          <w:tcPr>
            <w:tcW w:w="460" w:type="dxa"/>
            <w:vAlign w:val="bottom"/>
            <w:tcBorders>
              <w:top w:val="single" w:sz="8" w:color="auto"/>
              <w:left w:val="single" w:sz="8" w:color="auto"/>
            </w:tcBorders>
          </w:tcPr>
          <w:p>
            <w:pPr>
              <w:spacing w:after="0"/>
              <w:rPr>
                <w:sz w:val="19"/>
                <w:szCs w:val="19"/>
                <w:color w:val="auto"/>
              </w:rPr>
            </w:pPr>
          </w:p>
        </w:tc>
        <w:tc>
          <w:tcPr>
            <w:tcW w:w="1400" w:type="dxa"/>
            <w:vAlign w:val="bottom"/>
            <w:tcBorders>
              <w:top w:val="single" w:sz="8" w:color="auto"/>
              <w:right w:val="single" w:sz="8" w:color="auto"/>
            </w:tcBorders>
            <w:vMerge w:val="restart"/>
          </w:tcPr>
          <w:p>
            <w:pPr>
              <w:jc w:val="center"/>
              <w:ind w:right="399"/>
              <w:spacing w:after="0"/>
              <w:rPr>
                <w:sz w:val="20"/>
                <w:szCs w:val="20"/>
                <w:color w:val="auto"/>
              </w:rPr>
            </w:pPr>
            <w:r>
              <w:rPr>
                <w:rFonts w:ascii="Arial" w:cs="Arial" w:eastAsia="Arial" w:hAnsi="Arial"/>
                <w:sz w:val="16"/>
                <w:szCs w:val="16"/>
                <w:b w:val="1"/>
                <w:bCs w:val="1"/>
                <w:i w:val="1"/>
                <w:iCs w:val="1"/>
                <w:color w:val="auto"/>
                <w:w w:val="88"/>
              </w:rPr>
              <w:t>Inventory</w:t>
            </w: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right w:val="single" w:sz="8" w:color="auto"/>
            </w:tcBorders>
            <w:gridSpan w:val="2"/>
          </w:tcPr>
          <w:p>
            <w:pPr>
              <w:jc w:val="center"/>
              <w:ind w:right="159"/>
              <w:spacing w:after="0"/>
              <w:rPr>
                <w:sz w:val="20"/>
                <w:szCs w:val="20"/>
                <w:color w:val="auto"/>
              </w:rPr>
            </w:pPr>
            <w:r>
              <w:rPr>
                <w:rFonts w:ascii="Arial" w:cs="Arial" w:eastAsia="Arial" w:hAnsi="Arial"/>
                <w:sz w:val="16"/>
                <w:szCs w:val="16"/>
                <w:b w:val="1"/>
                <w:bCs w:val="1"/>
                <w:color w:val="auto"/>
              </w:rPr>
              <w:t>Units @</w:t>
            </w:r>
          </w:p>
        </w:tc>
        <w:tc>
          <w:tcPr>
            <w:tcW w:w="60" w:type="dxa"/>
            <w:vAlign w:val="bottom"/>
            <w:tcBorders>
              <w:top w:val="single" w:sz="8" w:color="auto"/>
            </w:tcBorders>
          </w:tcPr>
          <w:p>
            <w:pPr>
              <w:spacing w:after="0"/>
              <w:rPr>
                <w:sz w:val="19"/>
                <w:szCs w:val="19"/>
                <w:color w:val="auto"/>
              </w:rPr>
            </w:pPr>
          </w:p>
        </w:tc>
        <w:tc>
          <w:tcPr>
            <w:tcW w:w="1600" w:type="dxa"/>
            <w:vAlign w:val="bottom"/>
            <w:tcBorders>
              <w:top w:val="single" w:sz="8" w:color="auto"/>
              <w:right w:val="single" w:sz="8" w:color="auto"/>
            </w:tcBorders>
            <w:gridSpan w:val="3"/>
          </w:tcPr>
          <w:p>
            <w:pPr>
              <w:jc w:val="center"/>
              <w:ind w:right="39"/>
              <w:spacing w:after="0"/>
              <w:rPr>
                <w:sz w:val="20"/>
                <w:szCs w:val="20"/>
                <w:color w:val="auto"/>
              </w:rPr>
            </w:pPr>
            <w:r>
              <w:rPr>
                <w:rFonts w:ascii="Arial" w:cs="Arial" w:eastAsia="Arial" w:hAnsi="Arial"/>
                <w:sz w:val="16"/>
                <w:szCs w:val="16"/>
                <w:b w:val="1"/>
                <w:bCs w:val="1"/>
                <w:color w:val="auto"/>
                <w:w w:val="89"/>
              </w:rPr>
              <w:t>Days Supply (selling</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9"/>
              </w:rPr>
              <w:t>Units @</w:t>
            </w:r>
          </w:p>
        </w:tc>
        <w:tc>
          <w:tcPr>
            <w:tcW w:w="240" w:type="dxa"/>
            <w:vAlign w:val="bottom"/>
            <w:tcBorders>
              <w:top w:val="single" w:sz="8" w:color="auto"/>
              <w:right w:val="single" w:sz="8" w:color="auto"/>
            </w:tcBorders>
          </w:tcPr>
          <w:p>
            <w:pPr>
              <w:spacing w:after="0"/>
              <w:rPr>
                <w:sz w:val="19"/>
                <w:szCs w:val="19"/>
                <w:color w:val="auto"/>
              </w:rPr>
            </w:pPr>
          </w:p>
        </w:tc>
        <w:tc>
          <w:tcPr>
            <w:tcW w:w="182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9"/>
              </w:rPr>
              <w:t>Days Supply (selling days</w:t>
            </w:r>
          </w:p>
        </w:tc>
        <w:tc>
          <w:tcPr>
            <w:tcW w:w="0" w:type="dxa"/>
            <w:vAlign w:val="bottom"/>
          </w:tcPr>
          <w:p>
            <w:pPr>
              <w:spacing w:after="0"/>
              <w:rPr>
                <w:sz w:val="1"/>
                <w:szCs w:val="1"/>
                <w:color w:val="auto"/>
              </w:rPr>
            </w:pPr>
          </w:p>
        </w:tc>
      </w:tr>
      <w:tr>
        <w:trPr>
          <w:trHeight w:val="102"/>
        </w:trPr>
        <w:tc>
          <w:tcPr>
            <w:tcW w:w="460" w:type="dxa"/>
            <w:vAlign w:val="bottom"/>
            <w:tcBorders>
              <w:left w:val="single" w:sz="8" w:color="auto"/>
            </w:tcBorders>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Borders>
              <w:right w:val="single" w:sz="8" w:color="auto"/>
            </w:tcBorders>
            <w:gridSpan w:val="2"/>
            <w:vMerge w:val="restart"/>
          </w:tcPr>
          <w:p>
            <w:pPr>
              <w:jc w:val="center"/>
              <w:ind w:right="159"/>
              <w:spacing w:after="0"/>
              <w:rPr>
                <w:sz w:val="20"/>
                <w:szCs w:val="20"/>
                <w:color w:val="auto"/>
              </w:rPr>
            </w:pPr>
            <w:r>
              <w:rPr>
                <w:rFonts w:ascii="Arial" w:cs="Arial" w:eastAsia="Arial" w:hAnsi="Arial"/>
                <w:sz w:val="16"/>
                <w:szCs w:val="16"/>
                <w:b w:val="1"/>
                <w:bCs w:val="1"/>
                <w:color w:val="auto"/>
              </w:rPr>
              <w:t>Dec. 31, 2011</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Borders>
              <w:right w:val="single" w:sz="8" w:color="auto"/>
            </w:tcBorders>
            <w:gridSpan w:val="2"/>
            <w:vMerge w:val="restart"/>
          </w:tcPr>
          <w:p>
            <w:pPr>
              <w:jc w:val="center"/>
              <w:ind w:right="219"/>
              <w:spacing w:after="0"/>
              <w:rPr>
                <w:sz w:val="20"/>
                <w:szCs w:val="20"/>
                <w:color w:val="auto"/>
              </w:rPr>
            </w:pPr>
            <w:r>
              <w:rPr>
                <w:rFonts w:ascii="Arial" w:cs="Arial" w:eastAsia="Arial" w:hAnsi="Arial"/>
                <w:sz w:val="16"/>
                <w:szCs w:val="16"/>
                <w:b w:val="1"/>
                <w:bCs w:val="1"/>
                <w:color w:val="auto"/>
                <w:w w:val="89"/>
              </w:rPr>
              <w:t>days adjusted)</w:t>
            </w:r>
          </w:p>
        </w:tc>
        <w:tc>
          <w:tcPr>
            <w:tcW w:w="160" w:type="dxa"/>
            <w:vAlign w:val="bottom"/>
          </w:tcPr>
          <w:p>
            <w:pPr>
              <w:spacing w:after="0"/>
              <w:rPr>
                <w:sz w:val="8"/>
                <w:szCs w:val="8"/>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Jan. 31, 2012</w:t>
            </w:r>
          </w:p>
        </w:tc>
        <w:tc>
          <w:tcPr>
            <w:tcW w:w="2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92"/>
              </w:rPr>
              <w:t>adjusted)</w:t>
            </w:r>
          </w:p>
        </w:tc>
        <w:tc>
          <w:tcPr>
            <w:tcW w:w="0" w:type="dxa"/>
            <w:vAlign w:val="bottom"/>
          </w:tcPr>
          <w:p>
            <w:pPr>
              <w:spacing w:after="0"/>
              <w:rPr>
                <w:sz w:val="1"/>
                <w:szCs w:val="1"/>
                <w:color w:val="auto"/>
              </w:rPr>
            </w:pPr>
          </w:p>
        </w:tc>
      </w:tr>
      <w:tr>
        <w:trPr>
          <w:trHeight w:val="135"/>
        </w:trPr>
        <w:tc>
          <w:tcPr>
            <w:tcW w:w="46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80" w:type="dxa"/>
            <w:vAlign w:val="bottom"/>
            <w:tcBorders>
              <w:bottom w:val="single" w:sz="8" w:color="auto"/>
              <w:right w:val="single" w:sz="8" w:color="auto"/>
            </w:tcBorders>
            <w:gridSpan w:val="2"/>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right w:val="single" w:sz="8" w:color="auto"/>
            </w:tcBorders>
            <w:gridSpan w:val="2"/>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vMerge w:val="continue"/>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1400" w:type="dxa"/>
            <w:vAlign w:val="bottom"/>
            <w:tcBorders>
              <w:right w:val="single" w:sz="8" w:color="auto"/>
            </w:tcBorders>
          </w:tcPr>
          <w:p>
            <w:pPr>
              <w:jc w:val="center"/>
              <w:ind w:right="399"/>
              <w:spacing w:after="0"/>
              <w:rPr>
                <w:sz w:val="20"/>
                <w:szCs w:val="20"/>
                <w:color w:val="auto"/>
              </w:rPr>
            </w:pPr>
            <w:r>
              <w:rPr>
                <w:rFonts w:ascii="Arial" w:cs="Arial" w:eastAsia="Arial" w:hAnsi="Arial"/>
                <w:sz w:val="16"/>
                <w:szCs w:val="16"/>
                <w:i w:val="1"/>
                <w:iCs w:val="1"/>
                <w:color w:val="auto"/>
                <w:w w:val="91"/>
              </w:rPr>
              <w:t>All Vehicles</w:t>
            </w:r>
          </w:p>
        </w:tc>
        <w:tc>
          <w:tcPr>
            <w:tcW w:w="20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179"/>
              <w:spacing w:after="0"/>
              <w:rPr>
                <w:sz w:val="20"/>
                <w:szCs w:val="20"/>
                <w:color w:val="auto"/>
              </w:rPr>
            </w:pPr>
            <w:r>
              <w:rPr>
                <w:rFonts w:ascii="Arial" w:cs="Arial" w:eastAsia="Arial" w:hAnsi="Arial"/>
                <w:sz w:val="16"/>
                <w:szCs w:val="16"/>
                <w:color w:val="auto"/>
                <w:w w:val="89"/>
              </w:rPr>
              <w:t>583,407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219"/>
              <w:spacing w:after="0"/>
              <w:rPr>
                <w:sz w:val="20"/>
                <w:szCs w:val="20"/>
                <w:color w:val="auto"/>
              </w:rPr>
            </w:pPr>
            <w:r>
              <w:rPr>
                <w:rFonts w:ascii="Arial" w:cs="Arial" w:eastAsia="Arial" w:hAnsi="Arial"/>
                <w:sz w:val="16"/>
                <w:szCs w:val="16"/>
                <w:color w:val="auto"/>
                <w:w w:val="89"/>
              </w:rPr>
              <w:t>67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color w:val="auto"/>
                <w:w w:val="89"/>
              </w:rPr>
              <w:t>619,455</w:t>
            </w:r>
          </w:p>
        </w:tc>
        <w:tc>
          <w:tcPr>
            <w:tcW w:w="240" w:type="dxa"/>
            <w:vAlign w:val="bottom"/>
            <w:tcBorders>
              <w:right w:val="single" w:sz="8" w:color="auto"/>
            </w:tcBorders>
          </w:tcPr>
          <w:p>
            <w:pPr>
              <w:spacing w:after="0"/>
              <w:rPr>
                <w:sz w:val="19"/>
                <w:szCs w:val="19"/>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89</w:t>
            </w:r>
          </w:p>
        </w:tc>
        <w:tc>
          <w:tcPr>
            <w:tcW w:w="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Borders>
              <w:left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3"/>
              </w:rPr>
              <w:t>Full-size Pickups</w:t>
            </w:r>
          </w:p>
        </w:tc>
        <w:tc>
          <w:tcPr>
            <w:tcW w:w="2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179"/>
              <w:spacing w:after="0"/>
              <w:rPr>
                <w:sz w:val="20"/>
                <w:szCs w:val="20"/>
                <w:color w:val="auto"/>
              </w:rPr>
            </w:pPr>
            <w:r>
              <w:rPr>
                <w:rFonts w:ascii="Arial" w:cs="Arial" w:eastAsia="Arial" w:hAnsi="Arial"/>
                <w:sz w:val="16"/>
                <w:szCs w:val="16"/>
                <w:color w:val="auto"/>
                <w:w w:val="89"/>
              </w:rPr>
              <w:t>181,070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gridSpan w:val="2"/>
          </w:tcPr>
          <w:p>
            <w:pPr>
              <w:jc w:val="center"/>
              <w:ind w:right="219"/>
              <w:spacing w:after="0"/>
              <w:rPr>
                <w:sz w:val="20"/>
                <w:szCs w:val="20"/>
                <w:color w:val="auto"/>
              </w:rPr>
            </w:pPr>
            <w:r>
              <w:rPr>
                <w:rFonts w:ascii="Arial" w:cs="Arial" w:eastAsia="Arial" w:hAnsi="Arial"/>
                <w:sz w:val="16"/>
                <w:szCs w:val="16"/>
                <w:color w:val="auto"/>
                <w:w w:val="89"/>
              </w:rPr>
              <w:t>73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color w:val="auto"/>
                <w:w w:val="89"/>
              </w:rPr>
              <w:t>188,568</w:t>
            </w:r>
          </w:p>
        </w:tc>
        <w:tc>
          <w:tcPr>
            <w:tcW w:w="240" w:type="dxa"/>
            <w:vAlign w:val="bottom"/>
            <w:tcBorders>
              <w:right w:val="single" w:sz="8" w:color="auto"/>
            </w:tcBorders>
          </w:tcPr>
          <w:p>
            <w:pPr>
              <w:spacing w:after="0"/>
              <w:rPr>
                <w:sz w:val="18"/>
                <w:szCs w:val="18"/>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119</w:t>
            </w: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 w:type="dxa"/>
            <w:vAlign w:val="bottom"/>
            <w:tcBorders>
              <w:left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0" w:type="dxa"/>
            <w:vAlign w:val="bottom"/>
            <w:tcBorders>
              <w:right w:val="single" w:sz="8" w:color="auto"/>
            </w:tcBorders>
          </w:tcPr>
          <w:p>
            <w:pPr>
              <w:spacing w:after="0"/>
              <w:rPr>
                <w:sz w:val="16"/>
                <w:szCs w:val="16"/>
                <w:color w:val="auto"/>
              </w:rPr>
            </w:pPr>
          </w:p>
        </w:tc>
        <w:tc>
          <w:tcPr>
            <w:tcW w:w="1600" w:type="dxa"/>
            <w:vAlign w:val="bottom"/>
            <w:tcBorders>
              <w:top w:val="single" w:sz="8" w:color="auto"/>
            </w:tcBorders>
            <w:gridSpan w:val="2"/>
            <w:vMerge w:val="restart"/>
          </w:tcPr>
          <w:p>
            <w:pPr>
              <w:jc w:val="center"/>
              <w:ind w:left="259"/>
              <w:spacing w:after="0"/>
              <w:rPr>
                <w:sz w:val="20"/>
                <w:szCs w:val="20"/>
                <w:color w:val="auto"/>
              </w:rPr>
            </w:pPr>
            <w:r>
              <w:rPr>
                <w:rFonts w:ascii="Arial" w:cs="Arial" w:eastAsia="Arial" w:hAnsi="Arial"/>
                <w:sz w:val="16"/>
                <w:szCs w:val="16"/>
                <w:b w:val="1"/>
                <w:bCs w:val="1"/>
                <w:i w:val="1"/>
                <w:iCs w:val="1"/>
                <w:color w:val="auto"/>
                <w:w w:val="85"/>
              </w:rPr>
              <w:t>Industry Sales</w:t>
            </w:r>
          </w:p>
        </w:tc>
        <w:tc>
          <w:tcPr>
            <w:tcW w:w="380" w:type="dxa"/>
            <w:vAlign w:val="bottom"/>
            <w:tcBorders>
              <w:top w:val="single" w:sz="8" w:color="auto"/>
              <w:right w:val="single" w:sz="8" w:color="auto"/>
            </w:tcBorders>
          </w:tcPr>
          <w:p>
            <w:pPr>
              <w:spacing w:after="0"/>
              <w:rPr>
                <w:sz w:val="16"/>
                <w:szCs w:val="16"/>
                <w:color w:val="auto"/>
              </w:rPr>
            </w:pPr>
          </w:p>
        </w:tc>
        <w:tc>
          <w:tcPr>
            <w:tcW w:w="1440" w:type="dxa"/>
            <w:vAlign w:val="bottom"/>
            <w:tcBorders>
              <w:top w:val="single" w:sz="8" w:color="auto"/>
            </w:tcBorders>
            <w:gridSpan w:val="3"/>
            <w:vMerge w:val="restart"/>
          </w:tcPr>
          <w:p>
            <w:pPr>
              <w:jc w:val="center"/>
              <w:ind w:left="99"/>
              <w:spacing w:after="0"/>
              <w:rPr>
                <w:sz w:val="20"/>
                <w:szCs w:val="20"/>
                <w:color w:val="auto"/>
              </w:rPr>
            </w:pPr>
            <w:r>
              <w:rPr>
                <w:rFonts w:ascii="Arial" w:cs="Arial" w:eastAsia="Arial" w:hAnsi="Arial"/>
                <w:sz w:val="16"/>
                <w:szCs w:val="16"/>
                <w:b w:val="1"/>
                <w:bCs w:val="1"/>
                <w:color w:val="auto"/>
                <w:w w:val="92"/>
              </w:rPr>
              <w:t>Dec. 2011 SAAR</w:t>
            </w:r>
          </w:p>
        </w:tc>
        <w:tc>
          <w:tcPr>
            <w:tcW w:w="220" w:type="dxa"/>
            <w:vAlign w:val="bottom"/>
            <w:tcBorders>
              <w:top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92"/>
              </w:rPr>
              <w:t>Jan. 2012 SAAR (est.)</w:t>
            </w:r>
          </w:p>
        </w:tc>
        <w:tc>
          <w:tcPr>
            <w:tcW w:w="258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Full Year 2012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60" w:type="dxa"/>
            <w:vAlign w:val="bottom"/>
            <w:tcBorders>
              <w:right w:val="single" w:sz="8" w:color="auto"/>
            </w:tcBorders>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Borders>
              <w:right w:val="single" w:sz="8" w:color="auto"/>
            </w:tcBorders>
            <w:gridSpan w:val="2"/>
            <w:vMerge w:val="restart"/>
          </w:tcPr>
          <w:p>
            <w:pPr>
              <w:jc w:val="center"/>
              <w:ind w:right="919"/>
              <w:spacing w:after="0"/>
              <w:rPr>
                <w:sz w:val="20"/>
                <w:szCs w:val="20"/>
                <w:color w:val="auto"/>
              </w:rPr>
            </w:pPr>
            <w:r>
              <w:rPr>
                <w:rFonts w:ascii="Arial" w:cs="Arial" w:eastAsia="Arial" w:hAnsi="Arial"/>
                <w:sz w:val="16"/>
                <w:szCs w:val="16"/>
                <w:b w:val="1"/>
                <w:bCs w:val="1"/>
                <w:color w:val="auto"/>
                <w:w w:val="99"/>
              </w:rPr>
              <w:t>(est.)</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60" w:type="dxa"/>
            <w:vAlign w:val="bottom"/>
            <w:tcBorders>
              <w:right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20" w:type="dxa"/>
            <w:vAlign w:val="bottom"/>
            <w:tcBorders>
              <w:bottom w:val="single" w:sz="8" w:color="auto"/>
              <w:right w:val="single" w:sz="8" w:color="auto"/>
            </w:tcBorders>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1600" w:type="dxa"/>
            <w:vAlign w:val="bottom"/>
            <w:gridSpan w:val="2"/>
          </w:tcPr>
          <w:p>
            <w:pPr>
              <w:jc w:val="center"/>
              <w:ind w:left="259"/>
              <w:spacing w:after="0"/>
              <w:rPr>
                <w:sz w:val="20"/>
                <w:szCs w:val="20"/>
                <w:color w:val="auto"/>
              </w:rPr>
            </w:pPr>
            <w:r>
              <w:rPr>
                <w:rFonts w:ascii="Arial" w:cs="Arial" w:eastAsia="Arial" w:hAnsi="Arial"/>
                <w:sz w:val="16"/>
                <w:szCs w:val="16"/>
                <w:i w:val="1"/>
                <w:iCs w:val="1"/>
                <w:color w:val="auto"/>
                <w:w w:val="90"/>
              </w:rPr>
              <w:t>Light Vehicles</w:t>
            </w:r>
          </w:p>
        </w:tc>
        <w:tc>
          <w:tcPr>
            <w:tcW w:w="380" w:type="dxa"/>
            <w:vAlign w:val="bottom"/>
            <w:tcBorders>
              <w:right w:val="single" w:sz="8" w:color="auto"/>
            </w:tcBorders>
          </w:tcPr>
          <w:p>
            <w:pPr>
              <w:spacing w:after="0"/>
              <w:rPr>
                <w:sz w:val="19"/>
                <w:szCs w:val="19"/>
                <w:color w:val="auto"/>
              </w:rPr>
            </w:pPr>
          </w:p>
        </w:tc>
        <w:tc>
          <w:tcPr>
            <w:tcW w:w="1260" w:type="dxa"/>
            <w:vAlign w:val="bottom"/>
            <w:gridSpan w:val="2"/>
          </w:tcPr>
          <w:p>
            <w:pPr>
              <w:jc w:val="center"/>
              <w:ind w:left="279"/>
              <w:spacing w:after="0"/>
              <w:rPr>
                <w:sz w:val="20"/>
                <w:szCs w:val="20"/>
                <w:color w:val="auto"/>
              </w:rPr>
            </w:pPr>
            <w:r>
              <w:rPr>
                <w:rFonts w:ascii="Arial" w:cs="Arial" w:eastAsia="Arial" w:hAnsi="Arial"/>
                <w:sz w:val="16"/>
                <w:szCs w:val="16"/>
                <w:color w:val="auto"/>
                <w:w w:val="96"/>
              </w:rPr>
              <w:t>13.5 million</w:t>
            </w:r>
          </w:p>
        </w:tc>
        <w:tc>
          <w:tcPr>
            <w:tcW w:w="1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360" w:type="dxa"/>
            <w:vAlign w:val="bottom"/>
            <w:gridSpan w:val="2"/>
          </w:tcPr>
          <w:p>
            <w:pPr>
              <w:jc w:val="center"/>
              <w:ind w:left="179"/>
              <w:spacing w:after="0"/>
              <w:rPr>
                <w:sz w:val="20"/>
                <w:szCs w:val="20"/>
                <w:color w:val="auto"/>
              </w:rPr>
            </w:pPr>
            <w:r>
              <w:rPr>
                <w:rFonts w:ascii="Arial" w:cs="Arial" w:eastAsia="Arial" w:hAnsi="Arial"/>
                <w:sz w:val="16"/>
                <w:szCs w:val="16"/>
                <w:color w:val="auto"/>
                <w:w w:val="96"/>
              </w:rPr>
              <w:t>13.5 million</w:t>
            </w:r>
          </w:p>
        </w:tc>
        <w:tc>
          <w:tcPr>
            <w:tcW w:w="30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w w:val="97"/>
              </w:rPr>
              <w:t>13.5 million - 14.0 million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Borders>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right="220"/>
        <w:spacing w:after="0" w:line="259" w:lineRule="auto"/>
        <w:rPr>
          <w:sz w:val="20"/>
          <w:szCs w:val="20"/>
          <w:color w:val="auto"/>
        </w:rPr>
      </w:pPr>
      <w:r>
        <w:rPr>
          <w:rFonts w:ascii="Arial" w:cs="Arial" w:eastAsia="Arial" w:hAnsi="Arial"/>
          <w:sz w:val="19"/>
          <w:szCs w:val="19"/>
          <w:color w:val="auto"/>
        </w:rPr>
        <w:t xml:space="preserve">General Motors Co. (NYSE:GM, TSX: GMM) and its partners produce vehicles in 30 countries, and the company has leadership positions in 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9"/>
          <w:szCs w:val="19"/>
          <w:u w:val="single" w:color="auto"/>
          <w:color w:val="auto"/>
        </w:rPr>
        <w:t>http://www.gm.com</w:t>
      </w:r>
      <w:r>
        <w:rPr>
          <w:rFonts w:ascii="Arial" w:cs="Arial" w:eastAsia="Arial" w:hAnsi="Arial"/>
          <w:sz w:val="19"/>
          <w:szCs w:val="19"/>
          <w:color w:val="auto"/>
        </w:rPr>
        <w: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20"/>
          </w:cols>
          <w:pgMar w:left="240" w:top="135"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99"/>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January</w:t>
            </w:r>
          </w:p>
        </w:tc>
        <w:tc>
          <w:tcPr>
            <w:tcW w:w="104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(Calendar Year-to-Date)</w:t>
            </w:r>
          </w:p>
        </w:tc>
        <w:tc>
          <w:tcPr>
            <w:tcW w:w="1000" w:type="dxa"/>
            <w:vAlign w:val="bottom"/>
            <w:tcBorders>
              <w:top w:val="single" w:sz="8" w:color="auto"/>
              <w:right w:val="single" w:sz="8" w:color="auto"/>
            </w:tcBorders>
          </w:tcPr>
          <w:p>
            <w:pPr>
              <w:spacing w:after="0"/>
              <w:rPr>
                <w:sz w:val="24"/>
                <w:szCs w:val="24"/>
                <w:color w:val="auto"/>
              </w:rPr>
            </w:pPr>
          </w:p>
        </w:tc>
      </w:tr>
      <w:tr>
        <w:trPr>
          <w:trHeight w:val="303"/>
        </w:trPr>
        <w:tc>
          <w:tcPr>
            <w:tcW w:w="2480" w:type="dxa"/>
            <w:vAlign w:val="bottom"/>
            <w:tcBorders>
              <w:left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w:t>
            </w: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96"/>
              </w:rPr>
              <w:t>January</w:t>
            </w:r>
          </w:p>
        </w:tc>
        <w:tc>
          <w:tcPr>
            <w:tcW w:w="1000" w:type="dxa"/>
            <w:vAlign w:val="bottom"/>
            <w:tcBorders>
              <w:bottom w:val="single" w:sz="8" w:color="auto"/>
              <w:right w:val="single" w:sz="8" w:color="auto"/>
            </w:tcBorders>
          </w:tcPr>
          <w:p>
            <w:pPr>
              <w:spacing w:after="0"/>
              <w:rPr>
                <w:sz w:val="24"/>
                <w:szCs w:val="24"/>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2012</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2011</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2012</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2011</w:t>
            </w: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Enclave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3,124</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4,347</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(28.1)</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3,124</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4,347</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(28.1)</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4,013</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3,771</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6.4</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4,013</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3,771</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Lucerne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421</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2,816</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(85.0)</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421</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2,816</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(85.0)</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1,855</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2,335</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(20.6)</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1,855</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2,335</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(20.6)</w:t>
            </w:r>
          </w:p>
        </w:tc>
      </w:tr>
      <w:tr>
        <w:trPr>
          <w:trHeight w:val="290"/>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Verano</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795</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795</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10,208</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13,269</w:t>
            </w:r>
          </w:p>
        </w:tc>
        <w:tc>
          <w:tcPr>
            <w:tcW w:w="104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(23.1)</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10,208</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13,269</w:t>
            </w:r>
          </w:p>
        </w:tc>
        <w:tc>
          <w:tcPr>
            <w:tcW w:w="10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(23.1)</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3,019</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4,362</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(30.8)</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3,019</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4,362</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(30.8)</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89</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1,365</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(93.5)</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89</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1,365</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(93.5)</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985</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1,514</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(34.9)</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985</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1,514</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(34.9)</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531</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592</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(10.3)</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531</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592</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EXT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108</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153</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(29.4)</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108</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153</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(29.4)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4,166</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4,236</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(1.7)</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4,166</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4,236</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(1.7)</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359</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(92.8)</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26</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359</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(92.8)</w:t>
            </w:r>
          </w:p>
        </w:tc>
      </w:tr>
      <w:tr>
        <w:trPr>
          <w:trHeight w:val="290"/>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XLR</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8,924</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12,580</w:t>
            </w:r>
          </w:p>
        </w:tc>
        <w:tc>
          <w:tcPr>
            <w:tcW w:w="104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(29.1)</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8,924</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12,580</w:t>
            </w:r>
          </w:p>
        </w:tc>
        <w:tc>
          <w:tcPr>
            <w:tcW w:w="10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(29.1)</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1,617</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1,397</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15.7</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1,617</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1,397</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15.7</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Aveo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2,739</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(99.4)</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16</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2,739</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5,709</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4,763</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19.9</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5,709</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4,763</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19.9</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Caprice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92</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2,261</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2,261</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Cobalt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406</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(99.8)</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406</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(99.8)</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2,872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2,204</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30.3</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2,872</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2,204</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30.3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Corvette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629</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721</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(12.8)</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629</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721</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(12.8)</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15,049</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13,631</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10.4</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15,049</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13,631</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Equinox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13,662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12,847</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6.3</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13,662</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12,847</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4,532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5,273</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(14.1)</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4,532</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5,273</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(14.1)</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HHR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7,387</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4</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7,387</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16,009</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15,188</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5.4</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16,009</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15,188</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Kodiak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Malibu</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14,676</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14,102</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4.1</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14,676</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14,102</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4.1</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26,850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28,172</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(4.7)</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26,850</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28,172</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(4.7)</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Sonic</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5,712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5,712</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2,935</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2,343</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25.3</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2,935</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2,343</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Tahoe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3,995</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5,281</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(24.4)</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3,995</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5,281</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(24.4)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TrailBlazer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9</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9</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Traverse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6,640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8,605</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(22.8)</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6,640</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8,605</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(22.8)</w:t>
            </w:r>
          </w:p>
        </w:tc>
      </w:tr>
      <w:tr>
        <w:trPr>
          <w:trHeight w:val="290"/>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Volt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603</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321</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87.9</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603</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321</w:t>
            </w:r>
          </w:p>
        </w:tc>
        <w:tc>
          <w:tcPr>
            <w:tcW w:w="10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87.9</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123,864</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125,389</w:t>
            </w:r>
          </w:p>
        </w:tc>
        <w:tc>
          <w:tcPr>
            <w:tcW w:w="104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123,864</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0"/>
              </w:rPr>
              <w:t>125,389</w:t>
            </w:r>
          </w:p>
        </w:tc>
        <w:tc>
          <w:tcPr>
            <w:tcW w:w="10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Acadia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4,870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5,723</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(14.9)</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4,870</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5,723</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(14.9)</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1,059</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694</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52.6</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1,059</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694</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52.6</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Envoy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838</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718</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16.7</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838</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718</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16.7</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Sierra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9,517</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10,627</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(10.4)</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9,517</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10,627</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(10.4)</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Terrain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5,649</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6,369</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(11.3)</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5,649</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6,369</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(11.3)</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6/7/8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r>
      <w:tr>
        <w:trPr>
          <w:trHeight w:val="284"/>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2,022</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2,076</w:t>
            </w:r>
          </w:p>
        </w:tc>
        <w:tc>
          <w:tcPr>
            <w:tcW w:w="104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(2.6)</w:t>
            </w:r>
          </w:p>
        </w:tc>
        <w:tc>
          <w:tcPr>
            <w:tcW w:w="164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2,076</w:t>
            </w:r>
          </w:p>
        </w:tc>
        <w:tc>
          <w:tcPr>
            <w:tcW w:w="10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(2.6)</w:t>
            </w:r>
          </w:p>
        </w:tc>
      </w:tr>
      <w:tr>
        <w:trPr>
          <w:trHeight w:val="290"/>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 XL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1,011</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1,450</w:t>
            </w:r>
          </w:p>
        </w:tc>
        <w:tc>
          <w:tcPr>
            <w:tcW w:w="104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(30.3)</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1,011</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1,450</w:t>
            </w:r>
          </w:p>
        </w:tc>
        <w:tc>
          <w:tcPr>
            <w:tcW w:w="10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(30.3)</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24,966</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27,658</w:t>
            </w:r>
          </w:p>
        </w:tc>
        <w:tc>
          <w:tcPr>
            <w:tcW w:w="104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(9.7)</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24,966</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27,658</w:t>
            </w:r>
          </w:p>
        </w:tc>
        <w:tc>
          <w:tcPr>
            <w:tcW w:w="10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(9.7)</w:t>
            </w:r>
          </w:p>
        </w:tc>
      </w:tr>
      <w:tr>
        <w:trPr>
          <w:trHeight w:val="291"/>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167,962</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178,896</w:t>
            </w:r>
          </w:p>
        </w:tc>
        <w:tc>
          <w:tcPr>
            <w:tcW w:w="104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(6.1)</w:t>
            </w:r>
          </w:p>
        </w:tc>
        <w:tc>
          <w:tcPr>
            <w:tcW w:w="16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167,962</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0"/>
              </w:rPr>
              <w:t>178,896</w:t>
            </w:r>
          </w:p>
        </w:tc>
        <w:tc>
          <w:tcPr>
            <w:tcW w:w="10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0</wp:posOffset>
            </wp:positionV>
            <wp:extent cx="8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0</wp:posOffset>
            </wp:positionV>
            <wp:extent cx="8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8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0</wp:posOffset>
            </wp:positionV>
            <wp:extent cx="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-196850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-170815</wp:posOffset>
            </wp:positionV>
            <wp:extent cx="8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-153670</wp:posOffset>
            </wp:positionV>
            <wp:extent cx="8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-136525</wp:posOffset>
            </wp:positionV>
            <wp:extent cx="8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-119380</wp:posOffset>
            </wp:positionV>
            <wp:extent cx="8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-102235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-85090</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-67945</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-50800</wp:posOffset>
            </wp:positionV>
            <wp:extent cx="8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-33655</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-196850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-170815</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-153670</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-136525</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-119380</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-102235</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-85090</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-67945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-50800</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-33655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-196850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-170815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-153670</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-136525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-119380</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-102235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-85090</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-67945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-50800</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-33655</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-196850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-170815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-153670</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-136525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-119380</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-102235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-85090</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-67945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-50800</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-33655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-196850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-170815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-153670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-136525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-119380</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-102235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-85090</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-67945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-50800</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-33655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-196850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-170815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-153670</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-136525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-119380</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-102235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-85090</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-67945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-50800</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-33655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-385445</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-359410</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-342265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-325120</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-307975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-290830</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-273685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-256540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-239395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-222250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-385445</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-359410</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-342265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-325120</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-307975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-290830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-273685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-256540</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-239395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-222250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-385445</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-359410</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-342265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-325120</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-307975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-290830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-273685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-256540</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-239395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-222250</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-385445</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-359410</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-342265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-325120</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-307975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-290830</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-273685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-256540</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-239395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-222250</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-385445</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-359410</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-342265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-325120</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-307975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-290830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-273685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-256540</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-239395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-222250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-385445</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-359410</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-342265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-325120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-307975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-290830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-273685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-256540</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-239395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-222250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-556895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-539750</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-522605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-505460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-488315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-471170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-454025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-436880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-419735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-402590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-556895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-539750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-522605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-505460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-488315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-471170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-454025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-436880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-419735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-402590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-556895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-539750</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-522605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-505460</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-488315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-471170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-454025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-436880</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-419735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-402590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-556895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-539750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-522605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-505460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-488315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-471170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-454025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-436880</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-419735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-402590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-556895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-539750</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-522605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-505460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-488315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-471170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-454025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-436880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-419735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-402590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-556895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-539750</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-522605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-505460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-488315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-471170</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-454025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-436880</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-419735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-402590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-574040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-574040</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-574040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-574040</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-9501505</wp:posOffset>
            </wp:positionV>
            <wp:extent cx="5942965" cy="8935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42965" cy="893572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 24 selling days for the January period this year and 24 for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64135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64135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64135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64135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-89535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-72390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-55245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-38100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-20955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-3810</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12700</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29845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46990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64135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64135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64135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64135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5261610</wp:posOffset>
            </wp:positionH>
            <wp:positionV relativeFrom="paragraph">
              <wp:posOffset>64135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5278755</wp:posOffset>
            </wp:positionH>
            <wp:positionV relativeFrom="paragraph">
              <wp:posOffset>64135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64135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64135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64135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5347335</wp:posOffset>
            </wp:positionH>
            <wp:positionV relativeFrom="paragraph">
              <wp:posOffset>64135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5364480</wp:posOffset>
            </wp:positionH>
            <wp:positionV relativeFrom="paragraph">
              <wp:posOffset>64135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64135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5398770</wp:posOffset>
            </wp:positionH>
            <wp:positionV relativeFrom="paragraph">
              <wp:posOffset>64135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64135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64135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64135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64135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64135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5501640</wp:posOffset>
            </wp:positionH>
            <wp:positionV relativeFrom="paragraph">
              <wp:posOffset>64135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64135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64135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64135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64135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64135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64135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64135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64135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64135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64135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64135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64135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64135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64135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64135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64135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64135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64135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64135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64135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64135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64135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-89535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-72390</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-55245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-38100</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-20955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-3810</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12700</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29845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46990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64135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64135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64135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64135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64135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64135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64135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64135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64135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64135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64135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64135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64135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64135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64135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64135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64135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64135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64135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64135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64135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64135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64135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64135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64135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64135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64135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64135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64135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64135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64135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64135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64135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64135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64135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64135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64135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64135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64135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64135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64135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64135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64135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64135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64135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64135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64135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64135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64135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64135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64135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64135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64135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64135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64135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64135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64135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64135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64135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64135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64135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64135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64135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64135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64135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64135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64135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64135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64135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64135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64135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64135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64135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64135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64135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64135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64135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64135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64135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64135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64135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64135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64135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64135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64135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64135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64135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64135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64135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64135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64135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64135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64135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64135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64135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64135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64135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64135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64135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64135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64135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64135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64135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64135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64135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64135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64135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64135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64135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64135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64135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64135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64135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64135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64135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64135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64135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64135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64135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64135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64135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64135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64135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64135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64135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64135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64135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64135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64135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64135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64135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64135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64135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64135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64135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64135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64135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64135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64135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64135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64135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64135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64135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64135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64135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64135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64135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64135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64135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64135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64135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64135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64135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64135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64135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64135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64135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64135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64135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64135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64135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64135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64135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64135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64135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64135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64135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64135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64135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64135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64135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64135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64135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64135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64135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64135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64135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64135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64135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64135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64135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64135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64135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64135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64135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64135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64135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64135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64135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64135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64135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64135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64135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64135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64135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64135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64135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64135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64135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64135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64135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64135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64135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64135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64135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64135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64135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64135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64135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64135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64135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64135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64135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64135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3683635</wp:posOffset>
            </wp:positionH>
            <wp:positionV relativeFrom="paragraph">
              <wp:posOffset>64135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64135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64135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64135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64135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64135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64135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64135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64135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64135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64135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64135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64135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64135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64135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64135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64135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64135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64135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64135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64135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64135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64135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64135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64135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64135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64135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64135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64135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64135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64135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64135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64135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64135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64135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64135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64135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64135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64135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64135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64135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64135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64135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64135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64135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64135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64135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64135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64135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64135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64135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64135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64135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64135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64135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64135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64135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64135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64135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64135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64135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64135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64135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64135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64135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64135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64135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64135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64135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4867275</wp:posOffset>
            </wp:positionH>
            <wp:positionV relativeFrom="paragraph">
              <wp:posOffset>64135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64135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4901565</wp:posOffset>
            </wp:positionH>
            <wp:positionV relativeFrom="paragraph">
              <wp:posOffset>64135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64135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64135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64135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64135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4987290</wp:posOffset>
            </wp:positionH>
            <wp:positionV relativeFrom="paragraph">
              <wp:posOffset>64135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5004435</wp:posOffset>
            </wp:positionH>
            <wp:positionV relativeFrom="paragraph">
              <wp:posOffset>64135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64135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64135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64135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64135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64135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64135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64135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5141595</wp:posOffset>
            </wp:positionH>
            <wp:positionV relativeFrom="paragraph">
              <wp:posOffset>64135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64135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5175885</wp:posOffset>
            </wp:positionH>
            <wp:positionV relativeFrom="paragraph">
              <wp:posOffset>64135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-89535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-72390</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-55245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-38100</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-20955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-3810</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12700</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29845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46990</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64135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-89535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-72390</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-55245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-38100</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-20955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-3810</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12700</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29845</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46990</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5193030</wp:posOffset>
            </wp:positionH>
            <wp:positionV relativeFrom="paragraph">
              <wp:posOffset>64135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sectPr>
      <w:pgSz w:w="11900" w:h="16838" w:orient="portrait"/>
      <w:cols w:equalWidth="0" w:num="1">
        <w:col w:w="9440"/>
      </w:cols>
      <w:pgMar w:left="1240" w:top="255" w:right="1219" w:bottom="5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2019-12-09T19:43:15Z</dcterms:created>
  <dcterms:modified xsi:type="dcterms:W3CDTF">2019-12-09T19:43:15Z</dcterms:modified>
</cp:coreProperties>
</file>