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August 12,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363"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85"/>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This report amends the current report on Form 8-K of General Motors Company (the “Company”) filed with the Securities and Exchange Commission on June 12, 2014 to provide the Company's decision on the frequency of the Stockholder Advisory Vote on Executive Compensation (the “Say-on-Pay Vote”) required by section 14A(a)(2) of the Securities Exchange Act of 1934, as amended, based on the results of the voting at the Company’s annual meeting of stockholders held on June 10, 2014 (the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5.07(d) SUBMISSION OF MATTERS TO A VOTE OF SECURITY HOLDERS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On the second day of its regular meeting held on August 11 and 12, 2014, the Board of Directors (the “Board”) of the Company adopted a resolution, based upon the recommendation of the Board’s Executive Compensation Committee, that the Company will hold the Say-on-Pay Vote every year until the next required stockholder vote on the frequency of the Say-on-Pay Vote. At the Annual Meeting, the Board recommended that stockholders vote in favor of conducting the Say-on-Pay Vote every year, and a plurality of stockholder votes favored the one-year option, which received more than approximately 80% of the votes cast.</w:t>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92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560" w:type="dxa"/>
            <w:vAlign w:val="bottom"/>
            <w:vMerge w:val="restart"/>
          </w:tcPr>
          <w:p>
            <w:pPr>
              <w:spacing w:after="0"/>
              <w:rPr>
                <w:sz w:val="20"/>
                <w:szCs w:val="20"/>
                <w:color w:val="auto"/>
              </w:rPr>
            </w:pPr>
            <w:r>
              <w:rPr>
                <w:rFonts w:ascii="Arial" w:cs="Arial" w:eastAsia="Arial" w:hAnsi="Arial"/>
                <w:sz w:val="18"/>
                <w:szCs w:val="18"/>
                <w:color w:val="auto"/>
              </w:rPr>
              <w:t>Date: August 15, 2014</w:t>
            </w:r>
          </w:p>
        </w:tc>
        <w:tc>
          <w:tcPr>
            <w:tcW w:w="2580" w:type="dxa"/>
            <w:vAlign w:val="bottom"/>
            <w:vMerge w:val="restart"/>
          </w:tcPr>
          <w:p>
            <w:pPr>
              <w:ind w:left="192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60" w:type="dxa"/>
            <w:vAlign w:val="bottom"/>
            <w:vMerge w:val="continue"/>
          </w:tcPr>
          <w:p>
            <w:pPr>
              <w:spacing w:after="0"/>
              <w:rPr>
                <w:sz w:val="19"/>
                <w:szCs w:val="19"/>
                <w:color w:val="auto"/>
              </w:rPr>
            </w:pPr>
          </w:p>
        </w:tc>
        <w:tc>
          <w:tcPr>
            <w:tcW w:w="25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2019-12-07T20:31:47Z</dcterms:created>
  <dcterms:modified xsi:type="dcterms:W3CDTF">2019-12-07T20:31:47Z</dcterms:modified>
</cp:coreProperties>
</file>