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20549-1004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1" w:lineRule="exact"/>
        <w:rPr>
          <w:sz w:val="24"/>
          <w:szCs w:val="24"/>
          <w:color w:val="auto"/>
        </w:rPr>
      </w:pPr>
    </w:p>
    <w:p>
      <w:pPr>
        <w:ind w:left="720" w:right="2240" w:hanging="685"/>
        <w:spacing w:after="0" w:line="286" w:lineRule="auto"/>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4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61" w:lineRule="exact"/>
        <w:rPr>
          <w:sz w:val="24"/>
          <w:szCs w:val="24"/>
          <w:color w:val="auto"/>
        </w:rPr>
      </w:pPr>
    </w:p>
    <w:p>
      <w:pPr>
        <w:ind w:left="720" w:right="2240" w:hanging="685"/>
        <w:spacing w:after="0" w:line="286" w:lineRule="auto"/>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8" w:lineRule="exact"/>
        <w:rPr>
          <w:sz w:val="24"/>
          <w:szCs w:val="24"/>
          <w:color w:val="auto"/>
        </w:rPr>
      </w:pPr>
    </w:p>
    <w:p>
      <w:pPr>
        <w:ind w:left="440"/>
        <w:spacing w:after="0"/>
        <w:tabs>
          <w:tab w:leader="none" w:pos="3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1179830</wp:posOffset>
            </wp:positionH>
            <wp:positionV relativeFrom="paragraph">
              <wp:posOffset>19685</wp:posOffset>
            </wp:positionV>
            <wp:extent cx="4905375" cy="1046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5375" cy="1046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GENERAL MOTORS COMPANY</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47" w:lineRule="exact"/>
        <w:rPr>
          <w:sz w:val="24"/>
          <w:szCs w:val="24"/>
          <w:color w:val="auto"/>
        </w:rPr>
      </w:pPr>
    </w:p>
    <w:tbl>
      <w:tblPr>
        <w:tblLayout w:type="fixed"/>
        <w:tblInd w:w="1120" w:type="dxa"/>
        <w:tblCellMar>
          <w:top w:w="0" w:type="dxa"/>
          <w:left w:w="0" w:type="dxa"/>
          <w:bottom w:w="0" w:type="dxa"/>
          <w:right w:w="0" w:type="dxa"/>
        </w:tblCellMar>
      </w:tblPr>
      <w:tr>
        <w:trPr>
          <w:trHeight w:val="238"/>
        </w:trPr>
        <w:tc>
          <w:tcPr>
            <w:tcW w:w="36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6"/>
              </w:rPr>
              <w:t>STATE OF DELAWARE</w:t>
            </w:r>
          </w:p>
        </w:tc>
        <w:tc>
          <w:tcPr>
            <w:tcW w:w="414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8"/>
              </w:rPr>
              <w:t>27-0756180</w:t>
            </w:r>
          </w:p>
        </w:tc>
      </w:tr>
      <w:tr>
        <w:trPr>
          <w:trHeight w:val="250"/>
        </w:trPr>
        <w:tc>
          <w:tcPr>
            <w:tcW w:w="3660" w:type="dxa"/>
            <w:vAlign w:val="bottom"/>
          </w:tcPr>
          <w:p>
            <w:pPr>
              <w:jc w:val="center"/>
              <w:ind w:right="29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4140" w:type="dxa"/>
            <w:vAlign w:val="bottom"/>
          </w:tcPr>
          <w:p>
            <w:pPr>
              <w:jc w:val="center"/>
              <w:ind w:left="273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3660" w:type="dxa"/>
            <w:vAlign w:val="bottom"/>
          </w:tcPr>
          <w:p>
            <w:pPr>
              <w:jc w:val="center"/>
              <w:ind w:right="31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4140" w:type="dxa"/>
            <w:vAlign w:val="bottom"/>
          </w:tcPr>
          <w:p>
            <w:pPr>
              <w:jc w:val="center"/>
              <w:ind w:left="271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405"/>
        </w:trPr>
        <w:tc>
          <w:tcPr>
            <w:tcW w:w="36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300 Renaissance Center, Detroit, Michigan</w:t>
            </w:r>
          </w:p>
        </w:tc>
        <w:tc>
          <w:tcPr>
            <w:tcW w:w="414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8"/>
              </w:rPr>
              <w:t>48265-3000</w:t>
            </w:r>
          </w:p>
        </w:tc>
      </w:tr>
      <w:tr>
        <w:trPr>
          <w:trHeight w:val="270"/>
        </w:trPr>
        <w:tc>
          <w:tcPr>
            <w:tcW w:w="3660" w:type="dxa"/>
            <w:vAlign w:val="bottom"/>
          </w:tcPr>
          <w:p>
            <w:pPr>
              <w:jc w:val="center"/>
              <w:ind w:right="29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4140" w:type="dxa"/>
            <w:vAlign w:val="bottom"/>
          </w:tcPr>
          <w:p>
            <w:pPr>
              <w:jc w:val="center"/>
              <w:ind w:left="271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243"/>
        </w:trPr>
        <w:tc>
          <w:tcPr>
            <w:tcW w:w="3660" w:type="dxa"/>
            <w:vAlign w:val="bottom"/>
          </w:tcPr>
          <w:p>
            <w:pPr>
              <w:spacing w:after="0"/>
              <w:rPr>
                <w:sz w:val="21"/>
                <w:szCs w:val="21"/>
                <w:color w:val="auto"/>
              </w:rPr>
            </w:pPr>
          </w:p>
        </w:tc>
        <w:tc>
          <w:tcPr>
            <w:tcW w:w="4140" w:type="dxa"/>
            <w:vAlign w:val="bottom"/>
          </w:tcPr>
          <w:p>
            <w:pPr>
              <w:jc w:val="right"/>
              <w:ind w:right="2550"/>
              <w:spacing w:after="0"/>
              <w:rPr>
                <w:sz w:val="20"/>
                <w:szCs w:val="20"/>
                <w:color w:val="auto"/>
              </w:rPr>
            </w:pPr>
            <w:r>
              <w:rPr>
                <w:rFonts w:ascii="Times New Roman" w:cs="Times New Roman" w:eastAsia="Times New Roman" w:hAnsi="Times New Roman"/>
                <w:sz w:val="18"/>
                <w:szCs w:val="18"/>
                <w:b w:val="1"/>
                <w:bCs w:val="1"/>
                <w:color w:val="auto"/>
              </w:rPr>
              <w:t>(313) 667-1500</w:t>
            </w: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former address and former fiscal year, if changed since last report)</w:t>
      </w:r>
    </w:p>
    <w:p>
      <w:pPr>
        <w:spacing w:after="0" w:line="213" w:lineRule="exact"/>
        <w:rPr>
          <w:sz w:val="24"/>
          <w:szCs w:val="24"/>
          <w:color w:val="auto"/>
        </w:rPr>
      </w:pPr>
    </w:p>
    <w:p>
      <w:pPr>
        <w:jc w:val="both"/>
        <w:ind w:firstLine="108"/>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8" w:lineRule="exact"/>
        <w:rPr>
          <w:sz w:val="24"/>
          <w:szCs w:val="24"/>
          <w:color w:val="auto"/>
        </w:rPr>
      </w:pPr>
    </w:p>
    <w:p>
      <w:pPr>
        <w:jc w:val="both"/>
        <w:ind w:firstLine="108"/>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ind w:firstLine="108"/>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p>
      <w:pPr>
        <w:jc w:val="center"/>
        <w:ind w:right="-159"/>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6"/>
          <w:szCs w:val="16"/>
          <w:color w:val="auto"/>
        </w:rPr>
        <w:t>☐</w:t>
      </w:r>
    </w:p>
    <w:p>
      <w:pPr>
        <w:spacing w:after="0" w:line="127" w:lineRule="exact"/>
        <w:rPr>
          <w:sz w:val="24"/>
          <w:szCs w:val="24"/>
          <w:color w:val="auto"/>
        </w:rPr>
      </w:pPr>
    </w:p>
    <w:p>
      <w:pPr>
        <w:jc w:val="both"/>
        <w:ind w:firstLine="81"/>
        <w:spacing w:after="0" w:line="22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0" w:lineRule="exact"/>
        <w:rPr>
          <w:sz w:val="24"/>
          <w:szCs w:val="24"/>
          <w:color w:val="auto"/>
        </w:rPr>
      </w:pPr>
    </w:p>
    <w:p>
      <w:pPr>
        <w:ind w:left="12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April 18, 2019 there were 1,418,392,858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20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91"/>
        </w:trPr>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8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6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900" w:type="dxa"/>
            <w:vAlign w:val="bottom"/>
          </w:tcPr>
          <w:p>
            <w:pPr>
              <w:spacing w:after="0"/>
              <w:rPr>
                <w:sz w:val="2"/>
                <w:szCs w:val="2"/>
                <w:color w:val="auto"/>
              </w:rPr>
            </w:pPr>
          </w:p>
        </w:tc>
        <w:tc>
          <w:tcPr>
            <w:tcW w:w="830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2200" w:type="dxa"/>
            <w:vAlign w:val="bottom"/>
            <w:gridSpan w:val="7"/>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Condensed Consolidated Income Statements (Unaudited)</w:t>
            </w:r>
          </w:p>
        </w:tc>
        <w:tc>
          <w:tcPr>
            <w:tcW w:w="2200" w:type="dxa"/>
            <w:vAlign w:val="bottom"/>
            <w:gridSpan w:val="7"/>
          </w:tcPr>
          <w:p>
            <w:pPr>
              <w:jc w:val="right"/>
              <w:ind w:right="4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Comprehensive Income (Unaudited)</w:t>
            </w:r>
          </w:p>
        </w:tc>
        <w:tc>
          <w:tcPr>
            <w:tcW w:w="2200" w:type="dxa"/>
            <w:vAlign w:val="bottom"/>
            <w:gridSpan w:val="7"/>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2200" w:type="dxa"/>
            <w:vAlign w:val="bottom"/>
            <w:gridSpan w:val="7"/>
          </w:tcPr>
          <w:p>
            <w:pPr>
              <w:jc w:val="right"/>
              <w:ind w:right="4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2200" w:type="dxa"/>
            <w:vAlign w:val="bottom"/>
            <w:gridSpan w:val="7"/>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3</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83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Equity (Unaudited)</w:t>
            </w:r>
          </w:p>
        </w:tc>
        <w:tc>
          <w:tcPr>
            <w:tcW w:w="2200" w:type="dxa"/>
            <w:vAlign w:val="bottom"/>
            <w:gridSpan w:val="7"/>
          </w:tcPr>
          <w:p>
            <w:pPr>
              <w:jc w:val="right"/>
              <w:ind w:right="40"/>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4</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83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200" w:type="dxa"/>
            <w:vAlign w:val="bottom"/>
            <w:gridSpan w:val="7"/>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5</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Nature of Operations and Basis of Presentation</w:t>
            </w:r>
          </w:p>
        </w:tc>
        <w:tc>
          <w:tcPr>
            <w:tcW w:w="2200" w:type="dxa"/>
            <w:vAlign w:val="bottom"/>
            <w:gridSpan w:val="7"/>
          </w:tcPr>
          <w:p>
            <w:pPr>
              <w:jc w:val="right"/>
              <w:ind w:right="40"/>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5</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2.</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Revenue</w:t>
            </w:r>
          </w:p>
        </w:tc>
        <w:tc>
          <w:tcPr>
            <w:tcW w:w="2200" w:type="dxa"/>
            <w:vAlign w:val="bottom"/>
            <w:gridSpan w:val="7"/>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6</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3.</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Marketable and Other Securities</w:t>
            </w:r>
          </w:p>
        </w:tc>
        <w:tc>
          <w:tcPr>
            <w:tcW w:w="2200" w:type="dxa"/>
            <w:vAlign w:val="bottom"/>
            <w:gridSpan w:val="7"/>
          </w:tcPr>
          <w:p>
            <w:pPr>
              <w:jc w:val="right"/>
              <w:ind w:right="40"/>
              <w:spacing w:after="0" w:line="202"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7</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4.</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GM Financial Receivables and Transactions</w:t>
            </w:r>
          </w:p>
        </w:tc>
        <w:tc>
          <w:tcPr>
            <w:tcW w:w="2200" w:type="dxa"/>
            <w:vAlign w:val="bottom"/>
            <w:gridSpan w:val="7"/>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8</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5.</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Inventories</w:t>
            </w:r>
          </w:p>
        </w:tc>
        <w:tc>
          <w:tcPr>
            <w:tcW w:w="2200" w:type="dxa"/>
            <w:vAlign w:val="bottom"/>
            <w:gridSpan w:val="7"/>
          </w:tcPr>
          <w:p>
            <w:pPr>
              <w:jc w:val="right"/>
              <w:ind w:right="40"/>
              <w:spacing w:after="0" w:line="202"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10</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6.</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Equipment on Operating Leases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13">
              <w:r>
                <w:rPr>
                  <w:rFonts w:ascii="Times New Roman" w:cs="Times New Roman" w:eastAsia="Times New Roman" w:hAnsi="Times New Roman"/>
                  <w:sz w:val="18"/>
                  <w:szCs w:val="18"/>
                  <w:color w:val="0000EE"/>
                  <w:w w:val="88"/>
                </w:rPr>
                <w:t>10</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7.</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Times New Roman" w:cs="Times New Roman" w:eastAsia="Times New Roman" w:hAnsi="Times New Roman"/>
                <w:sz w:val="18"/>
                <w:szCs w:val="18"/>
                <w:color w:val="0000EE"/>
                <w:w w:val="88"/>
              </w:rPr>
            </w:pPr>
            <w:hyperlink w:anchor="page13">
              <w:r>
                <w:rPr>
                  <w:rFonts w:ascii="Times New Roman" w:cs="Times New Roman" w:eastAsia="Times New Roman" w:hAnsi="Times New Roman"/>
                  <w:sz w:val="18"/>
                  <w:szCs w:val="18"/>
                  <w:color w:val="0000EE"/>
                  <w:w w:val="88"/>
                </w:rPr>
                <w:t>10</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8.</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Variable Interest Entities</w:t>
            </w:r>
          </w:p>
        </w:tc>
        <w:tc>
          <w:tcPr>
            <w:tcW w:w="2200" w:type="dxa"/>
            <w:vAlign w:val="bottom"/>
            <w:gridSpan w:val="7"/>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9.</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Automotive and GM Financial Debt</w:t>
            </w:r>
          </w:p>
        </w:tc>
        <w:tc>
          <w:tcPr>
            <w:tcW w:w="2200" w:type="dxa"/>
            <w:vAlign w:val="bottom"/>
            <w:gridSpan w:val="7"/>
          </w:tcPr>
          <w:p>
            <w:pPr>
              <w:jc w:val="right"/>
              <w:ind w:right="40"/>
              <w:spacing w:after="0" w:line="202"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11</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10.</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Derivative Financial Instruments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15">
              <w:r>
                <w:rPr>
                  <w:rFonts w:ascii="Times New Roman" w:cs="Times New Roman" w:eastAsia="Times New Roman" w:hAnsi="Times New Roman"/>
                  <w:sz w:val="18"/>
                  <w:szCs w:val="18"/>
                  <w:color w:val="0000EE"/>
                  <w:w w:val="88"/>
                </w:rPr>
                <w:t>12</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11.</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Product Warranty and Related Liabilities</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Times New Roman" w:cs="Times New Roman" w:eastAsia="Times New Roman" w:hAnsi="Times New Roman"/>
                <w:sz w:val="18"/>
                <w:szCs w:val="18"/>
                <w:color w:val="0000EE"/>
                <w:w w:val="88"/>
              </w:rPr>
            </w:pPr>
            <w:hyperlink w:anchor="page16">
              <w:r>
                <w:rPr>
                  <w:rFonts w:ascii="Times New Roman" w:cs="Times New Roman" w:eastAsia="Times New Roman" w:hAnsi="Times New Roman"/>
                  <w:sz w:val="18"/>
                  <w:szCs w:val="18"/>
                  <w:color w:val="0000EE"/>
                  <w:w w:val="88"/>
                </w:rPr>
                <w:t>13</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12.</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Pensions and Other Postretirement Benefits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17">
              <w:r>
                <w:rPr>
                  <w:rFonts w:ascii="Times New Roman" w:cs="Times New Roman" w:eastAsia="Times New Roman" w:hAnsi="Times New Roman"/>
                  <w:sz w:val="18"/>
                  <w:szCs w:val="18"/>
                  <w:color w:val="0000EE"/>
                  <w:w w:val="88"/>
                </w:rPr>
                <w:t>14</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13.</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Times New Roman" w:cs="Times New Roman" w:eastAsia="Times New Roman" w:hAnsi="Times New Roman"/>
                <w:sz w:val="18"/>
                <w:szCs w:val="18"/>
                <w:color w:val="0000EE"/>
                <w:w w:val="88"/>
              </w:rPr>
            </w:pPr>
            <w:hyperlink w:anchor="page17">
              <w:r>
                <w:rPr>
                  <w:rFonts w:ascii="Times New Roman" w:cs="Times New Roman" w:eastAsia="Times New Roman" w:hAnsi="Times New Roman"/>
                  <w:sz w:val="18"/>
                  <w:szCs w:val="18"/>
                  <w:color w:val="0000EE"/>
                  <w:w w:val="88"/>
                </w:rPr>
                <w:t>14</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14.</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Income Taxes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21">
              <w:r>
                <w:rPr>
                  <w:rFonts w:ascii="Times New Roman" w:cs="Times New Roman" w:eastAsia="Times New Roman" w:hAnsi="Times New Roman"/>
                  <w:sz w:val="18"/>
                  <w:szCs w:val="18"/>
                  <w:color w:val="0000EE"/>
                  <w:w w:val="88"/>
                </w:rPr>
                <w:t>18</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15.</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Restructuring and Other Initiatives</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Times New Roman" w:cs="Times New Roman" w:eastAsia="Times New Roman" w:hAnsi="Times New Roman"/>
                <w:sz w:val="18"/>
                <w:szCs w:val="18"/>
                <w:color w:val="0000EE"/>
                <w:w w:val="88"/>
              </w:rPr>
            </w:pPr>
            <w:hyperlink w:anchor="page22">
              <w:r>
                <w:rPr>
                  <w:rFonts w:ascii="Times New Roman" w:cs="Times New Roman" w:eastAsia="Times New Roman" w:hAnsi="Times New Roman"/>
                  <w:sz w:val="18"/>
                  <w:szCs w:val="18"/>
                  <w:color w:val="0000EE"/>
                  <w:w w:val="88"/>
                </w:rPr>
                <w:t>19</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16.</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Stockholders' Equity and Noncontrolling Interests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22">
              <w:r>
                <w:rPr>
                  <w:rFonts w:ascii="Times New Roman" w:cs="Times New Roman" w:eastAsia="Times New Roman" w:hAnsi="Times New Roman"/>
                  <w:sz w:val="18"/>
                  <w:szCs w:val="18"/>
                  <w:color w:val="0000EE"/>
                  <w:w w:val="88"/>
                </w:rPr>
                <w:t>19</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17.</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Earnings Per Share</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21</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18.</w:t>
            </w:r>
          </w:p>
        </w:tc>
        <w:tc>
          <w:tcPr>
            <w:tcW w:w="718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Discontinued Operations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21</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19.</w:t>
            </w:r>
          </w:p>
        </w:tc>
        <w:tc>
          <w:tcPr>
            <w:tcW w:w="71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Segment Reporting</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22</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24</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83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Times New Roman" w:cs="Times New Roman" w:eastAsia="Times New Roman" w:hAnsi="Times New Roman"/>
                <w:sz w:val="18"/>
                <w:szCs w:val="18"/>
                <w:color w:val="0000EE"/>
                <w:w w:val="88"/>
              </w:rPr>
            </w:pPr>
            <w:hyperlink w:anchor="page41">
              <w:r>
                <w:rPr>
                  <w:rFonts w:ascii="Times New Roman" w:cs="Times New Roman" w:eastAsia="Times New Roman" w:hAnsi="Times New Roman"/>
                  <w:sz w:val="18"/>
                  <w:szCs w:val="18"/>
                  <w:color w:val="0000EE"/>
                  <w:w w:val="88"/>
                </w:rPr>
                <w:t>38</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83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Controls and Procedures</w:t>
            </w:r>
          </w:p>
        </w:tc>
        <w:tc>
          <w:tcPr>
            <w:tcW w:w="2200" w:type="dxa"/>
            <w:vAlign w:val="bottom"/>
            <w:gridSpan w:val="7"/>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39</w:t>
              </w:r>
            </w:hyperlink>
          </w:p>
        </w:tc>
      </w:tr>
      <w:tr>
        <w:trPr>
          <w:trHeight w:val="243"/>
        </w:trPr>
        <w:tc>
          <w:tcPr>
            <w:tcW w:w="90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7180" w:type="dxa"/>
            <w:vAlign w:val="bottom"/>
            <w:tcBorders>
              <w:top w:val="single" w:sz="8" w:color="CCEEFF"/>
            </w:tcBorders>
          </w:tcPr>
          <w:p>
            <w:pPr>
              <w:ind w:left="33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68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r>
      <w:tr>
        <w:trPr>
          <w:trHeight w:val="27"/>
        </w:trPr>
        <w:tc>
          <w:tcPr>
            <w:tcW w:w="900" w:type="dxa"/>
            <w:vAlign w:val="bottom"/>
          </w:tcPr>
          <w:p>
            <w:pPr>
              <w:spacing w:after="0"/>
              <w:rPr>
                <w:sz w:val="2"/>
                <w:szCs w:val="2"/>
                <w:color w:val="auto"/>
              </w:rPr>
            </w:pPr>
          </w:p>
        </w:tc>
        <w:tc>
          <w:tcPr>
            <w:tcW w:w="830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Legal Proceedings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40</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11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Risk Factors</w:t>
            </w:r>
          </w:p>
        </w:tc>
        <w:tc>
          <w:tcPr>
            <w:tcW w:w="7180" w:type="dxa"/>
            <w:vAlign w:val="bottom"/>
          </w:tcPr>
          <w:p>
            <w:pPr>
              <w:spacing w:after="0"/>
              <w:rPr>
                <w:sz w:val="17"/>
                <w:szCs w:val="17"/>
                <w:color w:val="auto"/>
              </w:rPr>
            </w:pP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40</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980" w:type="dxa"/>
            <w:vAlign w:val="bottom"/>
            <w:gridSpan w:val="2"/>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40</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112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Exhibits</w:t>
            </w:r>
          </w:p>
        </w:tc>
        <w:tc>
          <w:tcPr>
            <w:tcW w:w="7180" w:type="dxa"/>
            <w:vAlign w:val="bottom"/>
          </w:tcPr>
          <w:p>
            <w:pPr>
              <w:spacing w:after="0"/>
              <w:rPr>
                <w:sz w:val="17"/>
                <w:szCs w:val="17"/>
                <w:color w:val="auto"/>
              </w:rPr>
            </w:pPr>
          </w:p>
        </w:tc>
        <w:tc>
          <w:tcPr>
            <w:tcW w:w="1980" w:type="dxa"/>
            <w:vAlign w:val="bottom"/>
            <w:gridSpan w:val="2"/>
          </w:tcPr>
          <w:p>
            <w:pPr>
              <w:spacing w:after="0"/>
              <w:rPr>
                <w:sz w:val="17"/>
                <w:szCs w:val="17"/>
                <w:color w:val="auto"/>
              </w:rPr>
            </w:pPr>
          </w:p>
        </w:tc>
        <w:tc>
          <w:tcPr>
            <w:tcW w:w="220" w:type="dxa"/>
            <w:vAlign w:val="bottom"/>
            <w:gridSpan w:val="5"/>
          </w:tcPr>
          <w:p>
            <w:pPr>
              <w:jc w:val="right"/>
              <w:ind w:right="40"/>
              <w:spacing w:after="0" w:line="202" w:lineRule="exact"/>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41</w:t>
              </w:r>
            </w:hyperlink>
          </w:p>
        </w:tc>
      </w:tr>
      <w:tr>
        <w:trPr>
          <w:trHeight w:val="48"/>
        </w:trPr>
        <w:tc>
          <w:tcPr>
            <w:tcW w:w="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Signature</w:t>
            </w:r>
          </w:p>
        </w:tc>
        <w:tc>
          <w:tcPr>
            <w:tcW w:w="1120" w:type="dxa"/>
            <w:vAlign w:val="bottom"/>
            <w:shd w:val="clear" w:color="auto" w:fill="CCEEFF"/>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2200" w:type="dxa"/>
            <w:vAlign w:val="bottom"/>
            <w:gridSpan w:val="7"/>
            <w:shd w:val="clear" w:color="auto" w:fill="CCEEFF"/>
          </w:tcPr>
          <w:p>
            <w:pPr>
              <w:jc w:val="right"/>
              <w:ind w:right="40"/>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42</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00"/>
          </w:cols>
          <w:pgMar w:left="240" w:top="360"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146"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24765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March 31, 2019</w:t>
            </w:r>
          </w:p>
        </w:tc>
        <w:tc>
          <w:tcPr>
            <w:tcW w:w="220" w:type="dxa"/>
            <w:vAlign w:val="bottom"/>
          </w:tcPr>
          <w:p>
            <w:pPr>
              <w:spacing w:after="0"/>
              <w:rPr>
                <w:sz w:val="15"/>
                <w:szCs w:val="15"/>
                <w:color w:val="auto"/>
              </w:rPr>
            </w:pPr>
          </w:p>
        </w:tc>
        <w:tc>
          <w:tcPr>
            <w:tcW w:w="1240" w:type="dxa"/>
            <w:vAlign w:val="bottom"/>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March 31, 2018</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sales and revenue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Automotive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31,261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32,691</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GM Financial</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3,408</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net sales and revenue (Note 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34,878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36,099</w:t>
            </w:r>
          </w:p>
        </w:tc>
      </w:tr>
      <w:tr>
        <w:trPr>
          <w:trHeight w:val="231"/>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Automotive and other cost of sales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28,229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30,184</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GM Financial interest, operating and other expenses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3,014</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Automotive and other selling, general and administrative expense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2,372</w:t>
            </w:r>
          </w:p>
        </w:tc>
      </w:tr>
      <w:tr>
        <w:trPr>
          <w:trHeight w:val="21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33,634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35,570</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Operating income</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1,244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529</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Automotive interest expense</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150</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income and other non-operating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549</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income (Note 7)</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648</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2,282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1,576</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 (Note 14)</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466</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1,110</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from discontinued operations, net of tax (Note 18)</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1,040</w:t>
            </w:r>
          </w:p>
        </w:tc>
      </w:tr>
      <w:tr>
        <w:trPr>
          <w:trHeight w:val="22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stockholders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1,046</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09"/>
        </w:trPr>
        <w:tc>
          <w:tcPr>
            <w:tcW w:w="8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attributable to common stockholders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1,032</w:t>
            </w:r>
          </w:p>
        </w:tc>
      </w:tr>
      <w:tr>
        <w:trPr>
          <w:trHeight w:val="122"/>
        </w:trPr>
        <w:tc>
          <w:tcPr>
            <w:tcW w:w="8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Earnings per share (Note 17)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 earnings per common share – continuing operations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0.78</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loss per common share – discontinued operations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0.05</w:t>
            </w:r>
          </w:p>
        </w:tc>
      </w:tr>
      <w:tr>
        <w:trPr>
          <w:trHeight w:val="122"/>
        </w:trPr>
        <w:tc>
          <w:tcPr>
            <w:tcW w:w="8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0.73</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1,408</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22"/>
        </w:trPr>
        <w:tc>
          <w:tcPr>
            <w:tcW w:w="8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 earnings per common share – continuing operations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0.77</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 loss per common share – discontinued operations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0.05</w:t>
            </w:r>
          </w:p>
        </w:tc>
      </w:tr>
      <w:tr>
        <w:trPr>
          <w:trHeight w:val="122"/>
        </w:trPr>
        <w:tc>
          <w:tcPr>
            <w:tcW w:w="8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0.72</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1,430</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22"/>
        </w:trPr>
        <w:tc>
          <w:tcPr>
            <w:tcW w:w="8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Dividends declared per common share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0.38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0.38</w:t>
            </w: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46"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24765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March 31, 2019</w:t>
            </w:r>
          </w:p>
        </w:tc>
        <w:tc>
          <w:tcPr>
            <w:tcW w:w="220" w:type="dxa"/>
            <w:vAlign w:val="bottom"/>
          </w:tcPr>
          <w:p>
            <w:pPr>
              <w:spacing w:after="0"/>
              <w:rPr>
                <w:sz w:val="15"/>
                <w:szCs w:val="15"/>
                <w:color w:val="auto"/>
              </w:rPr>
            </w:pPr>
          </w:p>
        </w:tc>
        <w:tc>
          <w:tcPr>
            <w:tcW w:w="1240" w:type="dxa"/>
            <w:vAlign w:val="bottom"/>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March 31, 2018</w:t>
            </w:r>
          </w:p>
        </w:tc>
      </w:tr>
      <w:tr>
        <w:trPr>
          <w:trHeight w:val="237"/>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1,040</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comprehensive income, net of tax (Note 16)</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34</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Defined benefit plans</w:t>
            </w:r>
          </w:p>
        </w:tc>
        <w:tc>
          <w:tcPr>
            <w:tcW w:w="2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27</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2,330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1,067</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w:t>
            </w:r>
          </w:p>
        </w:tc>
      </w:tr>
      <w:tr>
        <w:trPr>
          <w:trHeight w:val="24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stockholders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2,347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1,074</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Reference should be made to the notes to condensed consolidated financial statements.</w:t>
      </w:r>
    </w:p>
    <w:p>
      <w:pPr>
        <w:sectPr>
          <w:pgSz w:w="11900" w:h="16838" w:orient="portrait"/>
          <w:cols w:equalWidth="0" w:num="1">
            <w:col w:w="11420"/>
          </w:cols>
          <w:pgMar w:left="240" w:top="121" w:right="239" w:bottom="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121" w:right="1440"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10"/>
        </w:trPr>
        <w:tc>
          <w:tcPr>
            <w:tcW w:w="7900" w:type="dxa"/>
            <w:vAlign w:val="bottom"/>
          </w:tcPr>
          <w:p>
            <w:pPr>
              <w:ind w:left="36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9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20,844</w:t>
            </w: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Marketable securities (Note 3)</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5,966</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and notes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6,549</w:t>
            </w: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GM Financial receivables, net (Note 4; Note 8 at VIEs)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27,230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26,850</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 (Note 5)</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9,816</w:t>
            </w: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assets (Note 3; Note 8 at VIEs)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5,268</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80,090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75,293</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GM Financial receivables, net (Note 4; Note 8 at VIEs)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25,448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25,083</w:t>
            </w: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in net assets of nonconsolidated affiliates (Note 7)</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9,215</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38,336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38,758</w:t>
            </w: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5,579</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on operating leases, net (Note 6; Note 8 at VIEs)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43,052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43,559</w:t>
            </w: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24,303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24,082</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 (Note 3; Note 8 at VIEs)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5,770</w:t>
            </w:r>
          </w:p>
        </w:tc>
      </w:tr>
      <w:tr>
        <w:trPr>
          <w:trHeight w:val="21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non-current assets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153,042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152,046</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233,132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227,339</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09"/>
        </w:trPr>
        <w:tc>
          <w:tcPr>
            <w:tcW w:w="7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250"/>
        </w:trPr>
        <w:tc>
          <w:tcPr>
            <w:tcW w:w="7900" w:type="dxa"/>
            <w:vAlign w:val="bottom"/>
            <w:tcBorders>
              <w:bottom w:val="single" w:sz="8" w:color="CCEEFF"/>
            </w:tcBorders>
            <w:shd w:val="clear" w:color="auto" w:fill="CCEEFF"/>
          </w:tcPr>
          <w:p>
            <w:pPr>
              <w:ind w:left="29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(principally trade)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24,560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22,297</w:t>
            </w: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Short-term debt and current portion of long-term debt (Note 9)</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935</w:t>
            </w:r>
          </w:p>
        </w:tc>
      </w:tr>
      <w:tr>
        <w:trPr>
          <w:trHeight w:val="237"/>
        </w:trPr>
        <w:tc>
          <w:tcPr>
            <w:tcW w:w="7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GM Financial (Note 8 at VIEs)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31,273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30,956</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27,471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28,049</w:t>
            </w:r>
          </w:p>
        </w:tc>
      </w:tr>
      <w:tr>
        <w:trPr>
          <w:trHeight w:val="21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85,303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82,237</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(Note 9)</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13,028</w:t>
            </w:r>
          </w:p>
        </w:tc>
      </w:tr>
      <w:tr>
        <w:trPr>
          <w:trHeight w:val="237"/>
        </w:trPr>
        <w:tc>
          <w:tcPr>
            <w:tcW w:w="7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GM Financial (Note 8 at VIEs)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60,858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60,032</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Postretirement benefits other than pensions (Note 12)</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5,370</w:t>
            </w: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Pensions (Note 12)</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11,538</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12,357</w:t>
            </w:r>
          </w:p>
        </w:tc>
      </w:tr>
      <w:tr>
        <w:trPr>
          <w:trHeight w:val="21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103,191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102,325</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188,494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184,562</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Equity (Note 16)</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25,563</w:t>
            </w:r>
          </w:p>
        </w:tc>
      </w:tr>
      <w:tr>
        <w:trPr>
          <w:trHeight w:val="237"/>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22,322</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(9,039)</w:t>
            </w:r>
          </w:p>
        </w:tc>
      </w:tr>
      <w:tr>
        <w:trPr>
          <w:trHeight w:val="217"/>
        </w:trPr>
        <w:tc>
          <w:tcPr>
            <w:tcW w:w="79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40,765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38,860</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3,917</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44,638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42,777</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233,132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227,339</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ectPr>
          <w:pgSz w:w="11900" w:h="16838" w:orient="portrait"/>
          <w:cols w:equalWidth="0" w:num="1">
            <w:col w:w="11420"/>
          </w:cols>
          <w:pgMar w:left="240" w:top="121" w:right="239" w:bottom="117"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17"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2"/>
        </w:trPr>
        <w:tc>
          <w:tcPr>
            <w:tcW w:w="7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60" w:type="dxa"/>
            <w:vAlign w:val="bottom"/>
          </w:tcPr>
          <w:p>
            <w:pPr>
              <w:spacing w:after="0"/>
              <w:rPr>
                <w:sz w:val="22"/>
                <w:szCs w:val="22"/>
                <w:color w:val="auto"/>
              </w:rPr>
            </w:pPr>
          </w:p>
        </w:tc>
        <w:tc>
          <w:tcPr>
            <w:tcW w:w="15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1,110</w:t>
            </w:r>
          </w:p>
        </w:tc>
      </w:tr>
      <w:tr>
        <w:trPr>
          <w:trHeight w:val="224"/>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impairment of Equipment on operating leases, net</w:t>
            </w:r>
          </w:p>
        </w:tc>
        <w:tc>
          <w:tcPr>
            <w:tcW w:w="280" w:type="dxa"/>
            <w:vAlign w:val="bottom"/>
          </w:tcPr>
          <w:p>
            <w:pPr>
              <w:spacing w:after="0"/>
              <w:rPr>
                <w:sz w:val="19"/>
                <w:szCs w:val="19"/>
                <w:color w:val="auto"/>
              </w:rPr>
            </w:pP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1,859</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amortization and impairment charges on Property, net</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1,722</w:t>
            </w:r>
          </w:p>
        </w:tc>
      </w:tr>
      <w:tr>
        <w:trPr>
          <w:trHeight w:val="224"/>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remeasurement and transaction losses</w:t>
            </w:r>
          </w:p>
        </w:tc>
        <w:tc>
          <w:tcPr>
            <w:tcW w:w="280" w:type="dxa"/>
            <w:vAlign w:val="bottom"/>
          </w:tcPr>
          <w:p>
            <w:pPr>
              <w:spacing w:after="0"/>
              <w:rPr>
                <w:sz w:val="19"/>
                <w:szCs w:val="19"/>
                <w:color w:val="auto"/>
              </w:rPr>
            </w:pP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243</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Undistributed earnings of nonconsolidated affiliates, net</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r>
      <w:tr>
        <w:trPr>
          <w:trHeight w:val="224"/>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Pension contributions and OPEB payments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Pension and OPEB income, net</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24"/>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(benefit) for deferred taxes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365</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other operating assets and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(3,503)</w:t>
            </w:r>
          </w:p>
        </w:tc>
      </w:tr>
      <w:tr>
        <w:trPr>
          <w:trHeight w:val="21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448</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24"/>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Expenditures for property</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Available-for-sale marketable securities, acquisitions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w:t>
            </w:r>
          </w:p>
        </w:tc>
      </w:tr>
      <w:tr>
        <w:trPr>
          <w:trHeight w:val="224"/>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Available-for-sale marketable securities, liquidations</w:t>
            </w:r>
          </w:p>
        </w:tc>
        <w:tc>
          <w:tcPr>
            <w:tcW w:w="280" w:type="dxa"/>
            <w:vAlign w:val="bottom"/>
          </w:tcPr>
          <w:p>
            <w:pPr>
              <w:spacing w:after="0"/>
              <w:rPr>
                <w:sz w:val="19"/>
                <w:szCs w:val="19"/>
                <w:color w:val="auto"/>
              </w:rPr>
            </w:pP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2,062</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finance receivables, net</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w:t>
            </w:r>
          </w:p>
        </w:tc>
      </w:tr>
      <w:tr>
        <w:trPr>
          <w:trHeight w:val="224"/>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Principal collections and recoveries on finance receivables</w:t>
            </w:r>
          </w:p>
        </w:tc>
        <w:tc>
          <w:tcPr>
            <w:tcW w:w="280" w:type="dxa"/>
            <w:vAlign w:val="bottom"/>
          </w:tcPr>
          <w:p>
            <w:pPr>
              <w:spacing w:after="0"/>
              <w:rPr>
                <w:sz w:val="19"/>
                <w:szCs w:val="19"/>
                <w:color w:val="auto"/>
              </w:rPr>
            </w:pP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6,207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3,478</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leased vehicles, net</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w:t>
            </w:r>
          </w:p>
        </w:tc>
      </w:tr>
      <w:tr>
        <w:trPr>
          <w:trHeight w:val="224"/>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termination of leased vehicles</w:t>
            </w:r>
          </w:p>
        </w:tc>
        <w:tc>
          <w:tcPr>
            <w:tcW w:w="280" w:type="dxa"/>
            <w:vAlign w:val="bottom"/>
          </w:tcPr>
          <w:p>
            <w:pPr>
              <w:spacing w:after="0"/>
              <w:rPr>
                <w:sz w:val="19"/>
                <w:szCs w:val="19"/>
                <w:color w:val="auto"/>
              </w:rPr>
            </w:pP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2,379</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7"/>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used in investing activities – continuing operations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(4,728)</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provided by investing activities – discontinued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w:t>
            </w:r>
          </w:p>
        </w:tc>
      </w:tr>
      <w:tr>
        <w:trPr>
          <w:trHeight w:val="21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(4,562)</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24"/>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increase in short-term debt</w:t>
            </w:r>
          </w:p>
        </w:tc>
        <w:tc>
          <w:tcPr>
            <w:tcW w:w="280" w:type="dxa"/>
            <w:vAlign w:val="bottom"/>
          </w:tcPr>
          <w:p>
            <w:pPr>
              <w:spacing w:after="0"/>
              <w:rPr>
                <w:sz w:val="19"/>
                <w:szCs w:val="19"/>
                <w:color w:val="auto"/>
              </w:rPr>
            </w:pP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issuance of debt (original maturities greater than three months)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11,757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11,334</w:t>
            </w:r>
          </w:p>
        </w:tc>
      </w:tr>
      <w:tr>
        <w:trPr>
          <w:trHeight w:val="224"/>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on debt (original maturities greater than three months)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(6,832)</w:t>
            </w: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paid</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224"/>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3,769</w:t>
            </w:r>
          </w:p>
        </w:tc>
      </w:tr>
      <w:tr>
        <w:trPr>
          <w:trHeight w:val="224"/>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224"/>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80" w:type="dxa"/>
            <w:vAlign w:val="bottom"/>
          </w:tcPr>
          <w:p>
            <w:pPr>
              <w:spacing w:after="0"/>
              <w:rPr>
                <w:sz w:val="19"/>
                <w:szCs w:val="19"/>
                <w:color w:val="auto"/>
              </w:rPr>
            </w:pP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23,496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17,848</w:t>
            </w: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20,781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17,547</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03"/>
        </w:trPr>
        <w:tc>
          <w:tcPr>
            <w:tcW w:w="7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Activity</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property additions – continuing operations</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1,785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ectPr>
          <w:pgSz w:w="11900" w:h="16838" w:orient="portrait"/>
          <w:cols w:equalWidth="0" w:num="1">
            <w:col w:w="11420"/>
          </w:cols>
          <w:pgMar w:left="240" w:top="121" w:right="239" w:bottom="114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144"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Stockholders’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2018</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17,627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36,200</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Adoption of accounting standards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25,337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17,028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35,458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25,563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22,322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42,777</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to noncontrolling interests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25,661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23,939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44,638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21" w:right="25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121"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General Motors Company (sometimes referred to in this Quarterly Report on Form 10-Q as we, our, us, ourselves, the Company, General Motors or GM) designs, builds and sells trucks, crossovers, cars and automobile parts worldwide and is investing in and growing an autonomous vehicle business. We also provide automotive financing services through General Motors Financial Company, Inc. (GM Financial). We analyze the results of our continuing operations through the following operating segments: GM North America (GMNA), GM International Operations (GMIO), GM South America (GMSA), GM Cruise and GM Financial. Our GMSA and GMIO operating segments are reported as one, combined international segment, GM International (GMI). GM Cruise is our global segment responsible for the development and commercialization of autonomous vehicle technology. As a result of the growing importance of our autonomous vehicle operations, we moved these operations from Corporate to GM Cruise and began presenting GM Cruise as a new reportable segment in the three months ended June 30, 2018. All periods presented have been recast to reflect the segment changes. Nonsegment operations and Maven, our ride-and car-sharing business, are classified as Corporate. Corporate includes certain centrally recorded income and costs such as interest, income taxes, corporate expenditures and certain nonsegment-specific revenues and expenses.</w:t>
      </w:r>
    </w:p>
    <w:p>
      <w:pPr>
        <w:spacing w:after="0" w:line="186"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2018 Form 10-K. Except for per share amounts or as otherwise specified, dollar amounts presented within tables are stated in millions. In the three months ended June 30, 2018 we changed the presentation of our condensed consolidated statements of cash flows to separately classify Depreciation and impairment of Equipment on operating leases, net and Depreciation, amortization and impairment charges on Property, net. In the three months ended March 31, 2019 we changed the presentation of our condensed consolidated balance sheets to reclassify the current portion of Equipment on operating leases, net to Other current assets and our condensed consolidated statements of cash flows to reclassify Payments to purchase common stock to Other financing activities. We have made corresponding reclassifications to the comparable information for all periods presented.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We consolidate entities that we control due to ownership of a majority voting interest and we consolidate variable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(VIEs) when we are the primary beneficiary.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Effective January 1, 2019, we adopted Accounting Standards Update (ASU) 2016-02, "Leases" (ASU-2016-02) using the modified retrospective method, resulting in a cumulative-effect adjustment to the opening balance of Retained earnings for an insignificant amount. We recognized $1.0 billion of right of use assets and lease obligations included in Other assets, Accrued liabilities and Other liabilities on our condensed consolidated balance sheet for our existing operating lease portfolio at January 1, 2019. We elected to apply the practical expedient related to land easements, as well as the package of practical expedients permitted under the transition guidance in the new standard, which allowed us to carry forward our historical lease classification. The accounting for our finance leases and leases where we are the lessor remained substantially unchanged. The application of ASU 2016-02 had no impact on our condensed consolidated income statement or condensed consolidated statement of cash flows.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minimum commitments under noncancelable operating leases having initial terms in excess of one year, primarily for property, at December 31, 2018 as disclosed in our 2018 Form 10-K:</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22"/>
                <w:szCs w:val="22"/>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Minimum commitments(a)</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Sublease income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minimum commitments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0"/>
        </w:trPr>
        <w:tc>
          <w:tcPr>
            <w:tcW w:w="4360" w:type="dxa"/>
            <w:vAlign w:val="bottom"/>
            <w:vMerge w:val="restart"/>
          </w:tcPr>
          <w:p>
            <w:pPr>
              <w:jc w:val="right"/>
              <w:ind w:right="3532"/>
              <w:spacing w:after="0"/>
              <w:rPr>
                <w:sz w:val="20"/>
                <w:szCs w:val="20"/>
                <w:color w:val="auto"/>
              </w:rPr>
            </w:pPr>
            <w:r>
              <w:rPr>
                <w:rFonts w:ascii="Times New Roman" w:cs="Times New Roman" w:eastAsia="Times New Roman" w:hAnsi="Times New Roman"/>
                <w:sz w:val="16"/>
                <w:szCs w:val="16"/>
                <w:color w:val="auto"/>
                <w:w w:val="99"/>
              </w:rPr>
              <w:t>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Times New Roman" w:cs="Times New Roman" w:eastAsia="Times New Roman" w:hAnsi="Times New Roman"/>
          <w:sz w:val="16"/>
          <w:szCs w:val="16"/>
          <w:color w:val="auto"/>
        </w:rPr>
        <w:t>(a)</w:t>
        <w:tab/>
        <w:t>Certain leases contain escalation clauses and renewal or purchase options.</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Refer to Note 13 for information on our operating leases at March 31,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 for revenue generating segments: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10"/>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GMNA</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GMI</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GM Cruise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GM</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2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9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20" w:type="dxa"/>
            <w:vAlign w:val="bottom"/>
            <w:tcBorders>
              <w:bottom w:val="single" w:sz="8" w:color="CCEEFF"/>
            </w:tcBorders>
            <w:gridSpan w:val="2"/>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gridSpan w:val="7"/>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25,962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3,567</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29,529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29,529</w:t>
            </w:r>
          </w:p>
        </w:tc>
        <w:tc>
          <w:tcPr>
            <w:tcW w:w="0" w:type="dxa"/>
            <w:vAlign w:val="bottom"/>
          </w:tcPr>
          <w:p>
            <w:pPr>
              <w:spacing w:after="0"/>
              <w:rPr>
                <w:sz w:val="1"/>
                <w:szCs w:val="1"/>
                <w:color w:val="auto"/>
              </w:rPr>
            </w:pPr>
          </w:p>
        </w:tc>
      </w:tr>
      <w:tr>
        <w:trPr>
          <w:trHeight w:val="237"/>
        </w:trPr>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20"/>
                <w:szCs w:val="20"/>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662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662</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1,070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7"/>
              </w:rPr>
              <w:t>(25)</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1,070</w:t>
            </w:r>
          </w:p>
        </w:tc>
        <w:tc>
          <w:tcPr>
            <w:tcW w:w="0" w:type="dxa"/>
            <w:vAlign w:val="bottom"/>
          </w:tcPr>
          <w:p>
            <w:pPr>
              <w:spacing w:after="0"/>
              <w:rPr>
                <w:sz w:val="1"/>
                <w:szCs w:val="1"/>
                <w:color w:val="auto"/>
              </w:rPr>
            </w:pPr>
          </w:p>
        </w:tc>
      </w:tr>
      <w:tr>
        <w:trPr>
          <w:trHeight w:val="217"/>
        </w:trPr>
        <w:tc>
          <w:tcPr>
            <w:tcW w:w="29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27,365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3,850</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31,261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w w:val="97"/>
              </w:rPr>
              <w:t>(25)</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31,261</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2,509</w:t>
            </w:r>
          </w:p>
        </w:tc>
        <w:tc>
          <w:tcPr>
            <w:tcW w:w="0" w:type="dxa"/>
            <w:vAlign w:val="bottom"/>
          </w:tcPr>
          <w:p>
            <w:pPr>
              <w:spacing w:after="0"/>
              <w:rPr>
                <w:sz w:val="1"/>
                <w:szCs w:val="1"/>
                <w:color w:val="auto"/>
              </w:rPr>
            </w:pPr>
          </w:p>
        </w:tc>
      </w:tr>
      <w:tr>
        <w:trPr>
          <w:trHeight w:val="237"/>
        </w:trPr>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985</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17"/>
        </w:trPr>
        <w:tc>
          <w:tcPr>
            <w:tcW w:w="29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3,617</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27,365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3,850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31,261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7"/>
              </w:rPr>
              <w:t>(28)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34,878</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2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GMI</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GM Financial</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9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25,882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30,496</w:t>
            </w:r>
          </w:p>
        </w:tc>
        <w:tc>
          <w:tcPr>
            <w:tcW w:w="680" w:type="dxa"/>
            <w:vAlign w:val="bottom"/>
            <w:tcBorders>
              <w:bottom w:val="single" w:sz="8" w:color="CCEEFF"/>
            </w:tcBorders>
            <w:gridSpan w:val="3"/>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30,489</w:t>
            </w:r>
          </w:p>
        </w:tc>
        <w:tc>
          <w:tcPr>
            <w:tcW w:w="0" w:type="dxa"/>
            <w:vAlign w:val="bottom"/>
          </w:tcPr>
          <w:p>
            <w:pPr>
              <w:spacing w:after="0"/>
              <w:rPr>
                <w:sz w:val="1"/>
                <w:szCs w:val="1"/>
                <w:color w:val="auto"/>
              </w:rPr>
            </w:pPr>
          </w:p>
        </w:tc>
      </w:tr>
      <w:tr>
        <w:trPr>
          <w:trHeight w:val="224"/>
        </w:trPr>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1,185</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781</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1,017</w:t>
            </w:r>
          </w:p>
        </w:tc>
        <w:tc>
          <w:tcPr>
            <w:tcW w:w="0" w:type="dxa"/>
            <w:vAlign w:val="bottom"/>
          </w:tcPr>
          <w:p>
            <w:pPr>
              <w:spacing w:after="0"/>
              <w:rPr>
                <w:sz w:val="1"/>
                <w:szCs w:val="1"/>
                <w:color w:val="auto"/>
              </w:rPr>
            </w:pPr>
          </w:p>
        </w:tc>
      </w:tr>
      <w:tr>
        <w:trPr>
          <w:trHeight w:val="217"/>
        </w:trPr>
        <w:tc>
          <w:tcPr>
            <w:tcW w:w="29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27,818</w:t>
            </w: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4,848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32,715</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32,691</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2,447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2,447</w:t>
            </w:r>
          </w:p>
        </w:tc>
        <w:tc>
          <w:tcPr>
            <w:tcW w:w="0" w:type="dxa"/>
            <w:vAlign w:val="bottom"/>
          </w:tcPr>
          <w:p>
            <w:pPr>
              <w:spacing w:after="0"/>
              <w:rPr>
                <w:sz w:val="1"/>
                <w:szCs w:val="1"/>
                <w:color w:val="auto"/>
              </w:rPr>
            </w:pPr>
          </w:p>
        </w:tc>
      </w:tr>
      <w:tr>
        <w:trPr>
          <w:trHeight w:val="224"/>
        </w:trPr>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864</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7"/>
        </w:trPr>
        <w:tc>
          <w:tcPr>
            <w:tcW w:w="29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9"/>
              </w:rPr>
              <w:t>3,411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3,408</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27,818</w:t>
            </w:r>
          </w:p>
        </w:tc>
        <w:tc>
          <w:tcPr>
            <w:tcW w:w="1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32,715</w:t>
            </w:r>
          </w:p>
        </w:tc>
        <w:tc>
          <w:tcPr>
            <w:tcW w:w="680" w:type="dxa"/>
            <w:vAlign w:val="bottom"/>
            <w:gridSpan w:val="3"/>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3,411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36,099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transferring goods or providing services. Adjustments to sales incentives for previously recognized sales were insignificant in the three months ended March 31, 2019 and 2018.</w:t>
      </w:r>
    </w:p>
    <w:p>
      <w:pPr>
        <w:spacing w:after="0" w:line="162"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Contract liabilities in our Automotive segments consist primarily of maintenance, extended warranty and other service contracts. We recognized revenue of $433 million and $383 million related to contract liabilities during the three months ended March 31, 2019 and 2018. We expect to recognize revenue of $1.1 billion in the nine months ending December 31, 2019 and $588 million, $396 million and $379 million in the years ending December 31, 2020, 2021 and thereafter related to contract liabilities at March 31, 2019.</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and Other Securities</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fair value of cash equivalents and marketable debt securities which approximates cost: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3"/>
                <w:szCs w:val="13"/>
                <w:color w:val="auto"/>
              </w:rPr>
            </w:pPr>
          </w:p>
        </w:tc>
        <w:tc>
          <w:tcPr>
            <w:tcW w:w="146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4"/>
        </w:trPr>
        <w:tc>
          <w:tcPr>
            <w:tcW w:w="68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time deposits(a)</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7,469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7,254</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4,656</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3,791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available-for-sale debt securities – cash equivalents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10,423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3,167</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cash and cash equivalents(b)</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17,176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20,844</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Marketable debt securities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3,478</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Mortgage and asset-backed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available-for-sale debt securities – marketable securities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5,966</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restricted cash</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2,652</w:t>
            </w:r>
          </w:p>
        </w:tc>
        <w:tc>
          <w:tcPr>
            <w:tcW w:w="0" w:type="dxa"/>
            <w:vAlign w:val="bottom"/>
          </w:tcPr>
          <w:p>
            <w:pPr>
              <w:spacing w:after="0"/>
              <w:rPr>
                <w:sz w:val="1"/>
                <w:szCs w:val="1"/>
                <w:color w:val="auto"/>
              </w:rPr>
            </w:pPr>
          </w:p>
        </w:tc>
      </w:tr>
      <w:tr>
        <w:trPr>
          <w:trHeight w:val="109"/>
        </w:trPr>
        <w:tc>
          <w:tcPr>
            <w:tcW w:w="68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Available-for-sale debt securities included above with contractual maturities(c)</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between one and five years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available-for-sale debt securities with contractual maturities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$504 million and $616 million that is designated exclusively to fund capital expenditures in GM Korea Company (GM Korea) at March 31, 2019 and December 31, 2018.</w:t>
      </w: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$2.1 billion and $2.3 billion in GM Cruise at March 31, 2019 and December 31, 2018.</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mortgage and asset-backed securities.</w:t>
      </w:r>
    </w:p>
    <w:p>
      <w:pPr>
        <w:spacing w:after="0" w:line="19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Proceeds from the sale of investments classified as available-for-sale and sold prior to maturity were $611 million and $920 million in the three months ended March 31, 2019 and 2018. Net unrealized gains and losses on available-for-sale debt securities were insignificant in the three months ended March 31, 2019 and 2018. Cumulative unrealized gains and losses on available-for-sale debt securities were insignificant at March 31, 2019 and December 31, 2018.</w:t>
      </w:r>
    </w:p>
    <w:p>
      <w:pPr>
        <w:spacing w:after="0" w:line="217"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Our investment in Lyft, Inc. (Lyft) is estimated at fair value using Level 3 inputs because the investment is subject to transfer restrictions. The fair value of our investment in Lyft at March 31, 2019 uses Lyft’s quoted market price, less a discount for the lack of marketability due to the restriction from selling our shares until September 26, 2019. The estimated volatility of Lyft’s common stock represents the significant unobservable input to the put option pricing model used to derive the fair value of our investment. The fair value of this investment was $1.2 billion and $884 million in Other assets at March 31, 2019 and December 31, 2018. We recorded an unrealized gain of $285 million in Interest income and other non-operating income, net in the three months ended March 31, 2019. Refer to Item 3. Quantitative and Qualitative Disclosures About Market Risk for exposure to equity price market risk.</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 to the total shown in the condensed consolidated statement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49"/>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17,176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20,781</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GM Financial Receivables and Transactions</w:t>
            </w: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44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20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20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1"/>
        </w:trPr>
        <w:tc>
          <w:tcPr>
            <w:tcW w:w="44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446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Finance receivables, collectively evaluated for impairment,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of fees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39,331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11,904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51,235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38,220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12,235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50,455</w:t>
            </w:r>
          </w:p>
        </w:tc>
        <w:tc>
          <w:tcPr>
            <w:tcW w:w="0" w:type="dxa"/>
            <w:vAlign w:val="bottom"/>
          </w:tcPr>
          <w:p>
            <w:pPr>
              <w:spacing w:after="0"/>
              <w:rPr>
                <w:sz w:val="1"/>
                <w:szCs w:val="1"/>
                <w:color w:val="auto"/>
              </w:rPr>
            </w:pPr>
          </w:p>
        </w:tc>
      </w:tr>
      <w:tr>
        <w:trPr>
          <w:trHeight w:val="225"/>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receivables, individually evaluated for impairment,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of fees(b)</w:t>
            </w:r>
          </w:p>
        </w:tc>
        <w:tc>
          <w:tcPr>
            <w:tcW w:w="24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2,389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11,938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53,602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40,568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12,276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52,844</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allowance for loan losses(b)</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 receivables,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40,802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52,678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39,724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12,209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51,933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GM Financial receivables utilizing Level 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inputs</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12,209</w:t>
            </w:r>
          </w:p>
        </w:tc>
        <w:tc>
          <w:tcPr>
            <w:tcW w:w="0" w:type="dxa"/>
            <w:vAlign w:val="bottom"/>
          </w:tcPr>
          <w:p>
            <w:pPr>
              <w:spacing w:after="0"/>
              <w:rPr>
                <w:sz w:val="1"/>
                <w:szCs w:val="1"/>
                <w:color w:val="auto"/>
              </w:rPr>
            </w:pPr>
          </w:p>
        </w:tc>
      </w:tr>
      <w:tr>
        <w:trPr>
          <w:trHeight w:val="225"/>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GM Financial receivables utilizing Level 3</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inputs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40,830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39,430</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3" w:lineRule="exact"/>
        <w:rPr>
          <w:sz w:val="20"/>
          <w:szCs w:val="20"/>
          <w:color w:val="auto"/>
        </w:rPr>
      </w:pPr>
    </w:p>
    <w:p>
      <w:pPr>
        <w:ind w:left="340" w:hanging="332"/>
        <w:spacing w:after="0" w:line="246"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dealer cash management balances of $1.1 billion and $922 million at March 31, 2019 and December 31, 2018. Under the cash management program, subject to certain conditions, a dealer may choose to reduce the amount of interest on their floorplan line by making principal payments to GM Financial in advance.</w:t>
      </w:r>
    </w:p>
    <w:p>
      <w:pPr>
        <w:ind w:left="340" w:hanging="332"/>
        <w:spacing w:after="0" w:line="257"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Retail finance receivables individually evaluated for impairment, net of fees are classified as troubled debt restructurings. The allowance for loan losses included $324 million and $321 million of specific allowances on these receivables at March 31, 2019 and December 31, 2018.</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0"/>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1"/>
                <w:szCs w:val="21"/>
                <w:color w:val="auto"/>
              </w:rPr>
            </w:pPr>
          </w:p>
        </w:tc>
        <w:tc>
          <w:tcPr>
            <w:tcW w:w="13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loan losses at beginning of period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loan losses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912</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allowance for loan losses on retail and commercial finance receivables included a collective allowance of $598 million and $586 million and a specific allowance of $326 million and $325 million at March 31, 2019 and December 31, 2018.</w:t>
      </w:r>
    </w:p>
    <w:p>
      <w:pPr>
        <w:spacing w:after="0" w:line="158" w:lineRule="exact"/>
        <w:rPr>
          <w:sz w:val="20"/>
          <w:szCs w:val="20"/>
          <w:color w:val="auto"/>
        </w:rPr>
      </w:pPr>
    </w:p>
    <w:p>
      <w:pPr>
        <w:jc w:val="both"/>
        <w:ind w:firstLine="16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Retail Finance Receivables </w:t>
      </w:r>
      <w:r>
        <w:rPr>
          <w:rFonts w:ascii="Times New Roman" w:cs="Times New Roman" w:eastAsia="Times New Roman" w:hAnsi="Times New Roman"/>
          <w:sz w:val="18"/>
          <w:szCs w:val="18"/>
          <w:color w:val="auto"/>
        </w:rPr>
        <w:t>We use proprietary scoring systems in the underwriting process that measure the credit quality of retail finance receivables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several factors, such as credit bureau information, consumer credit risk scores (e.g., FICO score or its equivalent) and contract characteristics. We also consider other factors such as employment history, financial stability and capacity to pay. Subsequent to origination we review the credit quality of retail finance receivables based on customer payment activity. At March 31, 2019 and December 31, 2018, 24% and 25% of retail finance receivables were from consumers with sub-prime credit scores, which are defined as a FICO score or its equivalent of less than 620 at the time of loan origination.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An account is considered delinquent if a substantial portion of a scheduled payment has not been received by the date the payment was contractually due. The accrual of finance charge income had been suspended on delinquent retail finance receivables with contractual amounts due of $745 million and $888 million at March 31, 2019 and December 31, 2018. The following table summarizes the contractual amount of delinquent retail finance receivables, which is not significantly different than the recorded investment of the retail finance receivables: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Due</w:t>
            </w: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Due</w:t>
            </w:r>
          </w:p>
        </w:tc>
        <w:tc>
          <w:tcPr>
            <w:tcW w:w="0" w:type="dxa"/>
            <w:vAlign w:val="bottom"/>
          </w:tcPr>
          <w:p>
            <w:pPr>
              <w:spacing w:after="0"/>
              <w:rPr>
                <w:sz w:val="1"/>
                <w:szCs w:val="1"/>
                <w:color w:val="auto"/>
              </w:rPr>
            </w:pPr>
          </w:p>
        </w:tc>
      </w:tr>
      <w:tr>
        <w:trPr>
          <w:trHeight w:val="249"/>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31-to-60 days delinquent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Greater-than-60 days delinquent</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finance receivables more than 30 days delinquent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repossession</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finance receivables more than 30 days delinquent or in repossession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1,923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16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Finance Receivables </w:t>
      </w:r>
      <w:r>
        <w:rPr>
          <w:rFonts w:ascii="Times New Roman" w:cs="Times New Roman" w:eastAsia="Times New Roman" w:hAnsi="Times New Roman"/>
          <w:sz w:val="18"/>
          <w:szCs w:val="18"/>
          <w:color w:val="auto"/>
        </w:rPr>
        <w:t>Our commercial finance receivables consist of dealer financings, primarily for inventory purchases. Proprietary models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used to assign a risk rating to each dealer. We perform periodic credit reviews of each dealership and adjust the dealership's risk rating, if necessary. Dealers in Group VI are subject to additional restrictions on funding, including suspension of lines of credit and liquidation of assets. The commercial finance receivables on non-accrual status were insignificant at March 31, 2019 and December 31, 2018. The following table summarizes the credit risk profile by dealer risk rating of the commercial finance receivables: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7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51"/>
        </w:trPr>
        <w:tc>
          <w:tcPr>
            <w:tcW w:w="900" w:type="dxa"/>
            <w:vAlign w:val="bottom"/>
            <w:tcBorders>
              <w:bottom w:val="single" w:sz="8" w:color="CCEEFF"/>
            </w:tcBorders>
          </w:tcPr>
          <w:p>
            <w:pPr>
              <w:spacing w:after="0"/>
              <w:rPr>
                <w:sz w:val="4"/>
                <w:szCs w:val="4"/>
                <w:color w:val="auto"/>
              </w:rPr>
            </w:pPr>
          </w:p>
        </w:tc>
        <w:tc>
          <w:tcPr>
            <w:tcW w:w="7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44"/>
        </w:trPr>
        <w:tc>
          <w:tcPr>
            <w:tcW w:w="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Group I</w:t>
            </w:r>
          </w:p>
        </w:tc>
        <w:tc>
          <w:tcPr>
            <w:tcW w:w="7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Dealers with superior financial metrics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2,192</w:t>
            </w:r>
          </w:p>
        </w:tc>
      </w:tr>
      <w:tr>
        <w:trPr>
          <w:trHeight w:val="24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II</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Dealers with strong financial metrics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4,399</w:t>
            </w:r>
          </w:p>
        </w:tc>
      </w:tr>
      <w:tr>
        <w:trPr>
          <w:trHeight w:val="27"/>
        </w:trPr>
        <w:tc>
          <w:tcPr>
            <w:tcW w:w="90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Group III</w:t>
            </w:r>
          </w:p>
        </w:tc>
        <w:tc>
          <w:tcPr>
            <w:tcW w:w="7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Dealers with fair financial metrics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4,064</w:t>
            </w:r>
          </w:p>
        </w:tc>
      </w:tr>
      <w:tr>
        <w:trPr>
          <w:trHeight w:val="24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IV</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Dealers with weak financial metrics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1,116</w:t>
            </w:r>
          </w:p>
        </w:tc>
      </w:tr>
      <w:tr>
        <w:trPr>
          <w:trHeight w:val="27"/>
        </w:trPr>
        <w:tc>
          <w:tcPr>
            <w:tcW w:w="90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Group V</w:t>
            </w:r>
          </w:p>
        </w:tc>
        <w:tc>
          <w:tcPr>
            <w:tcW w:w="7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Dealers warranting special mention due to elevated risks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422</w:t>
            </w:r>
          </w:p>
        </w:tc>
      </w:tr>
      <w:tr>
        <w:trPr>
          <w:trHeight w:val="243"/>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VI</w:t>
            </w: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Dealers with loans classified as substandard, doubtful or impaired</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90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900" w:type="dxa"/>
            <w:vAlign w:val="bottom"/>
            <w:tcBorders>
              <w:bottom w:val="single" w:sz="8" w:color="CCEEFF"/>
            </w:tcBorders>
            <w:shd w:val="clear" w:color="auto" w:fill="CCEEFF"/>
          </w:tcPr>
          <w:p>
            <w:pPr>
              <w:spacing w:after="0"/>
              <w:rPr>
                <w:sz w:val="22"/>
                <w:szCs w:val="22"/>
                <w:color w:val="auto"/>
              </w:rPr>
            </w:pPr>
          </w:p>
        </w:tc>
        <w:tc>
          <w:tcPr>
            <w:tcW w:w="7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12,276</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7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GM Financial </w:t>
      </w:r>
      <w:r>
        <w:rPr>
          <w:rFonts w:ascii="Times New Roman" w:cs="Times New Roman" w:eastAsia="Times New Roman" w:hAnsi="Times New Roman"/>
          <w:sz w:val="18"/>
          <w:szCs w:val="18"/>
          <w:color w:val="auto"/>
        </w:rPr>
        <w:t>The following table shows transactions between our Automotive segments and GM Financial. These amounts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presented in GM Financial's condensed consolidated balance sheets and statements of income.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51"/>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Sheets(a)</w:t>
            </w: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finance receivables, net due from GM consolidated dealers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receivables from GM subsidiaries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Subvention receivable(b)</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loan funding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481"/>
        </w:trPr>
        <w:tc>
          <w:tcPr>
            <w:tcW w:w="8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62"/>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Pr>
          <w:p>
            <w:pPr>
              <w:spacing w:after="0"/>
              <w:rPr>
                <w:sz w:val="22"/>
                <w:szCs w:val="22"/>
                <w:color w:val="auto"/>
              </w:rPr>
            </w:pPr>
          </w:p>
        </w:tc>
        <w:tc>
          <w:tcPr>
            <w:tcW w:w="14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subvention earned on finance receivables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Leased vehicle subvention earned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43"/>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balance sheet amounts are eliminated upon consolidation.</w:t>
      </w:r>
    </w:p>
    <w:p>
      <w:pPr>
        <w:spacing w:after="0" w:line="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paid by Automotive segments to GM Financial for subvention was $1.1 billion and $642 million in the three months ended March 31, 2019 and 2018.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productive material, supplies and work in process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4,274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5,542</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9,816</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Equipment on Operating Leases</w:t>
      </w:r>
    </w:p>
    <w:p>
      <w:pPr>
        <w:spacing w:after="0" w:line="121"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Equipment on operating leases consists primarily of leases to retail customers of GM Financial. The current portion of net equipment on operating leases is presented as Other current assets.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 on operating leases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54,872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55,282</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 on operating leases,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43,240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43,806</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expense related to Equipment on operating leases, net was $1.9 billion and $1.8 billion in the three months ended March 31, 2019 and 2018.</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lease payments due to GM Financial on leases to retail customers: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receipts under operating leases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5,220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306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12,424</w:t>
            </w:r>
          </w:p>
        </w:tc>
      </w:tr>
      <w:tr>
        <w:trPr>
          <w:trHeight w:val="432"/>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Equity in Net Assets of Nonconsolidated Affiliates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0"/>
        </w:trPr>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55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March 31, 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4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Automotive China equity income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597</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joint ventures equity income</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Equity income</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There have been no significant ownership changes in our Automotive China joint ventures (Automotive China JVs) since December 31,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2"/>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2"/>
                <w:szCs w:val="22"/>
                <w:color w:val="auto"/>
              </w:rPr>
            </w:pPr>
          </w:p>
        </w:tc>
        <w:tc>
          <w:tcPr>
            <w:tcW w:w="12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Summarized Operating Data of Automotive China JVs</w:t>
            </w: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Automotive China JVs' 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10,146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13,719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Automotive China JVs' 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1,177</w:t>
            </w:r>
          </w:p>
        </w:tc>
      </w:tr>
    </w:tbl>
    <w:p>
      <w:pPr>
        <w:spacing w:after="0" w:line="117"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Dividends declared but not paid from our nonconsolidated affiliates were $1.6 billion and an insignificant amount at March 31, 2019 and December 31, 2018. Dividends received from our nonconsolidated affiliates were insignificant in the three months ended March 31, 2019 and 2018. Undistributed earnings from our nonconsolidated affiliates were $2.7 billion and $2.3 billion at March 31, 2019 and December 31, 2018.</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Variable Interest Entities</w:t>
      </w:r>
    </w:p>
    <w:p>
      <w:pPr>
        <w:spacing w:after="0" w:line="121"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 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condensed consolidated financial statements, they are separate legal entities and their assets are legally owned by them and are not available to GM Financial's creditors.</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related to GM Financial's consolidated VIEs: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 – current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 receivables, net of fees – current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18,304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 Financial receivables, net of fees – non-current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13,448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14,008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 equipment on operating leases,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20,313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21,781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 Financial short-term debt and current portion of long-term debt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21,832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21,087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 long-term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21,417</w:t>
            </w:r>
          </w:p>
        </w:tc>
      </w:tr>
      <w:tr>
        <w:trPr>
          <w:trHeight w:val="27"/>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finance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Automotive and GM Financial Debt</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Automotive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14,662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13,435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12,700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automotive debt</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14,953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15,188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13,963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13,531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utilizing Level 1 inputs</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12,353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11,693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Finance lease assets in Property, net were $314 million at March 31, 2019. Finance lease costs were insignificant in the three months ended March 31, 2019. Undiscounted future lease obligations related to finance leases are $106 million in the nine months ending December 31, 2019, $160 million in aggregate for the years 2020 to 2023 and $371 million thereafter, with imputed interest of $346 million at March 31, 2019. The weighted-average discount rate on finance leases was 11.9% and the weighted-average remaining lease term was 14.6 years at March 31, 2019.</w:t>
      </w:r>
    </w:p>
    <w:p>
      <w:pPr>
        <w:spacing w:after="0" w:line="180"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January 2019 we executed a new three-year committed unsecured revolving credit facility with an initial borrowing capacity of $3.0 billion, reducing to $2.0 billion in July 2020. The facility is to fund costs related to the transformation activities announced in November 2018 and to provide additional financial flexibility. In the three months ended March 31, 2019 we borrowed $400 million against this facility to support transformation related disbursements. In April 2019 we renewed our 364-day $2.0 billion credit facility for an additional 364-day term. This facility has been allocated for exclusive use by GM Financial since April 2018.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Secured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41,625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41,738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42,835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42,835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Unsecured debt</w:t>
            </w:r>
          </w:p>
        </w:tc>
        <w:tc>
          <w:tcPr>
            <w:tcW w:w="3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50,506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50,866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48,153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47,556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GM Financial debt</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92,131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92,604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90,988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90,391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90,615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88,305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utilizing Level 3 inputs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Secured debt consists of revolving credit facilities and securitization notes payable. Most of the secured debt was issued by VIEs and is repayable only from proceeds related to the underlying pledged assets. Refer to Note 8 for additional information on GM Financial's involvement with VIEs. In the three months ended March 31, 2019 GM Financial issued $4.6 billion in aggregate principal amount of securitization notes payable with an initial weighted average interest rate of 3.16% and maturity dates ranging from 2023 to 2025.</w:t>
      </w:r>
    </w:p>
    <w:p>
      <w:pPr>
        <w:spacing w:after="0" w:line="180"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Unsecured debt consists of senior notes, credit facilities and other unsecured debt. In the three months ended March 31, 2019 GM Financial issued $3.9 billion in aggregate principal amount of senior notes with an initial weighted average interest rate of 4.22% and maturity dates ranging from 2021 to 2029.</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April 2019 GM Financial issued $1.3 billion in senior notes with an interest rate of 3.55%, due in 2022.</w:t>
      </w:r>
    </w:p>
    <w:p>
      <w:pPr>
        <w:spacing w:after="0" w:line="225"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principal amount outstanding of GM Financial's commercial paper in the U.S. was $1.5 billion and $1.2 billion at March 31, 2019 and December 31, 2018.</w:t>
      </w:r>
    </w:p>
    <w:p>
      <w:pPr>
        <w:spacing w:after="0" w:line="162"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Each of the revolving credit facilities and the indentures governing GM Financial's notes contain terms and covenants, including limitations on GM Financial's ability to incur certain liens.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The following table presents the notional amounts of derivative financial instruments in our automotive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3"/>
                <w:szCs w:val="13"/>
                <w:color w:val="auto"/>
              </w:rPr>
            </w:pPr>
          </w:p>
        </w:tc>
        <w:tc>
          <w:tcPr>
            <w:tcW w:w="1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13"/>
                <w:szCs w:val="13"/>
                <w:color w:val="auto"/>
              </w:rPr>
            </w:pPr>
          </w:p>
        </w:tc>
        <w:tc>
          <w:tcPr>
            <w:tcW w:w="150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4"/>
        </w:trPr>
        <w:tc>
          <w:tcPr>
            <w:tcW w:w="68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2,710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Commodity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PSA warrants(b)</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7"/>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derivative financial instruments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these derivative instruments at March 31, 2019 and December 31, 2018 and the gains/losses included in our condensed consolidated income statements for the three months ended March 31, 2019 and 2018 were insignificant, unless otherwise noted.</w:t>
      </w:r>
    </w:p>
    <w:p>
      <w:pPr>
        <w:ind w:left="340" w:hanging="332"/>
        <w:spacing w:after="0" w:line="257"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PSA warrants located in Other assets was $950 million and $827 million at March 31, 2019 and December 31, 2018. We recorded gains in Interest income and other non-operating income, net of $139 million and $127 million in the three months ended March 31, 2019 and 2018.</w:t>
      </w:r>
    </w:p>
    <w:p>
      <w:pPr>
        <w:spacing w:after="0" w:line="151"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We estimate the fair value of the PSA warrants using a Black-Scholes formula. The significant inputs to the model include the PSA stock price and the estimated dividend yield. We are entitled to receive any dividends declared by PSA through the conversion date upon exercise of the warrants.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The following table presents the notional amounts of GM Financial's derivative financial instruments: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3"/>
                <w:szCs w:val="13"/>
                <w:color w:val="auto"/>
              </w:rPr>
            </w:pPr>
          </w:p>
        </w:tc>
        <w:tc>
          <w:tcPr>
            <w:tcW w:w="1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Pr>
          <w:p>
            <w:pPr>
              <w:spacing w:after="0"/>
              <w:rPr>
                <w:sz w:val="13"/>
                <w:szCs w:val="13"/>
                <w:color w:val="auto"/>
              </w:rPr>
            </w:pPr>
          </w:p>
        </w:tc>
        <w:tc>
          <w:tcPr>
            <w:tcW w:w="14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4"/>
        </w:trPr>
        <w:tc>
          <w:tcPr>
            <w:tcW w:w="70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hedges(a)</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hedges – interest rate swaps(b)</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9,533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hedges – foreign currency swaps(b)</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 hedges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swaps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contracts(c)</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96,296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99,666</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derivative financial instruments(d)</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115,029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113,871</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51"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these derivative instruments at March 31, 2019 and December 31, 2018 and the gains/losses included in our condensed consolidated income statements and statements of comprehensive income for the three months ended March 31, 2019 and 2018 were insignificant, unless otherwise noted. Amounts accrued for interest payments in a net receivable position are included in Other assets. Amounts accrued for interest payments in a net payable position are included in Other liabilities.</w:t>
      </w:r>
    </w:p>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these derivative instruments located in Other liabilities was insignificant and $291 million at March 31, 2019 and December 31, 2018.</w:t>
      </w:r>
    </w:p>
    <w:p>
      <w:pPr>
        <w:spacing w:after="0" w:line="5" w:lineRule="exact"/>
        <w:rPr>
          <w:rFonts w:ascii="Times New Roman" w:cs="Times New Roman" w:eastAsia="Times New Roman" w:hAnsi="Times New Roman"/>
          <w:sz w:val="16"/>
          <w:szCs w:val="16"/>
          <w:color w:val="auto"/>
        </w:rPr>
      </w:pPr>
    </w:p>
    <w:p>
      <w:pPr>
        <w:ind w:left="340" w:hanging="332"/>
        <w:spacing w:after="0" w:line="246"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these derivative instruments located in Other assets was $233 million and $372 million at March 31, 2019 and December 31, 2018. The fair value of these derivative instruments located in Other liabilities was $428 million and $520 million at March 31, 2019 and December 31, 2018.</w:t>
      </w:r>
    </w:p>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held insignificant amounts and posted $284 million and $451 million of collateral available for netting at March 31, 2019 and December 31, 2018.</w:t>
      </w:r>
    </w:p>
    <w:p>
      <w:pPr>
        <w:spacing w:after="0" w:line="199"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62"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The following amounts were recorded in the condensed consolidated balance sheets related to items designated and qualifying as hedged items in fair value hedging relationships: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4"/>
          </w:tcPr>
          <w:p>
            <w:pPr>
              <w:jc w:val="right"/>
              <w:ind w:right="1608"/>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4"/>
          </w:tcPr>
          <w:p>
            <w:pPr>
              <w:jc w:val="right"/>
              <w:ind w:right="1488"/>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40"/>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3"/>
                <w:szCs w:val="13"/>
                <w:b w:val="1"/>
                <w:bCs w:val="1"/>
                <w:color w:val="auto"/>
                <w:w w:val="96"/>
              </w:rPr>
              <w:t>Cumulative Amount of Fair Value</w:t>
            </w:r>
          </w:p>
        </w:tc>
        <w:tc>
          <w:tcPr>
            <w:tcW w:w="160" w:type="dxa"/>
            <w:vAlign w:val="bottom"/>
          </w:tcPr>
          <w:p>
            <w:pPr>
              <w:spacing w:after="0"/>
              <w:rPr>
                <w:sz w:val="12"/>
                <w:szCs w:val="12"/>
                <w:color w:val="auto"/>
              </w:rPr>
            </w:pPr>
          </w:p>
        </w:tc>
        <w:tc>
          <w:tcPr>
            <w:tcW w:w="188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80" w:type="dxa"/>
            <w:vAlign w:val="bottom"/>
          </w:tcPr>
          <w:p>
            <w:pPr>
              <w:spacing w:after="0"/>
              <w:rPr>
                <w:sz w:val="12"/>
                <w:szCs w:val="12"/>
                <w:color w:val="auto"/>
              </w:rPr>
            </w:pPr>
          </w:p>
        </w:tc>
        <w:tc>
          <w:tcPr>
            <w:tcW w:w="2100" w:type="dxa"/>
            <w:vAlign w:val="bottom"/>
          </w:tcPr>
          <w:p>
            <w:pPr>
              <w:jc w:val="center"/>
              <w:ind w:right="108"/>
              <w:spacing w:after="0" w:line="141" w:lineRule="exact"/>
              <w:rPr>
                <w:sz w:val="20"/>
                <w:szCs w:val="20"/>
                <w:color w:val="auto"/>
              </w:rPr>
            </w:pPr>
            <w:r>
              <w:rPr>
                <w:rFonts w:ascii="Times New Roman" w:cs="Times New Roman" w:eastAsia="Times New Roman" w:hAnsi="Times New Roman"/>
                <w:sz w:val="13"/>
                <w:szCs w:val="13"/>
                <w:b w:val="1"/>
                <w:bCs w:val="1"/>
                <w:color w:val="auto"/>
                <w:w w:val="96"/>
              </w:rPr>
              <w:t>Cumulative Amount of Fair Value</w:t>
            </w:r>
          </w:p>
        </w:tc>
      </w:tr>
      <w:tr>
        <w:trPr>
          <w:trHeight w:val="176"/>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Carrying Amount of Hedged Items</w:t>
            </w:r>
          </w:p>
        </w:tc>
        <w:tc>
          <w:tcPr>
            <w:tcW w:w="180" w:type="dxa"/>
            <w:vAlign w:val="bottom"/>
          </w:tcPr>
          <w:p>
            <w:pPr>
              <w:spacing w:after="0"/>
              <w:rPr>
                <w:sz w:val="15"/>
                <w:szCs w:val="15"/>
                <w:color w:val="auto"/>
              </w:rPr>
            </w:pPr>
          </w:p>
        </w:tc>
        <w:tc>
          <w:tcPr>
            <w:tcW w:w="22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Hedging Adjustments(a)</w:t>
            </w:r>
          </w:p>
        </w:tc>
        <w:tc>
          <w:tcPr>
            <w:tcW w:w="160" w:type="dxa"/>
            <w:vAlign w:val="bottom"/>
          </w:tcPr>
          <w:p>
            <w:pPr>
              <w:spacing w:after="0"/>
              <w:rPr>
                <w:sz w:val="15"/>
                <w:szCs w:val="15"/>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80" w:type="dxa"/>
            <w:vAlign w:val="bottom"/>
          </w:tcPr>
          <w:p>
            <w:pPr>
              <w:spacing w:after="0"/>
              <w:rPr>
                <w:sz w:val="15"/>
                <w:szCs w:val="15"/>
                <w:color w:val="auto"/>
              </w:rPr>
            </w:pPr>
          </w:p>
        </w:tc>
        <w:tc>
          <w:tcPr>
            <w:tcW w:w="2100" w:type="dxa"/>
            <w:vAlign w:val="bottom"/>
          </w:tcPr>
          <w:p>
            <w:pPr>
              <w:jc w:val="center"/>
              <w:ind w:right="108"/>
              <w:spacing w:after="0"/>
              <w:rPr>
                <w:sz w:val="20"/>
                <w:szCs w:val="20"/>
                <w:color w:val="auto"/>
              </w:rPr>
            </w:pPr>
            <w:r>
              <w:rPr>
                <w:rFonts w:ascii="Times New Roman" w:cs="Times New Roman" w:eastAsia="Times New Roman" w:hAnsi="Times New Roman"/>
                <w:sz w:val="13"/>
                <w:szCs w:val="13"/>
                <w:b w:val="1"/>
                <w:bCs w:val="1"/>
                <w:color w:val="auto"/>
                <w:w w:val="96"/>
              </w:rPr>
              <w:t>Hedging Adjustments(a)</w:t>
            </w:r>
          </w:p>
        </w:tc>
      </w:tr>
      <w:tr>
        <w:trPr>
          <w:trHeight w:val="250"/>
        </w:trPr>
        <w:tc>
          <w:tcPr>
            <w:tcW w:w="20" w:type="dxa"/>
            <w:vAlign w:val="bottom"/>
          </w:tcPr>
          <w:p>
            <w:pPr>
              <w:spacing w:after="0"/>
              <w:rPr>
                <w:sz w:val="21"/>
                <w:szCs w:val="21"/>
                <w:color w:val="auto"/>
              </w:rPr>
            </w:pPr>
          </w:p>
        </w:tc>
        <w:tc>
          <w:tcPr>
            <w:tcW w:w="2600" w:type="dxa"/>
            <w:vAlign w:val="bottom"/>
            <w:tcBorders>
              <w:top w:val="single" w:sz="8" w:color="CCEEFF"/>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99"/>
              </w:rPr>
              <w:t>GM Financial long-term debt</w:t>
            </w:r>
          </w:p>
        </w:tc>
        <w:tc>
          <w:tcPr>
            <w:tcW w:w="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20,200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17,923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459</w:t>
            </w:r>
          </w:p>
        </w:tc>
      </w:tr>
      <w:tr>
        <w:trPr>
          <w:trHeight w:val="193"/>
        </w:trPr>
        <w:tc>
          <w:tcPr>
            <w:tcW w:w="20" w:type="dxa"/>
            <w:vAlign w:val="bottom"/>
          </w:tcPr>
          <w:p>
            <w:pPr>
              <w:spacing w:after="0"/>
              <w:rPr>
                <w:sz w:val="16"/>
                <w:szCs w:val="16"/>
                <w:color w:val="auto"/>
              </w:rPr>
            </w:pPr>
          </w:p>
        </w:tc>
        <w:tc>
          <w:tcPr>
            <w:tcW w:w="2600" w:type="dxa"/>
            <w:vAlign w:val="bottom"/>
          </w:tcPr>
          <w:p>
            <w:pPr>
              <w:jc w:val="right"/>
              <w:ind w:right="1714"/>
              <w:spacing w:after="0"/>
              <w:rPr>
                <w:sz w:val="20"/>
                <w:szCs w:val="20"/>
                <w:color w:val="auto"/>
              </w:rPr>
            </w:pPr>
            <w:r>
              <w:rPr>
                <w:rFonts w:ascii="Times New Roman" w:cs="Times New Roman" w:eastAsia="Times New Roman" w:hAnsi="Times New Roman"/>
                <w:sz w:val="16"/>
                <w:szCs w:val="16"/>
                <w:color w:val="auto"/>
                <w:w w:val="97"/>
              </w:rPr>
              <w:t>__________</w:t>
            </w:r>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16"/>
                <w:szCs w:val="16"/>
                <w:color w:val="auto"/>
              </w:rPr>
            </w:pPr>
          </w:p>
        </w:tc>
      </w:tr>
    </w:tbl>
    <w:p>
      <w:pPr>
        <w:ind w:left="340" w:hanging="332"/>
        <w:spacing w:after="0" w:line="257"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$228 million and $247 million of adjustments remaining on hedged items for which hedge accounting has been discontinued at March 31, 2019 and December 31, 2018.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Product Warranty and Related Liabilities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 w:type="dxa"/>
            <w:vAlign w:val="bottom"/>
          </w:tcPr>
          <w:p>
            <w:pPr>
              <w:spacing w:after="0"/>
              <w:rPr>
                <w:sz w:val="22"/>
                <w:szCs w:val="22"/>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49"/>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Warranty balance at beginning of period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8,332</w:t>
            </w:r>
          </w:p>
        </w:tc>
      </w:tr>
      <w:tr>
        <w:trPr>
          <w:trHeight w:val="290"/>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Warranties issued and assumed in period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recall campaigns</w:t>
            </w:r>
          </w:p>
        </w:tc>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r>
      <w:tr>
        <w:trPr>
          <w:trHeight w:val="304"/>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Warranties issued and assumed in period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product warranty</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pre-existing warranties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Warranty 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7,552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8,133</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We estimate our reasonably possible loss in excess of amounts accrued for recall campaigns to be insignificant at March 31, 2019. Refer to Note 13 for reasonably possible losses on Takata Corporation (Takata) matters.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Pensions and Other Postretirement Benefits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22"/>
                <w:szCs w:val="22"/>
                <w:color w:val="auto"/>
              </w:rPr>
            </w:pP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22"/>
                <w:szCs w:val="22"/>
                <w:color w:val="auto"/>
              </w:rPr>
            </w:pPr>
          </w:p>
        </w:tc>
        <w:tc>
          <w:tcPr>
            <w:tcW w:w="10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5"/>
                <w:szCs w:val="5"/>
                <w:color w:val="auto"/>
              </w:rPr>
            </w:pP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12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5"/>
                <w:szCs w:val="5"/>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net actuarial losses</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non-service cost components of net periodic pension and other postretirement benefits (OPEB) income of $230 million and $421 million in the three months ended March 31, 2019 and 2018 are presented in Interest income and other non-operating income,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Litigation-Related Liability and Tax Administrative Matters </w:t>
      </w:r>
      <w:r>
        <w:rPr>
          <w:rFonts w:ascii="Times New Roman" w:cs="Times New Roman" w:eastAsia="Times New Roman" w:hAnsi="Times New Roman"/>
          <w:sz w:val="18"/>
          <w:szCs w:val="18"/>
          <w:color w:val="auto"/>
        </w:rPr>
        <w:t>In the normal course of our business, we are named from time to time as a defendant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March 31, 2019 and December 31, 2018, we had accruals of $1.4 billion and $1.3 billion in Accrued liabilities and Other liabilities. In many matters, it is inherently difficult to determine whether loss is probable or reasonably possible or to estimate the size or range of the possible loss. Accordingly, adverse outcomes from such proceedings could exceed the amounts accrued by an amount that could be material to our results of operations or cash flows in any particular reporting period.</w:t>
      </w:r>
    </w:p>
    <w:p>
      <w:pPr>
        <w:spacing w:after="0" w:line="183"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Proceedings Related to Ignition Switch Recall and Other Recalls </w:t>
      </w:r>
      <w:r>
        <w:rPr>
          <w:rFonts w:ascii="Times New Roman" w:cs="Times New Roman" w:eastAsia="Times New Roman" w:hAnsi="Times New Roman"/>
          <w:sz w:val="18"/>
          <w:szCs w:val="18"/>
          <w:color w:val="auto"/>
        </w:rPr>
        <w:t>In 2014 we announced various recalls relating to safety and other matters. Those recalls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73" w:lineRule="exact"/>
        <w:rPr>
          <w:sz w:val="20"/>
          <w:szCs w:val="20"/>
          <w:color w:val="auto"/>
        </w:rPr>
      </w:pPr>
    </w:p>
    <w:p>
      <w:pPr>
        <w:jc w:val="both"/>
        <w:ind w:firstLine="16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Economic-Loss Claims </w:t>
      </w:r>
      <w:r>
        <w:rPr>
          <w:rFonts w:ascii="Times New Roman" w:cs="Times New Roman" w:eastAsia="Times New Roman" w:hAnsi="Times New Roman"/>
          <w:sz w:val="18"/>
          <w:szCs w:val="18"/>
          <w:color w:val="auto"/>
        </w:rPr>
        <w:t>We are aware of over 100 putative class actions pending against GM in U.S. and Canadian courts alleging that consumers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or leased vehicles manufactured by GM or Motors Liquidation Company (MLC), formerly known as General Motors Corporation, had been economically harmed by one or more of the 2014 recalls and/or the underlying vehicle conditions associated with those recalls (economic-loss cases). In general, these economic-loss cases seek recovery for purported compensatory damages, such as alleged benefit-of-the-bargain damages or damages related to alleged diminution in value of the vehicles, as well as punitive damages, injunctive relief and other relief.</w:t>
      </w:r>
    </w:p>
    <w:p>
      <w:pPr>
        <w:spacing w:after="0" w:line="182"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Many of the pending U.S. economic-loss claims have been transferred to, and consolidated in, a single federal court, the U.S. District Court for the Southern District of New York (Southern District). These plaintiffs have asserted economic-loss claims under federal and state laws, including claims relating to recalled vehicles manufactured by GM and claims asserting successor liability relating to certain recalled vehicles manufactured by MLC.</w:t>
      </w:r>
    </w:p>
    <w:p>
      <w:pPr>
        <w:spacing w:after="0" w:line="176"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In August 2017 the Southern District granted our motion to dismiss the successor liability claims of plaintiffs in seven of the sixteen states at issue on the motion and called for additional briefing to decide whether plaintiffs' claims can proceed in the other nine states. In December 2017, the Southern District granted GM's motion and dismissed the plaintiffs' successor liability claims in an additional state, but found that there are genuine issues of material fact that prevent summary judgment for GM in eight other states. In January 2018, GM moved for reconsideration of certain portions of the Southern District's December 2017 summary judgment ruling. That motion was granted in April 2018, dismissing plaintiffs' successor liability claims in any state where New York law applies.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September 2018, the Southern District granted our motion to dismiss claims for lost personal time (in 41 out of 47 jurisdictions) and certain unjust enrichment claims, but denied our motion to dismiss plaintiffs’ economic loss claims in 27 jurisdictions under the "manifest defect" rule. Significant summary judgment, class certification, and expert evidentiary motions remain at issue.</w:t>
      </w:r>
    </w:p>
    <w:p>
      <w:pPr>
        <w:spacing w:after="0" w:line="174"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Personal Injury Claims </w:t>
      </w:r>
      <w:r>
        <w:rPr>
          <w:rFonts w:ascii="Times New Roman" w:cs="Times New Roman" w:eastAsia="Times New Roman" w:hAnsi="Times New Roman"/>
          <w:sz w:val="18"/>
          <w:szCs w:val="18"/>
          <w:color w:val="auto"/>
        </w:rPr>
        <w:t>We also are aware of several hundred actions pending in various courts in the U.S. and Canada alleging injury or death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defects that may be the subject of the 2014 recalls (personal injury cases). In general, these cases seek recovery for purported compensatory damages, punitive damages and/or other relief. Since 2016, several bellwether trials of personal injury cases have taken place in the Southern District and in a Texas state court, which is administering a Texas state multi-district litigation. None of these trials resulted in a finding of liability against GM.</w:t>
      </w:r>
    </w:p>
    <w:p>
      <w:pPr>
        <w:spacing w:after="0" w:line="180" w:lineRule="exact"/>
        <w:rPr>
          <w:sz w:val="20"/>
          <w:szCs w:val="20"/>
          <w:color w:val="auto"/>
        </w:rPr>
      </w:pPr>
    </w:p>
    <w:p>
      <w:pPr>
        <w:jc w:val="both"/>
        <w:ind w:firstLine="16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Appellate Litigation Regarding Successor Liability Ignition Switch Claims </w:t>
      </w:r>
      <w:r>
        <w:rPr>
          <w:rFonts w:ascii="Times New Roman" w:cs="Times New Roman" w:eastAsia="Times New Roman" w:hAnsi="Times New Roman"/>
          <w:sz w:val="18"/>
          <w:szCs w:val="18"/>
          <w:color w:val="auto"/>
        </w:rPr>
        <w:t>In 2016, the United States Court of Appeals for the Second Circuit held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2009 order of the Bankruptcy Court approving the sale of substantially all of the assets of MLC to GM free and clear of, among other things, claims asserting successor liability for obligations owed by MLC (successor liability claims) could not be enforced to bar claims against GM asserted by either plaintiffs who purchased used vehicles after the sale or against purchasers who asserted claims relating to the ignition switch defect, including pre-sale personal injury claims and economic-loss claims.</w:t>
      </w:r>
    </w:p>
    <w:p>
      <w:pPr>
        <w:spacing w:after="0" w:line="180"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Contingently Issuable Shares </w:t>
      </w:r>
      <w:r>
        <w:rPr>
          <w:rFonts w:ascii="Times New Roman" w:cs="Times New Roman" w:eastAsia="Times New Roman" w:hAnsi="Times New Roman"/>
          <w:sz w:val="18"/>
          <w:szCs w:val="18"/>
          <w:color w:val="auto"/>
        </w:rPr>
        <w:t>Under the Amended and Restated Master Sale and Purchase Agreement between us and MLC, GM may be obligated to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shares (Adjustment Shares) of our common stock if allowed general unsecured claims against the MLC GUC Trust (GUC Trust), as estimated by the Bankruptcy Court, exceed $35.0 billion. The maximum number of Adjustment Shares issuable is 30 million shares (subject to adjustment to take into account stock dividends, stock splits and other transactions), which amounts to approximately $1.2 billion based on the GM share price as of </w:t>
      </w:r>
      <w:r>
        <w:rPr>
          <w:rFonts w:ascii="Times New Roman" w:cs="Times New Roman" w:eastAsia="Times New Roman" w:hAnsi="Times New Roman"/>
          <w:sz w:val="17"/>
          <w:szCs w:val="17"/>
          <w:color w:val="auto"/>
        </w:rPr>
        <w:t>April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2019</w:t>
      </w:r>
      <w:r>
        <w:rPr>
          <w:rFonts w:ascii="Times New Roman" w:cs="Times New Roman" w:eastAsia="Times New Roman" w:hAnsi="Times New Roman"/>
          <w:sz w:val="18"/>
          <w:szCs w:val="18"/>
          <w:color w:val="auto"/>
        </w:rPr>
        <w:t>. The GUC Trust stated in public filings that allowed general unsecured claims were approximately $31.9 billion at December 31, 2018. In 2016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8"/>
          <w:szCs w:val="18"/>
          <w:color w:val="auto"/>
        </w:rPr>
        <w:t>2017, certain personal injury and economic loss plaintiffs filed motions in the Bankruptcy Court seeking authority to file late claims against the GUC Trust. In May 2018, the GUC Trust filed motions seeking the Bankruptcy Court’s approval of a proposed settlement with certain personal injury and economic loss plaintiffs, approval of a notice relating to that proposed settlement and estimation of alleged personal injury and economic loss late claims for the purpose of obtaining an order requiring GM to issue the maximum number of Adjustment Shares. GM vigorously contested each of these motions.</w:t>
      </w:r>
    </w:p>
    <w:p>
      <w:pPr>
        <w:spacing w:after="0" w:line="191"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September 2018 the Bankruptcy Court denied without prejudice the GUC Trust’s motions described above, finding that the settling parties first need to obtain class certification with respect to the economic loss late claims. In February 2019, the GUC Trust and certain plaintiffs filed a motion with the Bankruptcy Court requesting approval of a new settlement to obtain the maximum number of Adjustment Shares. In March 2019, we asserted several legal objections to this new settlement. We are unable to estimate any reasonably possible loss or range of loss that may result from this matter.</w:t>
      </w:r>
    </w:p>
    <w:p>
      <w:pPr>
        <w:spacing w:after="0" w:line="178"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Government Matters </w:t>
      </w:r>
      <w:r>
        <w:rPr>
          <w:rFonts w:ascii="Times New Roman" w:cs="Times New Roman" w:eastAsia="Times New Roman" w:hAnsi="Times New Roman"/>
          <w:sz w:val="18"/>
          <w:szCs w:val="18"/>
          <w:color w:val="auto"/>
        </w:rPr>
        <w:t>In connection with the 2014 recalls, we have from time to time received subpoenas and other requests for information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investigations by agencies or other representatives of U.S. federal, state and the Canadian governments. GM is cooperating with all reasonable pending requests for information. Any existing governmental matters or investigations could in the future result in the imposition of damages, fines, civil consent orders, civil and criminal penalties or other remedies.</w:t>
      </w:r>
    </w:p>
    <w:p>
      <w:pPr>
        <w:spacing w:after="0" w:line="182"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The total amount accrued for the 2014 recalls at March 31, 2019 reflects amounts for a combination of settled but unpaid matters, and for the remaining unsettled investigations, claims and/or lawsuits relating to the ignition switch recalls and other related recalls to the extent that such matters are probable and can be reasonably estimated. The amounts accrued for those unsettled investigations, claims, and/or lawsuits represent a combination of our best single point estimates where determinable and, where no such single point estimate is determinable, our estimate of the low end of the range of probable loss with regard to such matters, if that is determinable. We will continue to consider resolution of pending matters involving ignition switch recalls and other recalls where it makes sense to do so.</w:t>
      </w:r>
    </w:p>
    <w:p>
      <w:pPr>
        <w:spacing w:after="0" w:line="184"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Korea Wage Litigation </w:t>
      </w:r>
      <w:r>
        <w:rPr>
          <w:rFonts w:ascii="Times New Roman" w:cs="Times New Roman" w:eastAsia="Times New Roman" w:hAnsi="Times New Roman"/>
          <w:sz w:val="18"/>
          <w:szCs w:val="18"/>
          <w:color w:val="auto"/>
        </w:rPr>
        <w:t>GM Korea is party to litigation with current and former hourly employees in the appellate court and Incheon District Court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Incheon, Korea. The group actions, which in the aggregate involve more than 10,000 employees, allege that GM Korea failed to include bonuses and certain allowances in its calculation of Ordinary Wages due under Korean regulations. In 2012, the Seoul High Court (an intermediate level appellate court) affirmed a decision in one of these group actions involving five GM Korea employees which was contrary to GM Korea's position. GM Korea appealed to the Supreme Court of the Republic of Korea (Supreme Court). In 2014, the Supreme Court largely agreed with GM’s legal arguments and remanded the case to the Seoul High Court for consideration consistent with earlier Supreme Court precedent holding that while fixed bonuses should be included in the calculation of Ordinary Wages, claims for retroactive application of this rule would be barred under certain circumstances. In 2015, on reconsideration, the Seoul High Court held in GM Korea’s favor, after which the plaintiffs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appealed to the Supreme Court. The Supreme Court has not yet rendered a decision. We estimate our reasonably possible loss in excess of amounts accrued to be approximately $580 million at March 31, 2019. Both the scope of claims asserted and GM Korea's assessment of any or all of the individual claim elements may change if new information becomes available or the legal or regulatory framework change.</w:t>
      </w:r>
    </w:p>
    <w:p>
      <w:pPr>
        <w:spacing w:after="0" w:line="176"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GM Korea is also party to litigation with current and former salaried employees over allegations relating to ordinary wages regulation and whether to include fixed bonuses in the calculation of ordinary wages. In 2017, the Seoul High Court held that certain workers are not barred from filing retroactive wage claims. GM Korea appealed this ruling to the Supreme Court. The Supreme Court has not yet rendered a decision. We estimate our reasonably possible loss in excess of amounts accrued to be approximately $170 million at March 31, 2019. Both the scope of claims asserted and GM Korea's assessment of any or all of the individual claim elements may change if new information becomes available or the legal or regulatory framework change.</w:t>
      </w:r>
    </w:p>
    <w:p>
      <w:pPr>
        <w:spacing w:after="0" w:line="184"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GM Korea is also party to litigation with current and former subcontract workers over allegations that they are entitled to the same wages and benefits provided to full-time employees, and to be hired as full-time employees. In May 2018 the Korean labor authorities issued an adverse administrative order finding that GM Korea must hire certain current subcontract workers as full-time employees. GM Korea appealed that order. At March 31, 2019, we recorded an insignificant accrual covering certain asserted claims and claims that we believe are probable of assertion and for which liability is probable. We estimate that the reasonably possible loss in excess of amounts accrued for other current subcontract workers who may assert similar claims to be approximately $140 million at March 31, 2019. We are currently unable to estimate any possible loss or range of loss that may result from additional claims that may be asserted by former subcontract workers.</w:t>
      </w:r>
    </w:p>
    <w:p>
      <w:pPr>
        <w:spacing w:after="0" w:line="185" w:lineRule="exact"/>
        <w:rPr>
          <w:sz w:val="20"/>
          <w:szCs w:val="20"/>
          <w:color w:val="auto"/>
        </w:rPr>
      </w:pPr>
    </w:p>
    <w:p>
      <w:pPr>
        <w:jc w:val="both"/>
        <w:ind w:firstLine="16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Brazil Indirect Tax Claim </w:t>
      </w:r>
      <w:r>
        <w:rPr>
          <w:rFonts w:ascii="Times New Roman" w:cs="Times New Roman" w:eastAsia="Times New Roman" w:hAnsi="Times New Roman"/>
          <w:sz w:val="18"/>
          <w:szCs w:val="18"/>
          <w:color w:val="auto"/>
        </w:rPr>
        <w:t>In March 2017, the Supreme Court of Brazil issued a decision concluding that a certain state value added tax should not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in the calculation of federal gross receipts taxes. The decision reduced GM Brazil’s gross receipts tax prospectively and, potentially, retrospectively. In February 2019, the Superior Judicial Court of Brazil rendered a favorable decision on one of GM Brazil's cases granting the company the right to recover, through offset of federal tax liabilities, amounts collected by the government from October 2007 to December 2014. As a result of the favorable decision, we recorded pre-tax recoveries of $857 million to Automotive and other cost of sales in the three months ended March 31, 2019. Timing on realization of these recoveries is dependent upon the timing of administrative approvals and generation of federal tax liabilities eligible for offset.</w:t>
      </w:r>
    </w:p>
    <w:p>
      <w:pPr>
        <w:spacing w:after="0" w:line="187"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April 2019, the Superior Judicial Court of Brazil rendered a favorable decision on another GM Brazil case, granting us the right to recover tax amounts collected by the government from August 2001 to September 2007. We expect to record estimated pre-tax recoveries of up to $450 million in the three months ending June 30, 2019. Timing on realization of these recoveries is dependent upon the timing of administrative approvals and generation of federal tax liabilities eligible for offset.</w:t>
      </w:r>
    </w:p>
    <w:p>
      <w:pPr>
        <w:spacing w:after="0" w:line="180"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The retrospective right to recover for other periods remains under judicial review, and a decision could be rendered in 2019. If the Superior Judicial Court of Brazil grants retrospective recovery right for the other periods, we estimate additional potential pre-tax recoveries of up to $100 million.</w:t>
      </w:r>
    </w:p>
    <w:p>
      <w:pPr>
        <w:spacing w:after="0" w:line="158"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Litigation-Related Liability and Tax Administrative Matters </w:t>
      </w:r>
      <w:r>
        <w:rPr>
          <w:rFonts w:ascii="Times New Roman" w:cs="Times New Roman" w:eastAsia="Times New Roman" w:hAnsi="Times New Roman"/>
          <w:sz w:val="18"/>
          <w:szCs w:val="18"/>
          <w:color w:val="auto"/>
        </w:rPr>
        <w:t>Various other legal actions, including class actions, governmental investigations, claims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proceedings are pending against us or our related companies or joint ventures, including matters arising out of alleged product defects; employment-related matters; product and workplace safety, vehicle emissions and fuel economy regulations; product warranties; financial services; dealer, supplier and other contractual relationships; government regulations relating to competition issues; tax-related matters not subject to the provision of Accounting Standards Codification (ASC) 740, Income Taxes (indirect tax-related matters); product design, manufacture and performance; consumer protection laws; and environmental protection laws, including laws regulating air emissions, water discharges, waste management and environmental remediation from stationary sources.</w:t>
      </w:r>
    </w:p>
    <w:p>
      <w:pPr>
        <w:spacing w:after="0" w:line="187"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There are several putative class actions pending against GM in federal courts in the U.S., the Provincial Courts in Canada and Israel alleging that various vehicles sold including model year 2011-2016 Duramax Diesel Chevrolet Silverado and GMC Sierra vehicles, violate federal, state and foreign emission standards. GM has also faced a series of additional lawsuits based primarily on allegations in the Duramax suit, including putative shareholder class actions claiming violations of federal securities law and a shareholder demand lawsuit. The securities lawsuits have been voluntarily dismissed. At this stage of these proceedings, we are unable to provide an evaluation of the likelihood that a loss will be incurred or an estimate of the amounts or range of possible loss.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w:t>
      </w:r>
    </w:p>
    <w:p>
      <w:pPr>
        <w:spacing w:after="0" w:line="180"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which may range from $300 million to $550 million at March 31, 2019. Some of the matters may involve compensatory, punitive or other treble damage claims, environmental remediation programs or sanctions that, if granted, could require us to pay damages or make other expenditures in amounts that could not be reasonably estimated at March 31, 2019. We believe that appropriate accruals have been established for losses that are probable and can be reasonably estimated. For indirect tax-related matters we estimate our reasonably possible loss in excess of amounts accrued to be up to approximately $900 million at March 31, 2019.</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Takata Matters </w:t>
      </w:r>
      <w:r>
        <w:rPr>
          <w:rFonts w:ascii="Times New Roman" w:cs="Times New Roman" w:eastAsia="Times New Roman" w:hAnsi="Times New Roman"/>
          <w:sz w:val="18"/>
          <w:szCs w:val="18"/>
          <w:color w:val="auto"/>
        </w:rPr>
        <w:t>In May 2016, the National Highway Traffic Safety Administration (NHTSA) issued an amended consent order requiring Takata to file defect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reports (DIRs) for previously unrecalled front airbag inflators that contain phased-stabilized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184"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Although we do not believe there is a safety defect at this time in any unrecalled GM vehicles within scope of the Takata DIRs, in cooperation with NHTSA we have filed Preliminary DIRs covering certain of our GMT900 vehicles, which are full-size pickup trucks and sport utility vehicles (SUVs). We have also filed petitions for inconsequentiality with respect to the vehicles subject to those Preliminary DIRs. NHTSA has consolidated our petitions and will rule on them at the same time.</w:t>
      </w:r>
    </w:p>
    <w:p>
      <w:pPr>
        <w:spacing w:after="0" w:line="180"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While these petitions have been pending, we have provided NHTSA with the results of our long-term studies and the studies performed by third-party experts, all of which form the basis for our determination that the inflators in these vehicles do not present an unreasonable risk to safety and that no repair should ultimately be required.</w:t>
      </w:r>
    </w:p>
    <w:p>
      <w:pPr>
        <w:spacing w:after="0" w:line="176"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We believe these vehicles are currently performing as designed and our inflator aging studies and field data support the belief that the vehicles' unique design and integration mitigates against inflator propellant degradation and rupture risk.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larger interior volumes and standard solar absorbing windshields and side glass.</w:t>
      </w:r>
    </w:p>
    <w:p>
      <w:pPr>
        <w:spacing w:after="0" w:line="188" w:lineRule="exact"/>
        <w:rPr>
          <w:sz w:val="20"/>
          <w:szCs w:val="20"/>
          <w:color w:val="auto"/>
        </w:rPr>
      </w:pPr>
    </w:p>
    <w:p>
      <w:pPr>
        <w:jc w:val="both"/>
        <w:ind w:right="20" w:firstLine="162"/>
        <w:spacing w:after="0" w:line="266" w:lineRule="auto"/>
        <w:rPr>
          <w:sz w:val="20"/>
          <w:szCs w:val="20"/>
          <w:color w:val="auto"/>
        </w:rPr>
      </w:pPr>
      <w:r>
        <w:rPr>
          <w:rFonts w:ascii="Times New Roman" w:cs="Times New Roman" w:eastAsia="Times New Roman" w:hAnsi="Times New Roman"/>
          <w:sz w:val="18"/>
          <w:szCs w:val="18"/>
          <w:color w:val="auto"/>
        </w:rPr>
        <w:t>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approximately $1.2 billion.</w:t>
      </w:r>
    </w:p>
    <w:p>
      <w:pPr>
        <w:spacing w:after="0" w:line="17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Additional recalls, if any, could be material to our results of operations and cash flows. We continue to monitor the international situation.</w:t>
      </w:r>
    </w:p>
    <w:p>
      <w:pPr>
        <w:spacing w:after="0" w:line="180"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7"/>
          <w:szCs w:val="17"/>
          <w:color w:val="auto"/>
        </w:rPr>
        <w:t>April 18, 2019</w:t>
      </w:r>
      <w:r>
        <w:rPr>
          <w:rFonts w:ascii="Times New Roman" w:cs="Times New Roman" w:eastAsia="Times New Roman" w:hAnsi="Times New Roman"/>
          <w:sz w:val="18"/>
          <w:szCs w:val="18"/>
          <w:color w:val="auto"/>
        </w:rPr>
        <w:t xml:space="preserve"> we are aware of three putative class actions pending against GM in federal court in the U.S., one putative class action in Mexico, one putative class action in Israel and three putative class actions pending in various Provincial Courts in Canada arising out of allegations that airbag inflators manufactured by Takata are defective. At this early stage of these proceedings, we are unable to provide an evaluation of the likelihood that a loss will be incurred or an estimate of the amounts or range of possible loss.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Product Liability </w:t>
      </w:r>
      <w:r>
        <w:rPr>
          <w:rFonts w:ascii="Times New Roman" w:cs="Times New Roman" w:eastAsia="Times New Roman" w:hAnsi="Times New Roman"/>
          <w:sz w:val="18"/>
          <w:szCs w:val="18"/>
          <w:color w:val="auto"/>
        </w:rPr>
        <w:t>With respect to product liability claims (other than claims relating to the ignition switch recalls discussed above) involving our and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Motors Corporation products, we believe that any judgment against us for actual damages will be adequately covered by our recorded accruals and, where applicable, excess liability insurance coverage. We recorded liabilities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$530 million and $531 million in Accrued liabilities and Other liabilities at March 31, 2019 and December 31, 2018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We enter into indemnification agreements for liability claims involving products manufactured primarily by certain joint ventures.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guarantees terminate in years ranging from 2019 to 2024 or upon the occurrence of specific events or are ongoing. We believe that the related potential costs incurred are adequately covered by our recorded accruals, which are insignificant. The maximum future undiscounted payments mainly based on vehicles sold to date was $2.5 billion and $2.4 billion for these guarantees at March 31, 2019 and December 31, 2018, the majority of which relate to the indemnification agreements.</w:t>
      </w:r>
    </w:p>
    <w:p>
      <w:pPr>
        <w:spacing w:after="0" w:line="184"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17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Note 18 for additional information on our indemnification obligations to Peugeot, S.A. (PSA Group) under the Master Agreement (the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Leases </w:t>
      </w:r>
      <w:r>
        <w:rPr>
          <w:rFonts w:ascii="Times New Roman" w:cs="Times New Roman" w:eastAsia="Times New Roman" w:hAnsi="Times New Roman"/>
          <w:sz w:val="18"/>
          <w:szCs w:val="18"/>
          <w:color w:val="auto"/>
        </w:rPr>
        <w:t>Our portfolio of leases consists primarily of real estate office space, manufacturing and warehousing facilities, land and equipment.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leases contain escalation clauses and renewal or purchase options, and generally our leases have no residual value guarantees or material 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exclude leases with a term of one year or less from our balance sheet, and do not separate non-lease components from our real estate leases.</w:t>
      </w:r>
    </w:p>
    <w:p>
      <w:pPr>
        <w:spacing w:after="0" w:line="207"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Rent expense under operating leases was $86 million in the three months ended March 31, 2019. Variable lease costs were insignificant in the three months ended March 31, 2019. At March 31, 2019 operating lease right of use assets in Other assets were $988 million, operating lease liabilities in Accrued liabilities were $236 million and non-current operating lease liabilities in Other liabilities were $838 million. Operating lease right of use assets obtained in exchange for lease obligations were $122 million in the three months ended March 31, 2019. Our undiscounted future lease obligations related to operating leases having initial terms in excess of one year are $205 million for the nine months ending December 31, 2019 and $240 million, $210 million, $144 million, $131 million and $304 million for the years 2020, 2021, 2022, 2023 and thereafter, with imputed interest of $160 million as of March 31, 2019. The weighted average discount rate was 4.4% and the weighted-average remaining lease term was 5.8 years at March 31, 2019. Payments for operating leases included in Net cash provided by (used in) operating activities were $81 million in the three months ended March 31, 2019. In 2018, we entered into lease agreements for office space with gross future lease obligations of $339 million that will commence at various dates throughout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21"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For interim income tax reporting we estimate our annual effective tax rate and apply it to our year to date ordinary income (loss). Tax jurisdictions with a projected or year to 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w:t>
      </w:r>
    </w:p>
    <w:p>
      <w:pPr>
        <w:spacing w:after="0" w:line="17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2019 Income tax expense of $137 million primarily resulted from tax expense attributable to entities included in our effective tax rate calculation, partially offset by tax benefits related to a release of valuation allowance and benefits from foreign dividends. The effective tax rate is lower than the applicable statutory tax rate due primarily to tax benefits related to a release of valuation allowance and benefits from foreign dividends.</w:t>
      </w:r>
    </w:p>
    <w:p>
      <w:pPr>
        <w:spacing w:after="0" w:line="17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2018 Income tax expense of $466 million primarily resulted from tax expense attributable to entities included in our effective tax rate calculation. The recorded effective tax rate is higher than the applicable statutory tax rate due primarily to losses incurred in jurisdictions for which a valuation allowance is recorded.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At March 31, 2019 we had $23.6 billion of net deferred tax assets consisting of net operating losses and income tax credits, capitalized research expenditures and other timing differences that are available to offset future income tax liabilities, partially offset by valuation allowances.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Restructuring and Other Initiatives</w:t>
      </w:r>
    </w:p>
    <w:p>
      <w:pPr>
        <w:spacing w:after="0" w:line="121"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 The following table summarizes the reserves and charges related to restructuring and other initiatives, including postemployment benefit reserves and charges: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50"/>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21"/>
                <w:szCs w:val="21"/>
                <w:color w:val="auto"/>
              </w:rPr>
            </w:pPr>
          </w:p>
        </w:tc>
        <w:tc>
          <w:tcPr>
            <w:tcW w:w="12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633</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In the three months ended March 31, 2019 restructuring and other initiatives primarily included actions related to our announced transformation activities, which includes the unallocation of products to certain manufacturing facilities and other employee separation programs. We recorded charges of $790 million, primarily in GMNA, in the three months ended March 31, 2019 primarily consisting of non-cash accelerated depreciation, not reflected in the table above. These programs have a total cost since inception of $2.1 billion and we expect to incur additional restructuring and other charges in the nine months ending December 31, 2019 that range from $900 million to $1.5 billion, primarily related to employee-related separation charges, supplier-related charges and accelerated depreciation. We incurred $315 million in cash outflows resulting from these restructuring actions in the three months ended March 31, 2019. We expect additional cash outflows related to these activities of approximately $1.5 billion to be substantially complete by the end of 2020.</w:t>
      </w:r>
    </w:p>
    <w:p>
      <w:pPr>
        <w:spacing w:after="0" w:line="18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2018 restructuring and other initiatives primarily included the closure of a facility and other restructuring actions in Korea. We recorded charges of $900 million in GMI primarily consisting of $464 million in non-cash asset impairments, not reflected in the table above, and $436 million in employee separation charges, which are reflected in the table above in the three months ended March 31,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Stockholders' Equity and Noncontrolling Interests</w:t>
      </w:r>
    </w:p>
    <w:p>
      <w:pPr>
        <w:spacing w:after="0" w:line="121"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had 2.0 billion shares of preferred stock and 5.0 billion shares of common stock authorized for issuance and 1.4 billion shares of common stock issued and outstanding at March 31, 2019 and December 31, 2018. Our total dividends paid on common stock were $539 million and $536 million in the three months ended March 31, 2019 and 2018.</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significant components of Accumulated other comprehensive loss: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16"/>
                <w:szCs w:val="16"/>
                <w:color w:val="auto"/>
              </w:rPr>
            </w:pPr>
          </w:p>
        </w:tc>
        <w:tc>
          <w:tcPr>
            <w:tcW w:w="13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25"/>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and noncontrolling interests, net of reclassification adjustment, tax and impact of</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adoption of accounting standards(a)(b)(c)</w:t>
            </w:r>
          </w:p>
        </w:tc>
        <w:tc>
          <w:tcPr>
            <w:tcW w:w="22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10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before reclassification adjustment, net of tax and impact of adoption of accounting</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standards(b)(c)</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 adjustment, net of tax(b)</w:t>
            </w:r>
          </w:p>
        </w:tc>
        <w:tc>
          <w:tcPr>
            <w:tcW w:w="2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 and impact of adoption of accounting standards(b)(c)</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44"/>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(6,701)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(6,524)</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noncontrolling interests and reclassification adjustment were insignificant in the three months ended March 31, 2019 and 2018.</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effect was insignificant in the three months ended March 31, 2019 and 2018.</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our 2018 Form 10-K for additional information on adoption of accounting standards in 2018.</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Earnings Per Share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16"/>
                <w:szCs w:val="16"/>
                <w:color w:val="auto"/>
              </w:rPr>
            </w:pP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cumulative dividends on subsidiary preferred stock</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attributable to common stockholders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1,032</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1,408</w:t>
            </w: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 –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loss per common share – discontinued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attributable to common stockholders – diluted(a)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 –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stockholders – 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1,032</w:t>
            </w: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effect of warrants and awards under stock incentive plans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1,430</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 –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loss per common share – discontinued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Potentially dilutive securities(b)</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20"/>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Net loss attributable to noncontrolling interests.</w:t>
      </w:r>
    </w:p>
    <w:p>
      <w:pPr>
        <w:spacing w:after="0" w:line="5" w:lineRule="exact"/>
        <w:rPr>
          <w:rFonts w:ascii="Times New Roman" w:cs="Times New Roman" w:eastAsia="Times New Roman" w:hAnsi="Times New Roman"/>
          <w:sz w:val="16"/>
          <w:szCs w:val="16"/>
          <w:color w:val="auto"/>
        </w:rPr>
      </w:pPr>
    </w:p>
    <w:p>
      <w:pPr>
        <w:ind w:left="340" w:hanging="332"/>
        <w:spacing w:after="0" w:line="257"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dilutive securities attributable to outstanding stock options and Restricted Stock Units (RSUs) were excluded from the computation of diluted earnings per share (EPS) because the securities would have had an antidilutive effect.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Discontinued Operations</w:t>
      </w:r>
    </w:p>
    <w:p>
      <w:pPr>
        <w:spacing w:after="0" w:line="121"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On July 31, 2017 we closed the sale of the Opel and Vauxhall businesses and certain other assets in Europe (the Opel/Vauxhall Business) to PSA Group. On October 31, 2017 we closed the sale of the European financing subsidiaries and branches (the Fincos, and together with the Opel/Vauxhall Business, the European Business) to Banque PSA Finance S.A. and BNP Paribas Personal Finance S.A. Our wholly owned subsidiary (the Seller) agreed to indemnify PSA Group for certain losses resulting from any inaccuracy of the representations and warranties or breaches of our covenants included in the Agreement and for certain other liabilities including certain emissions and product liabilities. The Company entered into a guarantee for the benefit of PSA Group and pursuant to which the Company agreed to guarantee the Seller's obligation to indemnify PSA Group. Certain of these indemnification obligations are subject to time limitations, thresholds and/or caps as to the amount of required payments.</w:t>
      </w:r>
    </w:p>
    <w:p>
      <w:pPr>
        <w:spacing w:after="0" w:line="189"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Although the sale reduced our new vehicle presence in Europe, we may still be impacted by actions taken by regulators related to vehicles sold before the sale. In Germany, the Kraftfahrt-Bundesamt (KBA) issued an order in October 2018, which would convert Opel’s existing voluntary recall of certain vehicles into a mandatory recall for allegedly failing to comply with certain emissions regulations. In addition, at the KBA's request, the German authorities re-opened a separate criminal investigation that had previously been closed with no action. Opel is challenging the mandatory recall order of the KBA in court on the grounds that the emission control systems contained in the subject vehicles have at all times complied with the regulations in place when the vehicles were manufactured, tested, approved and sold.</w:t>
      </w:r>
    </w:p>
    <w:p>
      <w:pPr>
        <w:spacing w:after="0" w:line="18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2017 and 2018, Opel initiated a voluntarily recall/service campaign for many of these vehicles and such voluntary actions remain ongoing while Opel’s challenge of the mandatory recall remains pending. Opel’s voluntary recall and service actions have been undertaken at its own expense, and this expense should not be transferred to the Seller because it was accounted for at the</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time of the sale. However, the Seller may be obligated to indemnify PSA Group for certain additional expenses resulting from any mandatory recall that might be ordered to be implemented, as well as related potential litigation costs, settlements, judgments and potential fines. We are unable to estimate any reasonably possible loss or range of loss that may result from this matter.</w:t>
      </w:r>
    </w:p>
    <w:p>
      <w:pPr>
        <w:spacing w:after="0" w:line="176"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continue to purchase from and supply to PSA Group certain vehicles, parts and engineering services for a period of time following closing. Total net sales and revenue of $427 million and $607 million and purchases and expenses of $192 million and $476 million related to transactions with the Opel/Vauxhall Business were included in continuing operations during the three months ended March 31, 2019 and 2018. Cash payments of $279 million and $426 million and cash receipts of $581 million and $811 million were recorded in Net cash provided by (used in) operating activities related to transactions with the Opel/Vauxhall Business during the three months ended March 31, 2019 and 2018.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Reporting</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We report segment information consistent with the way the chief operating decision maker evaluates the operating results and performance of the Company. As a result of the growing importance of our autonomous vehicle operations, we moved these operations from Corporate to GM Cruise and began presenting GM Cruise as a new reportable segment in the three months ended June 30, 2018. Our GMNA, GMI and GM Financial reportable segments were not significantly impacted. All periods presented have been recast to reflect the changes.</w:t>
      </w:r>
    </w:p>
    <w:p>
      <w:pPr>
        <w:spacing w:after="0" w:line="180"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We analyze the results of our business through the following reportable segments: GMNA, GMI, GM Cruise and GM Financial. The chief operating decision maker evaluates the operating results and performance of our automotive segments and GM Cruise through earnings before interest and taxes (EBIT)-adjusted, which is presented net of noncontrolling interests. The chief operating decision maker evaluates GM Financial through earnings before income taxes (EBT)-adjusted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185"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88"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China, with vehicles developed, manufactured and/or marketed under the Baojun, Buick, Cadillac, Chevrolet, Jiefang and Wuling brands. GM Cruise is our global segment responsible for the development and commercialization of autonomous vehicle technology, and includes autonomous vehicle-related engineering and other costs.</w:t>
      </w:r>
    </w:p>
    <w:p>
      <w:pPr>
        <w:spacing w:after="0" w:line="188"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Our automotive operations' interest income and interest expense, Maven, legacy costs from the Opel/Vauxhall Business (primarily pension costs), corporate expenditures and certain nonsegment-specific revenues and expenses are recorded centrally in Corporate. Corporate assets consist primarily of cash and cash equivalents, marketable securities, our investment in Lyft, PSA warrants, Maven vehicles and intercompany balances. Retained net underfunded pension liabilities related to the European Business are also recorded in Corporate. All intersegment balances and transactions have been eliminated in consolidation.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summarize key financial information by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11"/>
          </w:tcPr>
          <w:p>
            <w:pPr>
              <w:ind w:left="520"/>
              <w:spacing w:after="0"/>
              <w:rPr>
                <w:sz w:val="20"/>
                <w:szCs w:val="20"/>
                <w:color w:val="auto"/>
              </w:rPr>
            </w:pPr>
            <w:r>
              <w:rPr>
                <w:rFonts w:ascii="Times New Roman" w:cs="Times New Roman" w:eastAsia="Times New Roman" w:hAnsi="Times New Roman"/>
                <w:sz w:val="13"/>
                <w:szCs w:val="13"/>
                <w:b w:val="1"/>
                <w:bCs w:val="1"/>
                <w:color w:val="auto"/>
              </w:rPr>
              <w:t>At and For the Three Months Ended March 31, 2019</w:t>
            </w: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42"/>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6"/>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2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GM Cruise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6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70"/>
        </w:trPr>
        <w:tc>
          <w:tcPr>
            <w:tcW w:w="24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27,365</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3,850</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31,261</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3,620</w:t>
            </w:r>
          </w:p>
        </w:tc>
        <w:tc>
          <w:tcPr>
            <w:tcW w:w="10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34,878</w:t>
            </w:r>
          </w:p>
        </w:tc>
      </w:tr>
      <w:tr>
        <w:trPr>
          <w:trHeight w:val="144"/>
        </w:trPr>
        <w:tc>
          <w:tcPr>
            <w:tcW w:w="24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Earnings (loss) before interest and taxes-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2"/>
        </w:trPr>
        <w:tc>
          <w:tcPr>
            <w:tcW w:w="2460" w:type="dxa"/>
            <w:vAlign w:val="bottom"/>
          </w:tcPr>
          <w:p>
            <w:pPr>
              <w:jc w:val="center"/>
              <w:ind w:right="1576"/>
              <w:spacing w:after="0"/>
              <w:rPr>
                <w:sz w:val="20"/>
                <w:szCs w:val="20"/>
                <w:color w:val="auto"/>
              </w:rPr>
            </w:pPr>
            <w:r>
              <w:rPr>
                <w:rFonts w:ascii="Times New Roman" w:cs="Times New Roman" w:eastAsia="Times New Roman" w:hAnsi="Times New Roman"/>
                <w:sz w:val="13"/>
                <w:szCs w:val="13"/>
                <w:color w:val="auto"/>
                <w:w w:val="96"/>
              </w:rPr>
              <w:t>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1,896</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2,133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359</w:t>
            </w:r>
          </w:p>
        </w:tc>
        <w:tc>
          <w:tcPr>
            <w:tcW w:w="10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2,310</w:t>
            </w:r>
          </w:p>
        </w:tc>
      </w:tr>
      <w:tr>
        <w:trPr>
          <w:trHeight w:val="278"/>
        </w:trPr>
        <w:tc>
          <w:tcPr>
            <w:tcW w:w="2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850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67</w:t>
            </w:r>
          </w:p>
        </w:tc>
      </w:tr>
      <w:tr>
        <w:trPr>
          <w:trHeight w:val="262"/>
        </w:trPr>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98</w:t>
            </w:r>
          </w:p>
        </w:tc>
      </w:tr>
      <w:tr>
        <w:trPr>
          <w:trHeight w:val="278"/>
        </w:trPr>
        <w:tc>
          <w:tcPr>
            <w:tcW w:w="2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r>
      <w:tr>
        <w:trPr>
          <w:trHeight w:val="144"/>
        </w:trPr>
        <w:tc>
          <w:tcPr>
            <w:tcW w:w="24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Net (loss) attributable to noncontrolling</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460" w:type="dxa"/>
            <w:vAlign w:val="bottom"/>
            <w:tcBorders>
              <w:bottom w:val="single" w:sz="8" w:color="CCEEFF"/>
            </w:tcBorders>
          </w:tcPr>
          <w:p>
            <w:pPr>
              <w:jc w:val="center"/>
              <w:ind w:right="1576"/>
              <w:spacing w:after="0"/>
              <w:rPr>
                <w:sz w:val="20"/>
                <w:szCs w:val="20"/>
                <w:color w:val="auto"/>
              </w:rPr>
            </w:pPr>
            <w:r>
              <w:rPr>
                <w:rFonts w:ascii="Times New Roman" w:cs="Times New Roman" w:eastAsia="Times New Roman" w:hAnsi="Times New Roman"/>
                <w:sz w:val="13"/>
                <w:szCs w:val="13"/>
                <w:color w:val="auto"/>
                <w:w w:val="96"/>
              </w:rPr>
              <w:t>interests</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257"/>
        </w:trPr>
        <w:tc>
          <w:tcPr>
            <w:tcW w:w="2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2,282</w:t>
            </w:r>
          </w:p>
        </w:tc>
      </w:tr>
      <w:tr>
        <w:trPr>
          <w:trHeight w:val="264"/>
        </w:trPr>
        <w:tc>
          <w:tcPr>
            <w:tcW w:w="2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w:t>
            </w:r>
          </w:p>
        </w:tc>
      </w:tr>
      <w:tr>
        <w:trPr>
          <w:trHeight w:val="257"/>
        </w:trPr>
        <w:tc>
          <w:tcPr>
            <w:tcW w:w="2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from continuing operations</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2,145</w:t>
            </w:r>
          </w:p>
        </w:tc>
      </w:tr>
      <w:tr>
        <w:trPr>
          <w:trHeight w:val="264"/>
        </w:trPr>
        <w:tc>
          <w:tcPr>
            <w:tcW w:w="2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w w:val="98"/>
              </w:rPr>
              <w:t>Net loss attributable to noncontrolling interests</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12</w:t>
            </w:r>
          </w:p>
        </w:tc>
      </w:tr>
      <w:tr>
        <w:trPr>
          <w:trHeight w:val="242"/>
        </w:trPr>
        <w:tc>
          <w:tcPr>
            <w:tcW w:w="2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income attributable to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2,157</w:t>
            </w: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52"/>
        </w:trPr>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144"/>
        </w:trPr>
        <w:tc>
          <w:tcPr>
            <w:tcW w:w="246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Equity in net assets of nonconsolidated</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80"/>
        </w:trPr>
        <w:tc>
          <w:tcPr>
            <w:tcW w:w="2460" w:type="dxa"/>
            <w:vAlign w:val="bottom"/>
            <w:shd w:val="clear" w:color="auto" w:fill="CCEEFF"/>
          </w:tcPr>
          <w:p>
            <w:pPr>
              <w:jc w:val="center"/>
              <w:ind w:right="1556"/>
              <w:spacing w:after="0"/>
              <w:rPr>
                <w:sz w:val="20"/>
                <w:szCs w:val="20"/>
                <w:color w:val="auto"/>
              </w:rPr>
            </w:pPr>
            <w:r>
              <w:rPr>
                <w:rFonts w:ascii="Times New Roman" w:cs="Times New Roman" w:eastAsia="Times New Roman" w:hAnsi="Times New Roman"/>
                <w:sz w:val="13"/>
                <w:szCs w:val="13"/>
                <w:color w:val="auto"/>
                <w:w w:val="96"/>
              </w:rPr>
              <w:t>affiliates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6,739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6,837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1,429</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8,266</w:t>
            </w:r>
          </w:p>
        </w:tc>
      </w:tr>
      <w:tr>
        <w:trPr>
          <w:trHeight w:val="262"/>
        </w:trPr>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2,572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918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3,491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670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1,357</w:t>
            </w:r>
          </w:p>
        </w:tc>
        <w:tc>
          <w:tcPr>
            <w:tcW w:w="10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5,518</w:t>
            </w:r>
          </w:p>
        </w:tc>
      </w:tr>
      <w:tr>
        <w:trPr>
          <w:trHeight w:val="278"/>
        </w:trPr>
        <w:tc>
          <w:tcPr>
            <w:tcW w:w="2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9"/>
              </w:rPr>
              <w:t>112,455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27,580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27,937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120,073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3,228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111,220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233,132</w:t>
            </w:r>
          </w:p>
        </w:tc>
      </w:tr>
      <w:tr>
        <w:trPr>
          <w:trHeight w:val="208"/>
        </w:trPr>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2,069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2,208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1,899</w:t>
            </w:r>
          </w:p>
        </w:tc>
        <w:tc>
          <w:tcPr>
            <w:tcW w:w="10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4,109</w:t>
            </w:r>
          </w:p>
        </w:tc>
      </w:tr>
      <w:tr>
        <w:trPr>
          <w:trHeight w:val="224"/>
        </w:trPr>
        <w:tc>
          <w:tcPr>
            <w:tcW w:w="2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w:t>
            </w:r>
          </w:p>
        </w:tc>
      </w:tr>
      <w:tr>
        <w:trPr>
          <w:trHeight w:val="200"/>
        </w:trPr>
        <w:tc>
          <w:tcPr>
            <w:tcW w:w="2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Equity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374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369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414</w:t>
            </w:r>
          </w:p>
        </w:tc>
      </w:tr>
      <w:tr>
        <w:trPr>
          <w:trHeight w:val="201"/>
        </w:trPr>
        <w:tc>
          <w:tcPr>
            <w:tcW w:w="2460" w:type="dxa"/>
            <w:vAlign w:val="bottom"/>
          </w:tcPr>
          <w:p>
            <w:pPr>
              <w:jc w:val="center"/>
              <w:ind w:right="1576"/>
              <w:spacing w:after="0"/>
              <w:rPr>
                <w:sz w:val="20"/>
                <w:szCs w:val="20"/>
                <w:color w:val="auto"/>
              </w:rPr>
            </w:pPr>
            <w:r>
              <w:rPr>
                <w:rFonts w:ascii="Times New Roman" w:cs="Times New Roman" w:eastAsia="Times New Roman" w:hAnsi="Times New Roman"/>
                <w:sz w:val="16"/>
                <w:szCs w:val="16"/>
                <w:color w:val="auto"/>
              </w:rPr>
              <w:t>__________</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ind w:left="340" w:hanging="332"/>
        <w:spacing w:after="0"/>
        <w:tabs>
          <w:tab w:leader="none" w:pos="3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restructuring and other charges related to transformation activities of $790 million, primarily in GMNA and a benefit of $857 million related to the retrospective recoveries of indirect taxes in Brazil in GMI.</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At and For the Three Months Ended March 31, 2018</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42"/>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GM</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6"/>
        </w:trPr>
        <w:tc>
          <w:tcPr>
            <w:tcW w:w="26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GMI</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8"/>
              </w:rPr>
              <w:t>Eliminations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8"/>
              </w:rPr>
              <w:t>Automotive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5"/>
              </w:rPr>
              <w:t>GM Cruise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9"/>
              </w:rPr>
              <w:t>Financial</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70"/>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27,818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4,848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32,715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36,099</w:t>
            </w:r>
          </w:p>
        </w:tc>
      </w:tr>
      <w:tr>
        <w:trPr>
          <w:trHeight w:val="262"/>
        </w:trPr>
        <w:tc>
          <w:tcPr>
            <w:tcW w:w="2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Earnings (loss) before interest and taxes-adjusted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2,233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189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2,329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443</w:t>
            </w:r>
          </w:p>
        </w:tc>
        <w:tc>
          <w:tcPr>
            <w:tcW w:w="10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2,610</w:t>
            </w:r>
          </w:p>
        </w:tc>
      </w:tr>
      <w:tr>
        <w:trPr>
          <w:trHeight w:val="278"/>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r>
      <w:tr>
        <w:trPr>
          <w:trHeight w:val="262"/>
        </w:trPr>
        <w:tc>
          <w:tcPr>
            <w:tcW w:w="2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64</w:t>
            </w:r>
          </w:p>
        </w:tc>
      </w:tr>
      <w:tr>
        <w:trPr>
          <w:trHeight w:val="278"/>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257"/>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1,576</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w:t>
            </w:r>
          </w:p>
        </w:tc>
      </w:tr>
      <w:tr>
        <w:trPr>
          <w:trHeight w:val="257"/>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from continuing operations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1,110</w:t>
            </w:r>
          </w:p>
        </w:tc>
      </w:tr>
      <w:tr>
        <w:trPr>
          <w:trHeight w:val="262"/>
        </w:trPr>
        <w:tc>
          <w:tcPr>
            <w:tcW w:w="2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Loss from discontinued operations, net of tax</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272"/>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w:t>
            </w:r>
          </w:p>
        </w:tc>
      </w:tr>
      <w:tr>
        <w:trPr>
          <w:trHeight w:val="282"/>
        </w:trPr>
        <w:tc>
          <w:tcPr>
            <w:tcW w:w="2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Net income attributable to stockholders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1,046</w:t>
            </w:r>
          </w:p>
        </w:tc>
      </w:tr>
      <w:tr>
        <w:trPr>
          <w:trHeight w:val="252"/>
        </w:trPr>
        <w:tc>
          <w:tcPr>
            <w:tcW w:w="2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62"/>
        </w:trPr>
        <w:tc>
          <w:tcPr>
            <w:tcW w:w="2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Equity in net assets of nonconsolidated affiliates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8,525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8,602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1,281</w:t>
            </w:r>
          </w:p>
        </w:tc>
        <w:tc>
          <w:tcPr>
            <w:tcW w:w="10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9,883</w:t>
            </w:r>
          </w:p>
        </w:tc>
      </w:tr>
      <w:tr>
        <w:trPr>
          <w:trHeight w:val="278"/>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3,742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679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1,369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5,790</w:t>
            </w:r>
          </w:p>
        </w:tc>
      </w:tr>
      <w:tr>
        <w:trPr>
          <w:trHeight w:val="262"/>
        </w:trPr>
        <w:tc>
          <w:tcPr>
            <w:tcW w:w="2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101,265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28,981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26,204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(38,354)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118,096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680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101,210</w:t>
            </w:r>
          </w:p>
        </w:tc>
        <w:tc>
          <w:tcPr>
            <w:tcW w:w="10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218,726</w:t>
            </w:r>
          </w:p>
        </w:tc>
      </w:tr>
      <w:tr>
        <w:trPr>
          <w:trHeight w:val="224"/>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3,097</w:t>
            </w:r>
          </w:p>
        </w:tc>
      </w:tr>
      <w:tr>
        <w:trPr>
          <w:trHeight w:val="208"/>
        </w:trPr>
        <w:tc>
          <w:tcPr>
            <w:tcW w:w="2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459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484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484</w:t>
            </w:r>
          </w:p>
        </w:tc>
      </w:tr>
      <w:tr>
        <w:trPr>
          <w:trHeight w:val="224"/>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Equity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648</w:t>
            </w:r>
          </w:p>
        </w:tc>
      </w:tr>
      <w:tr>
        <w:trPr>
          <w:trHeight w:val="185"/>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ind w:left="340" w:hanging="332"/>
        <w:spacing w:after="0"/>
        <w:tabs>
          <w:tab w:leader="none" w:pos="3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related to restructuring actions in Korea in GMI.</w:t>
      </w:r>
    </w:p>
    <w:p>
      <w:pPr>
        <w:sectPr>
          <w:pgSz w:w="11900" w:h="16838" w:orient="portrait"/>
          <w:cols w:equalWidth="0" w:num="1">
            <w:col w:w="11420"/>
          </w:cols>
          <w:pgMar w:left="240" w:top="121" w:right="239" w:bottom="6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698"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This Management's Discussion and Analysis of Financial Condition and Results of Operations (MD&amp;A) should be read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conjunction with the accompanying condensed consolidated financial statements and the audited consolidated financial statements and notes thereto included in our 2018 Form 10-K.</w:t>
      </w:r>
    </w:p>
    <w:p>
      <w:pPr>
        <w:spacing w:after="0" w:line="175"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the "Risk Factors" section of our 2018 Form 10-K for a discussion of these risks and uncertainties. Except for per share amounts or as otherwise specified, dollar amounts presented within tables are stated in millions.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Non-GAAP Measures </w:t>
      </w:r>
      <w:r>
        <w:rPr>
          <w:rFonts w:ascii="Times New Roman" w:cs="Times New Roman" w:eastAsia="Times New Roman" w:hAnsi="Times New Roman"/>
          <w:sz w:val="18"/>
          <w:szCs w:val="18"/>
          <w:color w:val="auto"/>
        </w:rPr>
        <w:t>Unless otherwise indicated, our non-GAAP measures discussed in this MD&amp;A are related to our continuing operations and not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discontinued operations. Our non-GAAP measures include: EBIT-adjusted, presented net of noncontrolling interests; earnings before taxes (EBT)-adjusted for our GM Financial segment;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87"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85"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EBIT-adjusted </w:t>
      </w:r>
      <w:r>
        <w:rPr>
          <w:rFonts w:ascii="Times New Roman" w:cs="Times New Roman" w:eastAsia="Times New Roman" w:hAnsi="Times New Roman"/>
          <w:sz w:val="18"/>
          <w:szCs w:val="18"/>
          <w:color w:val="auto"/>
        </w:rPr>
        <w:t>EBIT-adjusted is presented net of noncontrolling interests and is used by management and can be used by investors to review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w:t>
      </w:r>
    </w:p>
    <w:p>
      <w:pPr>
        <w:spacing w:after="0" w:line="183" w:lineRule="exact"/>
        <w:rPr>
          <w:sz w:val="20"/>
          <w:szCs w:val="20"/>
          <w:color w:val="auto"/>
        </w:rPr>
      </w:pPr>
    </w:p>
    <w:p>
      <w:pPr>
        <w:jc w:val="both"/>
        <w:ind w:firstLine="16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EPS-diluted-adjusted </w:t>
      </w:r>
      <w:r>
        <w:rPr>
          <w:rFonts w:ascii="Times New Roman" w:cs="Times New Roman" w:eastAsia="Times New Roman" w:hAnsi="Times New Roman"/>
          <w:sz w:val="18"/>
          <w:szCs w:val="18"/>
          <w:color w:val="auto"/>
        </w:rPr>
        <w:t>EPS-diluted-adjusted is used by management and can be used by investors to review our consolidated diluted EPS results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consistent basis. EPS-diluted-adjusted is calculated as net income attributable to common stockholders-diluted less income (loss) from discontinued operations on an after-tax basis,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77"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ETR-adjusted </w:t>
      </w:r>
      <w:r>
        <w:rPr>
          <w:rFonts w:ascii="Times New Roman" w:cs="Times New Roman" w:eastAsia="Times New Roman" w:hAnsi="Times New Roman"/>
          <w:sz w:val="18"/>
          <w:szCs w:val="18"/>
          <w:color w:val="auto"/>
        </w:rPr>
        <w:t>ETR-adjusted is used by management and can be used by investors to review the consolidated effective tax rate for our core operations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consistent basis. ETR-adjusted is calculated as Income tax expense less the income tax related to the adjustments noted above for EBIT-adjusted and the income tax adjustments noted above for EPS-diluted-adjusted divided by Income before income taxes less adjustments.</w:t>
      </w:r>
    </w:p>
    <w:p>
      <w:pPr>
        <w:spacing w:after="0" w:line="171" w:lineRule="exact"/>
        <w:rPr>
          <w:sz w:val="20"/>
          <w:szCs w:val="20"/>
          <w:color w:val="auto"/>
        </w:rPr>
      </w:pPr>
    </w:p>
    <w:p>
      <w:pPr>
        <w:jc w:val="both"/>
        <w:ind w:firstLine="16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ROIC-adjusted </w:t>
      </w:r>
      <w:r>
        <w:rPr>
          <w:rFonts w:ascii="Times New Roman" w:cs="Times New Roman" w:eastAsia="Times New Roman" w:hAnsi="Times New Roman"/>
          <w:sz w:val="18"/>
          <w:szCs w:val="18"/>
          <w:color w:val="auto"/>
        </w:rPr>
        <w:t>ROIC-adjusted is used by management and can be used by investors to review our investment and capital allocation decisions. We define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capital leases; average net pension and OPEB liabilities; and average automotive net income tax assets during the same period. Adjustments to the average equity balances exclude assets and liabilities classified as either assets held for sale or liabilities held for sale.</w:t>
      </w:r>
    </w:p>
    <w:p>
      <w:pPr>
        <w:spacing w:after="0" w:line="180"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automotive free cash flow </w:t>
      </w:r>
      <w:r>
        <w:rPr>
          <w:rFonts w:ascii="Times New Roman" w:cs="Times New Roman" w:eastAsia="Times New Roman" w:hAnsi="Times New Roman"/>
          <w:sz w:val="18"/>
          <w:szCs w:val="18"/>
          <w:color w:val="auto"/>
        </w:rPr>
        <w:t>Adjusted automotive free cash flow is used by management and can be used by investors to review the liquidity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automotive operations and to measure and monitor our performance against our capital allocation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reconciles Net income (loss) attributable to stockholders under U.S. GAAP to EBIT-adjusted: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22"/>
                <w:szCs w:val="22"/>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2,157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2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200" w:type="dxa"/>
            <w:vAlign w:val="bottom"/>
          </w:tcPr>
          <w:p>
            <w:pPr>
              <w:spacing w:after="0"/>
              <w:rPr>
                <w:sz w:val="21"/>
                <w:szCs w:val="21"/>
                <w:color w:val="auto"/>
              </w:rPr>
            </w:pP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Transformation activities(a)</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GM Brazil indirect tax recoveries(b)</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GMI restructuring(c)</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Ignition switch recall and related legal</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matters(d)</w:t>
            </w:r>
          </w:p>
        </w:tc>
        <w:tc>
          <w:tcPr>
            <w:tcW w:w="2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2,610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3,192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jc w:val="right"/>
              <w:ind w:right="2510"/>
              <w:spacing w:after="0"/>
              <w:rPr>
                <w:sz w:val="20"/>
                <w:szCs w:val="20"/>
                <w:color w:val="auto"/>
              </w:rPr>
            </w:pPr>
            <w:r>
              <w:rPr>
                <w:rFonts w:ascii="Times New Roman" w:cs="Times New Roman" w:eastAsia="Times New Roman" w:hAnsi="Times New Roman"/>
                <w:sz w:val="16"/>
                <w:szCs w:val="16"/>
                <w:color w:val="auto"/>
                <w:w w:val="99"/>
              </w:rPr>
              <w:t>_________</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accelerated depreciation in the three months ended March 31, 2019 and employee separation charges and accelerated depreciation in the three months ended December 31, 2018.</w:t>
      </w:r>
    </w:p>
    <w:p>
      <w:pPr>
        <w:spacing w:after="0" w:line="1" w:lineRule="exact"/>
        <w:rPr>
          <w:rFonts w:ascii="Times New Roman" w:cs="Times New Roman" w:eastAsia="Times New Roman" w:hAnsi="Times New Roman"/>
          <w:sz w:val="16"/>
          <w:szCs w:val="16"/>
          <w:color w:val="auto"/>
        </w:rPr>
      </w:pPr>
    </w:p>
    <w:p>
      <w:pPr>
        <w:ind w:left="340" w:hanging="332"/>
        <w:spacing w:after="0" w:line="246"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of the unique event associated with a decision rendered by the Superior Judicial Court of Brazil resulting in retrospective recoveries of indirect taxes.</w:t>
      </w:r>
    </w:p>
    <w:p>
      <w:pPr>
        <w:jc w:val="both"/>
        <w:ind w:left="340" w:hanging="332"/>
        <w:spacing w:after="0" w:line="246"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in the three months ended March 31, 2018 and June 30, 2018 primarily consist of asset impairments and employee separation costs in Korea. The adjustment in the three months ended June 30, 2017 primarily consists of asset impairments and other restructuring actions in India, South Africa and Venezuela.</w:t>
      </w:r>
    </w:p>
    <w:p>
      <w:pPr>
        <w:spacing w:after="0" w:line="1" w:lineRule="exact"/>
        <w:rPr>
          <w:rFonts w:ascii="Times New Roman" w:cs="Times New Roman" w:eastAsia="Times New Roman" w:hAnsi="Times New Roman"/>
          <w:sz w:val="16"/>
          <w:szCs w:val="16"/>
          <w:color w:val="auto"/>
        </w:rPr>
      </w:pPr>
    </w:p>
    <w:p>
      <w:pPr>
        <w:ind w:left="340" w:hanging="332"/>
        <w:spacing w:after="0" w:line="257"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of the unique events associated with the ignition switch recall, which included various investigations, inquiries and complaints from constituents.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reconciles diluted earnings per common share under U.S. GAAP to EPS-diluted-adjusted: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0" w:type="dxa"/>
            <w:vAlign w:val="bottom"/>
          </w:tcPr>
          <w:p>
            <w:pPr>
              <w:spacing w:after="0"/>
              <w:rPr>
                <w:sz w:val="1"/>
                <w:szCs w:val="1"/>
                <w:color w:val="auto"/>
              </w:rPr>
            </w:pPr>
          </w:p>
        </w:tc>
      </w:tr>
      <w:tr>
        <w:trPr>
          <w:trHeight w:val="250"/>
        </w:trPr>
        <w:tc>
          <w:tcPr>
            <w:tcW w:w="6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49"/>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loss per common share – discontinued operations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Adjustments(a)</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effect on adjustment(b)</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EPS-diluted-adjusted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46"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under U.S. GAAP to EBIT-adjusted within this section of MD&amp;A for the details of each individual adjustment.</w:t>
      </w:r>
    </w:p>
    <w:p>
      <w:pPr>
        <w:ind w:left="340" w:hanging="332"/>
        <w:spacing w:after="0"/>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each adjustment is determined based on the tax laws and valuation allowance status of the jurisdiction to which the adjustment relates.</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reconciles our effective tax rate under U.S. GAAP to ETR-adjusted: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180" w:type="dxa"/>
            <w:vAlign w:val="bottom"/>
          </w:tcPr>
          <w:p>
            <w:pPr>
              <w:spacing w:after="0"/>
              <w:rPr>
                <w:sz w:val="13"/>
                <w:szCs w:val="13"/>
                <w:color w:val="auto"/>
              </w:rPr>
            </w:pPr>
          </w:p>
        </w:tc>
        <w:tc>
          <w:tcPr>
            <w:tcW w:w="960" w:type="dxa"/>
            <w:vAlign w:val="bottom"/>
          </w:tcPr>
          <w:p>
            <w:pPr>
              <w:jc w:val="center"/>
              <w:ind w:right="119"/>
              <w:spacing w:after="0" w:line="157" w:lineRule="exact"/>
              <w:rPr>
                <w:sz w:val="20"/>
                <w:szCs w:val="20"/>
                <w:color w:val="auto"/>
              </w:rPr>
            </w:pPr>
            <w:r>
              <w:rPr>
                <w:rFonts w:ascii="Times New Roman" w:cs="Times New Roman" w:eastAsia="Times New Roman" w:hAnsi="Times New Roman"/>
                <w:sz w:val="14"/>
                <w:szCs w:val="14"/>
                <w:b w:val="1"/>
                <w:bCs w:val="1"/>
                <w:color w:val="auto"/>
                <w:w w:val="96"/>
              </w:rPr>
              <w:t>Income tax</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Income before</w:t>
            </w:r>
          </w:p>
        </w:tc>
        <w:tc>
          <w:tcPr>
            <w:tcW w:w="180" w:type="dxa"/>
            <w:vAlign w:val="bottom"/>
          </w:tcPr>
          <w:p>
            <w:pPr>
              <w:spacing w:after="0"/>
              <w:rPr>
                <w:sz w:val="13"/>
                <w:szCs w:val="13"/>
                <w:color w:val="auto"/>
              </w:rPr>
            </w:pPr>
          </w:p>
        </w:tc>
        <w:tc>
          <w:tcPr>
            <w:tcW w:w="960" w:type="dxa"/>
            <w:vAlign w:val="bottom"/>
          </w:tcPr>
          <w:p>
            <w:pPr>
              <w:jc w:val="center"/>
              <w:ind w:right="79"/>
              <w:spacing w:after="0" w:line="157" w:lineRule="exact"/>
              <w:rPr>
                <w:sz w:val="20"/>
                <w:szCs w:val="20"/>
                <w:color w:val="auto"/>
              </w:rPr>
            </w:pPr>
            <w:r>
              <w:rPr>
                <w:rFonts w:ascii="Times New Roman" w:cs="Times New Roman" w:eastAsia="Times New Roman" w:hAnsi="Times New Roman"/>
                <w:sz w:val="14"/>
                <w:szCs w:val="14"/>
                <w:b w:val="1"/>
                <w:bCs w:val="1"/>
                <w:color w:val="auto"/>
                <w:w w:val="96"/>
              </w:rPr>
              <w:t>Income tax</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4"/>
              </w:rPr>
              <w:t>expense</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Effective tax rate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8"/>
              </w:rPr>
              <w:t>expense</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Effective tax rate</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466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Adjustments(a)(b)</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ETR-adjusted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169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466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0"/>
        </w:trPr>
        <w:tc>
          <w:tcPr>
            <w:tcW w:w="4160" w:type="dxa"/>
            <w:vAlign w:val="bottom"/>
            <w:vMerge w:val="restart"/>
          </w:tcPr>
          <w:p>
            <w:pPr>
              <w:jc w:val="right"/>
              <w:ind w:right="3412"/>
              <w:spacing w:after="0"/>
              <w:rPr>
                <w:sz w:val="20"/>
                <w:szCs w:val="20"/>
                <w:color w:val="auto"/>
              </w:rPr>
            </w:pPr>
            <w:r>
              <w:rPr>
                <w:rFonts w:ascii="Times New Roman" w:cs="Times New Roman" w:eastAsia="Times New Roman" w:hAnsi="Times New Roman"/>
                <w:sz w:val="16"/>
                <w:szCs w:val="16"/>
                <w:color w:val="auto"/>
                <w:w w:val="99"/>
              </w:rPr>
              <w:t>________</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under U.S. GAAP to EBIT-adjusted within this section of MD&amp;A for adjustment details.</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each adjustment is determined based on the tax laws and valuation allowance status of the jurisdiction to which the adjustment relates.</w:t>
      </w:r>
    </w:p>
    <w:p>
      <w:pPr>
        <w:spacing w:after="0" w:line="172"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Four Quarters Ended</w:t>
            </w:r>
          </w:p>
        </w:tc>
      </w:tr>
      <w:tr>
        <w:trPr>
          <w:trHeight w:val="250"/>
        </w:trPr>
        <w:tc>
          <w:tcPr>
            <w:tcW w:w="2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60" w:type="dxa"/>
            <w:vAlign w:val="bottom"/>
          </w:tcPr>
          <w:p>
            <w:pPr>
              <w:spacing w:after="0"/>
              <w:rPr>
                <w:sz w:val="21"/>
                <w:szCs w:val="21"/>
                <w:color w:val="auto"/>
              </w:rPr>
            </w:pPr>
          </w:p>
        </w:tc>
        <w:tc>
          <w:tcPr>
            <w:tcW w:w="14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49"/>
        </w:trPr>
        <w:tc>
          <w:tcPr>
            <w:tcW w:w="20" w:type="dxa"/>
            <w:vAlign w:val="bottom"/>
          </w:tcPr>
          <w:p>
            <w:pPr>
              <w:spacing w:after="0"/>
              <w:rPr>
                <w:sz w:val="21"/>
                <w:szCs w:val="21"/>
                <w:color w:val="auto"/>
              </w:rPr>
            </w:pPr>
          </w:p>
        </w:tc>
        <w:tc>
          <w:tcPr>
            <w:tcW w:w="7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20" w:type="dxa"/>
            <w:vAlign w:val="bottom"/>
          </w:tcPr>
          <w:p>
            <w:pPr>
              <w:spacing w:after="0"/>
              <w:rPr>
                <w:sz w:val="21"/>
                <w:szCs w:val="21"/>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39.3</w:t>
            </w: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ROE</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193"/>
        </w:trPr>
        <w:tc>
          <w:tcPr>
            <w:tcW w:w="20" w:type="dxa"/>
            <w:vAlign w:val="bottom"/>
          </w:tcPr>
          <w:p>
            <w:pPr>
              <w:spacing w:after="0"/>
              <w:rPr>
                <w:sz w:val="16"/>
                <w:szCs w:val="16"/>
                <w:color w:val="auto"/>
              </w:rPr>
            </w:pPr>
          </w:p>
        </w:tc>
        <w:tc>
          <w:tcPr>
            <w:tcW w:w="7920" w:type="dxa"/>
            <w:vAlign w:val="bottom"/>
          </w:tcPr>
          <w:p>
            <w:pPr>
              <w:jc w:val="right"/>
              <w:ind w:right="7032"/>
              <w:spacing w:after="0"/>
              <w:rPr>
                <w:sz w:val="20"/>
                <w:szCs w:val="20"/>
                <w:color w:val="auto"/>
              </w:rPr>
            </w:pPr>
            <w:r>
              <w:rPr>
                <w:rFonts w:ascii="Times New Roman" w:cs="Times New Roman" w:eastAsia="Times New Roman" w:hAnsi="Times New Roman"/>
                <w:sz w:val="16"/>
                <w:szCs w:val="16"/>
                <w:color w:val="auto"/>
                <w:w w:val="97"/>
              </w:rPr>
              <w:t>__________</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r>
    </w:tbl>
    <w:p>
      <w:pPr>
        <w:ind w:left="340" w:hanging="332"/>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Net income (loss) attributable to stockholders.</w:t>
      </w:r>
    </w:p>
    <w:p>
      <w:pPr>
        <w:spacing w:after="0" w:line="200" w:lineRule="exact"/>
        <w:rPr>
          <w:rFonts w:ascii="Times New Roman" w:cs="Times New Roman" w:eastAsia="Times New Roman" w:hAnsi="Times New Roman"/>
          <w:sz w:val="16"/>
          <w:szCs w:val="16"/>
          <w:color w:val="auto"/>
        </w:rPr>
      </w:pPr>
    </w:p>
    <w:p>
      <w:pPr>
        <w:spacing w:after="0" w:line="241" w:lineRule="exact"/>
        <w:rPr>
          <w:rFonts w:ascii="Times New Roman" w:cs="Times New Roman" w:eastAsia="Times New Roman" w:hAnsi="Times New Roman"/>
          <w:sz w:val="16"/>
          <w:szCs w:val="16"/>
          <w:color w:val="auto"/>
        </w:rPr>
      </w:pPr>
    </w:p>
    <w:p>
      <w:pPr>
        <w:ind w:left="5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calculation of ROIC-adjusted (dollars in billions):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Four Quarters Ended</w:t>
            </w:r>
          </w:p>
        </w:tc>
      </w:tr>
      <w:tr>
        <w:trPr>
          <w:trHeight w:val="250"/>
        </w:trPr>
        <w:tc>
          <w:tcPr>
            <w:tcW w:w="20" w:type="dxa"/>
            <w:vAlign w:val="bottom"/>
          </w:tcPr>
          <w:p>
            <w:pPr>
              <w:spacing w:after="0"/>
              <w:rPr>
                <w:sz w:val="21"/>
                <w:szCs w:val="21"/>
                <w:color w:val="auto"/>
              </w:rPr>
            </w:pPr>
          </w:p>
        </w:tc>
        <w:tc>
          <w:tcPr>
            <w:tcW w:w="7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40" w:type="dxa"/>
            <w:vAlign w:val="bottom"/>
          </w:tcPr>
          <w:p>
            <w:pPr>
              <w:spacing w:after="0"/>
              <w:rPr>
                <w:sz w:val="21"/>
                <w:szCs w:val="21"/>
                <w:color w:val="auto"/>
              </w:rPr>
            </w:pP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49"/>
        </w:trPr>
        <w:tc>
          <w:tcPr>
            <w:tcW w:w="20" w:type="dxa"/>
            <w:vAlign w:val="bottom"/>
          </w:tcPr>
          <w:p>
            <w:pPr>
              <w:spacing w:after="0"/>
              <w:rPr>
                <w:sz w:val="21"/>
                <w:szCs w:val="21"/>
                <w:color w:val="auto"/>
              </w:rPr>
            </w:pPr>
          </w:p>
        </w:tc>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EBIT-adjusted(a)</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equity(b)</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39.3</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Average automotive debt and interest liabilities (excluding capital leases)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12.7</w:t>
            </w: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Average automotive net pension &amp; OPEB liability</w:t>
            </w:r>
          </w:p>
        </w:tc>
        <w:tc>
          <w:tcPr>
            <w:tcW w:w="240" w:type="dxa"/>
            <w:vAlign w:val="bottom"/>
          </w:tcPr>
          <w:p>
            <w:pPr>
              <w:spacing w:after="0"/>
              <w:rPr>
                <w:sz w:val="21"/>
                <w:szCs w:val="21"/>
                <w:color w:val="auto"/>
              </w:rPr>
            </w:pP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20.6</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Average automotive and other net income tax asset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(26.9)</w:t>
            </w:r>
          </w:p>
        </w:tc>
      </w:tr>
      <w:tr>
        <w:trPr>
          <w:trHeight w:val="297"/>
        </w:trPr>
        <w:tc>
          <w:tcPr>
            <w:tcW w:w="20" w:type="dxa"/>
            <w:vAlign w:val="bottom"/>
          </w:tcPr>
          <w:p>
            <w:pPr>
              <w:spacing w:after="0"/>
              <w:rPr>
                <w:sz w:val="24"/>
                <w:szCs w:val="24"/>
                <w:color w:val="auto"/>
              </w:rPr>
            </w:pPr>
          </w:p>
        </w:tc>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ROIC-adjusted average net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45.7</w:t>
            </w:r>
          </w:p>
        </w:tc>
      </w:tr>
      <w:tr>
        <w:trPr>
          <w:trHeight w:val="237"/>
        </w:trPr>
        <w:tc>
          <w:tcPr>
            <w:tcW w:w="20" w:type="dxa"/>
            <w:vAlign w:val="bottom"/>
          </w:tcPr>
          <w:p>
            <w:pPr>
              <w:spacing w:after="0"/>
              <w:rPr>
                <w:sz w:val="20"/>
                <w:szCs w:val="20"/>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ROIC-adjusted</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193"/>
        </w:trPr>
        <w:tc>
          <w:tcPr>
            <w:tcW w:w="20" w:type="dxa"/>
            <w:vAlign w:val="bottom"/>
          </w:tcPr>
          <w:p>
            <w:pPr>
              <w:spacing w:after="0"/>
              <w:rPr>
                <w:sz w:val="16"/>
                <w:szCs w:val="16"/>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bl>
    <w:p>
      <w:pPr>
        <w:ind w:left="340" w:hanging="332"/>
        <w:spacing w:after="0"/>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under U.S. GAAP to EBIT-adjusted within this section of MD&amp;A.</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EBIT-adjusted.</w:t>
      </w:r>
    </w:p>
    <w:p>
      <w:pPr>
        <w:spacing w:after="0" w:line="1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Our management team has adopted a strategic plan to transform GM into the world's most valued automotive company. Our plan includes several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 initiatives that we anticipate will redefine the future of personal mobility and advance our vision of zero crashes, zero emissions, zero congestion while also strengthening the core of our business: earning customers for life by delivering winning vehicles, leading the industry in quality and safety and improving the customer ownership experience; leading in technology and innovation, including electrification, autonomous vehicles and data connectivity; growing our brands; making tough, strategic decisions about which markets and products in which we will invest and compete; building profitable adjacent businesses and targeting 10% core margins on an EBIT-adjusted basis.</w:t>
      </w:r>
    </w:p>
    <w:p>
      <w:pPr>
        <w:spacing w:after="0" w:line="187" w:lineRule="exact"/>
        <w:rPr>
          <w:sz w:val="20"/>
          <w:szCs w:val="20"/>
          <w:color w:val="auto"/>
        </w:rPr>
      </w:pPr>
    </w:p>
    <w:p>
      <w:pPr>
        <w:jc w:val="both"/>
        <w:ind w:right="20" w:firstLine="162"/>
        <w:spacing w:after="0" w:line="266" w:lineRule="auto"/>
        <w:rPr>
          <w:sz w:val="20"/>
          <w:szCs w:val="20"/>
          <w:color w:val="auto"/>
        </w:rPr>
      </w:pPr>
      <w:r>
        <w:rPr>
          <w:rFonts w:ascii="Times New Roman" w:cs="Times New Roman" w:eastAsia="Times New Roman" w:hAnsi="Times New Roman"/>
          <w:sz w:val="18"/>
          <w:szCs w:val="18"/>
          <w:color w:val="auto"/>
        </w:rPr>
        <w:t>For the year ending December 31, 2019 we expect EPS-diluted of between $5.96 and $6.79 and EPS-diluted-adjusted of between $6.50 and $7.00. The following table reconciles expected EPS-diluted under U.S. GAAP to expected EPS-diluted-adjusted and includes the future impact of any currently expected adjustments: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r>
      <w:tr>
        <w:trPr>
          <w:trHeight w:val="195"/>
        </w:trPr>
        <w:tc>
          <w:tcPr>
            <w:tcW w:w="96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$ 5.96-6.79</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 transformation activities</w:t>
            </w:r>
          </w:p>
        </w:tc>
        <w:tc>
          <w:tcPr>
            <w:tcW w:w="1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1.17-1.58</w:t>
            </w:r>
          </w:p>
        </w:tc>
      </w:tr>
      <w:tr>
        <w:trPr>
          <w:trHeight w:val="27"/>
        </w:trPr>
        <w:tc>
          <w:tcPr>
            <w:tcW w:w="96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 GM Brazil indirect tax recoveries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 on adjustments(a)</w:t>
            </w:r>
          </w:p>
        </w:tc>
        <w:tc>
          <w:tcPr>
            <w:tcW w:w="1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(0.07)-0.01</w:t>
            </w:r>
          </w:p>
        </w:tc>
      </w:tr>
      <w:tr>
        <w:trPr>
          <w:trHeight w:val="27"/>
        </w:trPr>
        <w:tc>
          <w:tcPr>
            <w:tcW w:w="96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EPS-diluted-adjusted</w:t>
            </w:r>
          </w:p>
        </w:tc>
        <w:tc>
          <w:tcPr>
            <w:tcW w:w="17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$ 6.50-7.00</w:t>
            </w:r>
          </w:p>
        </w:tc>
      </w:tr>
      <w:tr>
        <w:trPr>
          <w:trHeight w:val="20"/>
        </w:trPr>
        <w:tc>
          <w:tcPr>
            <w:tcW w:w="96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(a)</w:t>
        <w:tab/>
        <w:t>The tax effect of each adjustment is determined based on the tax laws and valuation allowance status of the jurisdiction to which the adjustment relates.</w:t>
      </w:r>
    </w:p>
    <w:p>
      <w:pPr>
        <w:spacing w:after="0" w:line="172"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face continuing market, operating and regulatory challenges in a number of countries across the globe due to, among other factors, weak economic conditions, competitive pressures, our product portfolio offerings, heightened emissions standards, foreign exchange volatility, rising materials prices, trade policy and political uncertainty. As a result of these conditions, we continue to strategically assess our performance and ability to achieve acceptable returns on our invested capital, as well as our cost structure in order to maintain a low breakeven point. Refer to Item 1A. Risk Factors of our 2018 Form 10-K for a discussion on these challenges.</w:t>
      </w:r>
    </w:p>
    <w:p>
      <w:pPr>
        <w:spacing w:after="0" w:line="184"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In November 2018 we announced plans to accelerate steps to improve our overall business performance including the reorganization of global product development staffs, the realignment of manufacturing capacity in response to market-related volume declines in passenger cars and a reduction of our salaried workforce. We expect these transformation activities to drive approximately $6.0 billion of annual cash savings by the end of 2020, resulting from reductions in Automotive and other cost of sales in our condensed consolidated financial statements, as well as reduced capital expenditures. We expect to meet our target of approximately $4.5 billion of cost savings, to be achieved through staffing, manufacturing and product initiatives. As we continue to assess our performance and the needs of our evolving business, additional restructuring and rationalization actions could be required. These additional actions could give rise to future asset impairments or other charges which may have a material impact on our results of operations. We have recorded cumulative charges of $2.1 billion related to these plans, including $0.8 billion in the three months ended March 31, 2019, and expect to record additional charges of $0.9 billion to $1.5 billion in the nine months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ending December 31, 2019. These charges are primarily considered special for EBIT-adjusted, EPS diluted-adjusted, and adjusted automotive free cash flow purposes.</w:t>
      </w:r>
    </w:p>
    <w:p>
      <w:pPr>
        <w:spacing w:after="0" w:line="158"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w:t>
      </w:r>
      <w:r>
        <w:rPr>
          <w:rFonts w:ascii="Times New Roman" w:cs="Times New Roman" w:eastAsia="Times New Roman" w:hAnsi="Times New Roman"/>
          <w:sz w:val="18"/>
          <w:szCs w:val="18"/>
          <w:color w:val="auto"/>
        </w:rPr>
        <w:t>Industry sales in North America were 5.0 million units in the three months ended March 31, 2019, representing a decrease of 2.1%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in 2018. U.S. industry sales were 4.1 million units in the three months ended March 31, 2019 and we expect industry unit sales of approximately 17 million for the full year.</w:t>
      </w:r>
    </w:p>
    <w:p>
      <w:pPr>
        <w:spacing w:after="0" w:line="175"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Our total vehicle sales in the U.S., our largest market in North America, totaled 0.7 million units for market share of 16.1% in the three months ended March 31, 2019, representing a decrease of 0.9 percentage points compared to the corresponding period in 2018. We continue to lead the U.S. industry in market share.</w:t>
      </w:r>
    </w:p>
    <w:p>
      <w:pPr>
        <w:spacing w:after="0" w:line="17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estimate GMNA's breakeven point at the U.S. industry level to be in the range of 10.0 million to 11.0 million units. We expect to sustain a strong EBIT-adjusted margin in 2019 on continued strength of the U.S. industry light vehicle sales, favorable vehicle mix and continued focus on overall cost savings, partially offset by higher costs associated with commodities and tariffs, as well as pricing pressures.</w:t>
      </w:r>
    </w:p>
    <w:p>
      <w:pPr>
        <w:spacing w:after="0" w:line="17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UAW contract ratified in November 2015 expires in September 2019. For discussion of the risks related to a significant labor disruption at one of our facilities, refer to Item 1A. Risk Factors of our 2018 Form 10-K.</w:t>
      </w:r>
    </w:p>
    <w:p>
      <w:pPr>
        <w:spacing w:after="0" w:line="158"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w:t>
      </w:r>
      <w:r>
        <w:rPr>
          <w:rFonts w:ascii="Times New Roman" w:cs="Times New Roman" w:eastAsia="Times New Roman" w:hAnsi="Times New Roman"/>
          <w:sz w:val="18"/>
          <w:szCs w:val="18"/>
          <w:color w:val="auto"/>
        </w:rPr>
        <w:t>Industry sales in China were 6.1 million units in the three months ended March 31, 2019 representing a 6.5% decrease compared to the corresponding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in 2018. Our total vehicle sales in China were 0.8 million units for a market share of 13.3% in the three months ended March 31, 2019, representing a decrease of 1.8 percentage points compared to the corresponding period in 2018. Buick, Chevrolet, Cadillac, Baojun and Wuling sales were softer amid a continued weak automotive industry since the second half of 2018. Additionally, Baojun and Wuling sales were impacted by unfavorable market shifts in vehicle segments. Our Automotive China JVs generated equity income of $0.4 billion in the three months ended March 31, 2019. We expect 2019 industry sales to remain relatively flat with a continuation of pricing pressures, a more challenging regulatory environment related to emissions, fuel consumption and new energy vehicles as well as a weaker Chinese Yuan against the U.S. Dollar, which will continue to put pressure on our operations in China. While we expect China equity income to be moderately down in 2019, we expect to sustain strong China equity income by focusing on improvements in vehicle mix, cost efficiencies and adjacencies.</w:t>
      </w:r>
    </w:p>
    <w:p>
      <w:pPr>
        <w:spacing w:after="0" w:line="18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Outside of China, industry sales were 6.7 million units in the three months ended March 31, 2019, representing a decrease of 1.1% compared to the corresponding period in 2018, due primarily to decreased sales in Argentina and Australia. Our total vehicle sales were 0.3 million units for a market share of 4.3% in the three months ended March 31, 2019, representing an increase of 0.1 percentage points compared to the corresponding period in 2018.</w:t>
      </w:r>
    </w:p>
    <w:p>
      <w:pPr>
        <w:spacing w:after="0" w:line="172"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Cruise </w:t>
      </w:r>
      <w:r>
        <w:rPr>
          <w:rFonts w:ascii="Times New Roman" w:cs="Times New Roman" w:eastAsia="Times New Roman" w:hAnsi="Times New Roman"/>
          <w:sz w:val="18"/>
          <w:szCs w:val="18"/>
          <w:color w:val="auto"/>
        </w:rPr>
        <w:t>We are actively testing our autonomous vehicles in the U.S. Gated by safety and regulation, we continue to make rapid progress towards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commercialization of a network of on-demand autonomous vehicles in the U.S.</w:t>
      </w:r>
    </w:p>
    <w:p>
      <w:pPr>
        <w:spacing w:after="0" w:line="155" w:lineRule="exact"/>
        <w:rPr>
          <w:sz w:val="20"/>
          <w:szCs w:val="20"/>
          <w:color w:val="auto"/>
        </w:rPr>
      </w:pPr>
    </w:p>
    <w:p>
      <w:pPr>
        <w:jc w:val="both"/>
        <w:ind w:firstLine="16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Corporate </w:t>
      </w:r>
      <w:r>
        <w:rPr>
          <w:rFonts w:ascii="Times New Roman" w:cs="Times New Roman" w:eastAsia="Times New Roman" w:hAnsi="Times New Roman"/>
          <w:sz w:val="18"/>
          <w:szCs w:val="18"/>
          <w:color w:val="auto"/>
        </w:rPr>
        <w:t>The ignition switch recall has led to various inquiries, investigations, subpoenas, requests for information and complaints from agencies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representatives of U.S. federal, state and Canadian governments. In addition, these and other recalls have resulted in a number of claims and lawsuits. Such lawsuits and investigations could result in the imposition of material damages, fines, civil consent orders, civil and criminal penalties or other remedies. Refer to Note 13 to our condensed consolidated financial statements for additional information.</w:t>
      </w:r>
    </w:p>
    <w:p>
      <w:pPr>
        <w:spacing w:after="0" w:line="179" w:lineRule="exact"/>
        <w:rPr>
          <w:sz w:val="20"/>
          <w:szCs w:val="20"/>
          <w:color w:val="auto"/>
        </w:rPr>
      </w:pPr>
    </w:p>
    <w:p>
      <w:pPr>
        <w:jc w:val="both"/>
        <w:ind w:firstLine="16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Contingently Issuable Shares </w:t>
      </w:r>
      <w:r>
        <w:rPr>
          <w:rFonts w:ascii="Times New Roman" w:cs="Times New Roman" w:eastAsia="Times New Roman" w:hAnsi="Times New Roman"/>
          <w:sz w:val="18"/>
          <w:szCs w:val="18"/>
          <w:color w:val="auto"/>
        </w:rPr>
        <w:t>Under the Amended and Restated Master Sale and Purchase Agreement between us and MLC, GM may be obligated to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Shares of our common stock if allowed general unsecured claims against the GUC Trust, as estimated by the Bankruptcy Court, exceed $35.0 billion. Refer to Note 13 to our condensed consolidated financial statements for a description of the contingently issuable Adjustment Shares.</w:t>
      </w:r>
    </w:p>
    <w:p>
      <w:pPr>
        <w:spacing w:after="0" w:line="172"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Vehicle Sales </w:t>
      </w:r>
      <w:r>
        <w:rPr>
          <w:rFonts w:ascii="Times New Roman" w:cs="Times New Roman" w:eastAsia="Times New Roman" w:hAnsi="Times New Roman"/>
          <w:sz w:val="18"/>
          <w:szCs w:val="18"/>
          <w:color w:val="auto"/>
        </w:rPr>
        <w:t>The principal factors that determine consumer vehicle preferences in the markets in which we operate include overall vehicle design,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quality, available options, safety, reliability, fuel economy and functionality. Market leadership in individual countries in which we compete varies widely.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present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three months ended March 31, 2019, 34.0% of our wholesale vehicle sales volume was generated outside the U.S. The following table summarizes wholesale vehicle sales by automotive segment (vehicles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Borders>
              <w:bottom w:val="single" w:sz="8" w:color="auto"/>
            </w:tcBorders>
          </w:tcPr>
          <w:p>
            <w:pPr>
              <w:spacing w:after="0"/>
              <w:rPr>
                <w:sz w:val="16"/>
                <w:szCs w:val="16"/>
                <w:color w:val="auto"/>
              </w:rPr>
            </w:pPr>
          </w:p>
        </w:tc>
      </w:tr>
      <w:tr>
        <w:trPr>
          <w:trHeight w:val="196"/>
        </w:trPr>
        <w:tc>
          <w:tcPr>
            <w:tcW w:w="7800" w:type="dxa"/>
            <w:vAlign w:val="bottom"/>
          </w:tcPr>
          <w:p>
            <w:pPr>
              <w:spacing w:after="0"/>
              <w:rPr>
                <w:sz w:val="17"/>
                <w:szCs w:val="17"/>
                <w:color w:val="auto"/>
              </w:rPr>
            </w:pPr>
          </w:p>
        </w:tc>
        <w:tc>
          <w:tcPr>
            <w:tcW w:w="18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76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49"/>
        </w:trPr>
        <w:tc>
          <w:tcPr>
            <w:tcW w:w="7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GMNA</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43"/>
        </w:trPr>
        <w:tc>
          <w:tcPr>
            <w:tcW w:w="7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GMI</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7"/>
        </w:trPr>
        <w:tc>
          <w:tcPr>
            <w:tcW w:w="78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7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Total vehicle sales data represents: (1) retail sales (i.e., sales to consumers who purchase new vehicles from dealers or distributors); (2) fleet sales, such as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total industry vehicle sales and our related competitive position by geographic region (vehicles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4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640" w:type="dxa"/>
            <w:vAlign w:val="bottom"/>
          </w:tcPr>
          <w:p>
            <w:pPr>
              <w:spacing w:after="0"/>
              <w:rPr>
                <w:sz w:val="22"/>
                <w:szCs w:val="22"/>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GM</w:t>
            </w: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Market Share</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GM</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Market Share</w:t>
            </w:r>
          </w:p>
        </w:tc>
        <w:tc>
          <w:tcPr>
            <w:tcW w:w="0" w:type="dxa"/>
            <w:vAlign w:val="bottom"/>
          </w:tcPr>
          <w:p>
            <w:pPr>
              <w:spacing w:after="0"/>
              <w:rPr>
                <w:sz w:val="1"/>
                <w:szCs w:val="1"/>
                <w:color w:val="auto"/>
              </w:rPr>
            </w:pPr>
          </w:p>
        </w:tc>
      </w:tr>
      <w:tr>
        <w:trPr>
          <w:trHeight w:val="230"/>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4,202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North America</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4,963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 Middle East and Africa</w:t>
            </w: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China(a)</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6,122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5,678</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Asia/Pacific, Middle East and Africa</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11,807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12,226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South America</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7"/>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in GM markets</w:t>
            </w: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17,773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18,378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Europe</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4,779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4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Worldwide(b)</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22,552</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23,491</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Cars</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Trucks(c)</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Crossovers(c)</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United States</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4,202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China(a)</w:t>
            </w: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4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SGMS</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SGMW and FAW-GM</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China</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6,122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6,548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53"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sales by the Automotive China JVs SAIC General Motors Sales Co., Ltd. (SGMS), SAIC GM Wuling Automobile Co., Ltd. (SGMW) and FAW-GM Light Duty Commercial Vehicle Co., Ltd. (FAW-GM).</w:t>
      </w:r>
    </w:p>
    <w:p>
      <w:pPr>
        <w:ind w:left="340" w:hanging="332"/>
        <w:spacing w:after="0" w:line="246"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Cuba, Iran, North Korea, Sudan and Syria are subject to broad economic sanctions. Accordingly these countries are excluded from industry sales data and corresponding calculation of market share.</w:t>
      </w:r>
    </w:p>
    <w:p>
      <w:pPr>
        <w:ind w:left="340" w:right="20" w:hanging="332"/>
        <w:spacing w:after="0" w:line="257"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industry vehicles have been reclassified between these vehicle segments. GM vehicles were not impacted by this change. The prior period has been recast to reflect the changes.</w:t>
      </w:r>
    </w:p>
    <w:p>
      <w:pPr>
        <w:spacing w:after="0" w:line="124"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2019 we estimate we had the number one market share in each of North America and South America, and the number four market share in the Asia/Pacific, Middle East and Africa region, which included the number two market share in China.</w:t>
      </w:r>
    </w:p>
    <w:p>
      <w:pPr>
        <w:spacing w:after="0" w:line="162"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440" w:type="dxa"/>
            <w:vAlign w:val="bottom"/>
          </w:tcPr>
          <w:p>
            <w:pPr>
              <w:spacing w:after="0"/>
              <w:rPr>
                <w:sz w:val="22"/>
                <w:szCs w:val="22"/>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4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49"/>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GMNA</w:t>
            </w:r>
          </w:p>
        </w:tc>
        <w:tc>
          <w:tcPr>
            <w:tcW w:w="14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188</w:t>
            </w:r>
          </w:p>
        </w:tc>
      </w:tr>
      <w:tr>
        <w:trPr>
          <w:trHeight w:val="243"/>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GMI</w:t>
            </w:r>
          </w:p>
        </w:tc>
        <w:tc>
          <w:tcPr>
            <w:tcW w:w="14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14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84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fleet sales</w:t>
            </w:r>
          </w:p>
        </w:tc>
        <w:tc>
          <w:tcPr>
            <w:tcW w:w="14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263</w:t>
            </w:r>
          </w:p>
        </w:tc>
      </w:tr>
      <w:tr>
        <w:trPr>
          <w:trHeight w:val="20"/>
        </w:trPr>
        <w:tc>
          <w:tcPr>
            <w:tcW w:w="8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09"/>
        </w:trPr>
        <w:tc>
          <w:tcPr>
            <w:tcW w:w="8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43"/>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Fleet sales as a percentage of total vehicle sales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7"/>
        </w:trPr>
        <w:tc>
          <w:tcPr>
            <w:tcW w:w="84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16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We believe that offering a comprehensive suite of financing products will generate incremental sales of our vehicles, drive incremental GM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earnings and help support our sales throughout various economic cycles. The expansion of GM Financial's leasing program results in increased exposure to residual values, which are heavily dependent on used vehicle prices. Used vehicle prices for the three months ended March 31, 2019 decreased slightly compared to the same period in 2018. We expect used vehicle prices to decrease between 4% and 5% in 2019 compared to 2018, due primarily to continued increases in the industry supply of used vehicles as well as increases in GM Financial's off-lease vehicles. The following table summarizes the estimated residual value as well as the number of units included in GM Financial Equipment on operating leases, net by vehicle type (units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320" w:type="dxa"/>
            <w:vAlign w:val="bottom"/>
            <w:tcBorders>
              <w:bottom w:val="single" w:sz="8" w:color="auto"/>
            </w:tcBorders>
          </w:tcPr>
          <w:p>
            <w:pPr>
              <w:spacing w:after="0"/>
              <w:rPr>
                <w:sz w:val="16"/>
                <w:szCs w:val="16"/>
                <w:color w:val="auto"/>
              </w:rPr>
            </w:pPr>
          </w:p>
        </w:tc>
      </w:tr>
      <w:tr>
        <w:trPr>
          <w:trHeight w:val="264"/>
        </w:trPr>
        <w:tc>
          <w:tcPr>
            <w:tcW w:w="3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3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49"/>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Trucks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7,134</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7,299</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Crossovers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15,457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15,057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SUVs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4,074</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4,160</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31,232</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31,400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1,703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GM Financial's retail penetration in the U.S. increased to approximately 53% in the three months ended March 31, 2019 from approximately 45% in the corresponding period in 2018, due primarily to further alignment with GM and greater dealer engagement. GM Financial's prime loan originations as a percentage of total loan originations in North America increased to 74% in the three months ended March 31, 2019 from 66% in the corresponding period in 2018. In the three months ended March 31, 2019 GM Financial's revenue consisted of leased vehicle income of 69%, retail finance charge income of 23% and commercial finance charge income of 5%.</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Consolidated Results </w:t>
      </w:r>
      <w:r>
        <w:rPr>
          <w:rFonts w:ascii="Times New Roman" w:cs="Times New Roman" w:eastAsia="Times New Roman" w:hAnsi="Times New Roman"/>
          <w:sz w:val="18"/>
          <w:szCs w:val="18"/>
          <w:color w:val="auto"/>
        </w:rPr>
        <w:t>We review changes in our results of operations under five categories: volume, mix, price, cost and other. Volume measures the impact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includes primarily: (1) material and freight; (2) manufacturing, engineering, advertising, administrative and selling and warranty expense; and (3) non-vehicle related activity. Other includes primarily foreign exchange and non-vehicle related automotive revenues as well as equity income or loss from our nonconsolidated affiliates. Refer to the regional sections of this MD&amp;A for additional information.</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Total Net Sales and Revenue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080" w:type="dxa"/>
            <w:vAlign w:val="bottom"/>
            <w:tcBorders>
              <w:bottom w:val="single" w:sz="8" w:color="auto"/>
            </w:tcBorders>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5"/>
                <w:szCs w:val="5"/>
                <w:color w:val="auto"/>
              </w:rPr>
            </w:pPr>
          </w:p>
        </w:tc>
        <w:tc>
          <w:tcPr>
            <w:tcW w:w="1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60" w:type="dxa"/>
            <w:vAlign w:val="bottom"/>
          </w:tcPr>
          <w:p>
            <w:pPr>
              <w:spacing w:after="0"/>
              <w:rPr>
                <w:sz w:val="5"/>
                <w:szCs w:val="5"/>
                <w:color w:val="auto"/>
              </w:rPr>
            </w:pPr>
          </w:p>
        </w:tc>
        <w:tc>
          <w:tcPr>
            <w:tcW w:w="64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Mix</w:t>
            </w:r>
          </w:p>
        </w:tc>
        <w:tc>
          <w:tcPr>
            <w:tcW w:w="240" w:type="dxa"/>
            <w:vAlign w:val="bottom"/>
          </w:tcPr>
          <w:p>
            <w:pPr>
              <w:spacing w:after="0"/>
              <w:rPr>
                <w:sz w:val="5"/>
                <w:szCs w:val="5"/>
                <w:color w:val="auto"/>
              </w:rPr>
            </w:pPr>
          </w:p>
        </w:tc>
        <w:tc>
          <w:tcPr>
            <w:tcW w:w="62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5"/>
                <w:szCs w:val="5"/>
                <w:color w:val="auto"/>
              </w:rPr>
            </w:pPr>
          </w:p>
        </w:tc>
        <w:tc>
          <w:tcPr>
            <w:tcW w:w="6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GMNA</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27,365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27,818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GMI</w:t>
            </w:r>
          </w:p>
        </w:tc>
        <w:tc>
          <w:tcPr>
            <w:tcW w:w="22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3,850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Corporate</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Automotive</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31,261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32,715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 Cruise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 Financial</w:t>
            </w:r>
          </w:p>
        </w:tc>
        <w:tc>
          <w:tcPr>
            <w:tcW w:w="22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34,878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36,099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n.m. = not meaningful</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Cost of Sales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080" w:type="dxa"/>
            <w:vAlign w:val="bottom"/>
            <w:tcBorders>
              <w:bottom w:val="single" w:sz="8" w:color="auto"/>
            </w:tcBorders>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5"/>
                <w:szCs w:val="5"/>
                <w:color w:val="auto"/>
              </w:rPr>
            </w:pPr>
          </w:p>
        </w:tc>
        <w:tc>
          <w:tcPr>
            <w:tcW w:w="1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80" w:type="dxa"/>
            <w:vAlign w:val="bottom"/>
          </w:tcPr>
          <w:p>
            <w:pPr>
              <w:spacing w:after="0"/>
              <w:rPr>
                <w:sz w:val="5"/>
                <w:szCs w:val="5"/>
                <w:color w:val="auto"/>
              </w:rPr>
            </w:pPr>
          </w:p>
        </w:tc>
        <w:tc>
          <w:tcPr>
            <w:tcW w:w="64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Mix</w:t>
            </w:r>
          </w:p>
        </w:tc>
        <w:tc>
          <w:tcPr>
            <w:tcW w:w="240" w:type="dxa"/>
            <w:vAlign w:val="bottom"/>
          </w:tcPr>
          <w:p>
            <w:pPr>
              <w:spacing w:after="0"/>
              <w:rPr>
                <w:sz w:val="5"/>
                <w:szCs w:val="5"/>
                <w:color w:val="auto"/>
              </w:rPr>
            </w:pPr>
          </w:p>
        </w:tc>
        <w:tc>
          <w:tcPr>
            <w:tcW w:w="64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5"/>
                <w:szCs w:val="5"/>
                <w:color w:val="auto"/>
              </w:rPr>
            </w:pPr>
          </w:p>
        </w:tc>
        <w:tc>
          <w:tcPr>
            <w:tcW w:w="62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GMNA</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24,971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24,294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GMI</w:t>
            </w:r>
          </w:p>
        </w:tc>
        <w:tc>
          <w:tcPr>
            <w:tcW w:w="22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5,772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2,743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47.5 %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0.4</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Corporate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 Cruise</w:t>
            </w:r>
          </w:p>
        </w:tc>
        <w:tc>
          <w:tcPr>
            <w:tcW w:w="22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automotive and other</w:t>
            </w:r>
          </w:p>
        </w:tc>
        <w:tc>
          <w:tcPr>
            <w:tcW w:w="2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28,229</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30,184</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1,955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sales</w:t>
            </w:r>
          </w:p>
        </w:tc>
        <w:tc>
          <w:tcPr>
            <w:tcW w:w="22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0.9</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3"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In the three months ended March 31, 2019 favorable Cost was due primarily to: (1) charges of $0.9 billion primarily related to asset impairments and employee separation charges in Korea in 2018; (2) a benefit of $0.9 billion related to the retrospective recoveries of indirect taxes in Brazil; (3) decreased engineering costs of $0.3 billion; and (4) favorable material performance of $0.2 billion related to carryover vehicles; partially offset by (5) charges of $0.8 billion primarily related to accelerated depreciation resulting from the transformation activities; (6) increased material cost of $0.4 billion related to vehicles launched within the last twelve months incorporating significant exterior and/or interior changes (Majors); and (7) increased raw material and freight costs related to carryover vehicles of $0.2 billion. In the three months ended March 31, 2019 favorable Other was due to the foreign currency effect resulting from the weakening of the Brazilian Real and other currencies against the U.S. Dollar.</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Non-operating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6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vMerge w:val="restart"/>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64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and other non-operating income,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549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2019 Interest income and other non-operating income, net increased due primarily to favorable revaluation of investments of $0.3 billion, partially offset by decreased non-service pension and OPEB income of $0.2 billion.</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6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vMerge w:val="restart"/>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64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466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70.6%</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2019 Income tax expense decreased due primarily to tax benefits related to a release of valuation allowance and benefits from foreign dividends.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North America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4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720" w:type="dxa"/>
            <w:vAlign w:val="bottom"/>
            <w:tcBorders>
              <w:bottom w:val="single" w:sz="8" w:color="auto"/>
            </w:tcBorders>
            <w:gridSpan w:val="3"/>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9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4"/>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40" w:type="dxa"/>
            <w:vAlign w:val="bottom"/>
          </w:tcPr>
          <w:p>
            <w:pPr>
              <w:spacing w:after="0"/>
              <w:rPr>
                <w:sz w:val="5"/>
                <w:szCs w:val="5"/>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2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5"/>
                <w:szCs w:val="5"/>
                <w:color w:val="auto"/>
              </w:rPr>
            </w:pPr>
          </w:p>
        </w:tc>
        <w:tc>
          <w:tcPr>
            <w:tcW w:w="4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5"/>
                <w:szCs w:val="5"/>
                <w:color w:val="auto"/>
              </w:rPr>
            </w:pPr>
          </w:p>
        </w:tc>
        <w:tc>
          <w:tcPr>
            <w:tcW w:w="46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6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4"/>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27,365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27,818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0.2</w:t>
            </w:r>
          </w:p>
        </w:tc>
        <w:tc>
          <w:tcPr>
            <w:tcW w:w="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EBIT-adjusted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1,896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2,233</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EBIT-adjusted margin</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Wholesale vehicle sales</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859</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16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Total Net Sales and Revenue </w:t>
      </w:r>
      <w:r>
        <w:rPr>
          <w:rFonts w:ascii="Times New Roman" w:cs="Times New Roman" w:eastAsia="Times New Roman" w:hAnsi="Times New Roman"/>
          <w:sz w:val="18"/>
          <w:szCs w:val="18"/>
          <w:color w:val="auto"/>
        </w:rPr>
        <w:t>In the three months ended March 31, 2019 Total net sales and revenue decreased due primarily to: (1) decreased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wholesale volumes due to a decrease in sales of passenger cars, fleet vehicles and full-size SUVs due to planned downtime, partially offset by an increase in sales of crossover vehicles and full-size pickup trucks; partially offset by (2) favorable mix associated with an increase in sales of full-size pickup trucks and a decrease in sales of passenger cars, partially offset by a decrease in sales of full-size SUVs; and (3) favorable pricing for Majors of $0.4 billion, partially offset by unfavorable pricing for carryover vehicles of $0.2 billion.</w:t>
      </w:r>
    </w:p>
    <w:p>
      <w:pPr>
        <w:spacing w:after="0" w:line="180" w:lineRule="exact"/>
        <w:rPr>
          <w:sz w:val="20"/>
          <w:szCs w:val="20"/>
          <w:color w:val="auto"/>
        </w:rPr>
      </w:pPr>
    </w:p>
    <w:p>
      <w:pPr>
        <w:jc w:val="both"/>
        <w:ind w:firstLine="16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EBIT-Adjusted </w:t>
      </w:r>
      <w:r>
        <w:rPr>
          <w:rFonts w:ascii="Times New Roman" w:cs="Times New Roman" w:eastAsia="Times New Roman" w:hAnsi="Times New Roman"/>
          <w:sz w:val="18"/>
          <w:szCs w:val="18"/>
          <w:color w:val="auto"/>
        </w:rPr>
        <w:t>In the three months ended March 31, 2019 EBIT-adjusted decreased due primarily to: (1) unfavorable Cost due to increased vehicle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content for Majors of $0.4 billion and increased raw material and freight costs of $0.2 billion related to carryover vehicles, partially offset by decreased other costs of $0.2 billion primarily engineering and favorable materials performance of $0.1 billion related to carryover vehicles; and (2) decreased net wholesale volumes; partially offset by (3) favorable pricing.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International</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4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3"/>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9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4"/>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4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40" w:type="dxa"/>
            <w:vAlign w:val="bottom"/>
          </w:tcPr>
          <w:p>
            <w:pPr>
              <w:spacing w:after="0"/>
              <w:rPr>
                <w:sz w:val="5"/>
                <w:szCs w:val="5"/>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2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5"/>
                <w:szCs w:val="5"/>
                <w:color w:val="auto"/>
              </w:rPr>
            </w:pPr>
          </w:p>
        </w:tc>
        <w:tc>
          <w:tcPr>
            <w:tcW w:w="46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20" w:type="dxa"/>
            <w:vAlign w:val="bottom"/>
          </w:tcPr>
          <w:p>
            <w:pPr>
              <w:spacing w:after="0"/>
              <w:rPr>
                <w:sz w:val="5"/>
                <w:szCs w:val="5"/>
                <w:color w:val="auto"/>
              </w:rPr>
            </w:pPr>
          </w:p>
        </w:tc>
        <w:tc>
          <w:tcPr>
            <w:tcW w:w="46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660" w:type="dxa"/>
            <w:vAlign w:val="bottom"/>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00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3,850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4,848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(0.3)</w:t>
            </w:r>
          </w:p>
        </w:tc>
        <w:tc>
          <w:tcPr>
            <w:tcW w:w="0" w:type="dxa"/>
            <w:vAlign w:val="bottom"/>
          </w:tcPr>
          <w:p>
            <w:pPr>
              <w:spacing w:after="0"/>
              <w:rPr>
                <w:sz w:val="1"/>
                <w:szCs w:val="1"/>
                <w:color w:val="auto"/>
              </w:rPr>
            </w:pPr>
          </w:p>
        </w:tc>
      </w:tr>
      <w:tr>
        <w:trPr>
          <w:trHeight w:val="243"/>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EBIT-adjusted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0.4</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(0.3)</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EBIT-adjusted margin</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Equity income — Automotive</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China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i w:val="1"/>
                <w:iCs w:val="1"/>
                <w:color w:val="auto"/>
              </w:rPr>
              <w:t>376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00" w:type="dxa"/>
            <w:vAlign w:val="bottom"/>
          </w:tcPr>
          <w:p>
            <w:pPr>
              <w:jc w:val="right"/>
              <w:ind w:right="93"/>
              <w:spacing w:after="0"/>
              <w:rPr>
                <w:sz w:val="20"/>
                <w:szCs w:val="20"/>
                <w:color w:val="auto"/>
              </w:rPr>
            </w:pPr>
            <w:r>
              <w:rPr>
                <w:rFonts w:ascii="Times New Roman" w:cs="Times New Roman" w:eastAsia="Times New Roman" w:hAnsi="Times New Roman"/>
                <w:sz w:val="18"/>
                <w:szCs w:val="18"/>
                <w:i w:val="1"/>
                <w:iCs w:val="1"/>
                <w:color w:val="auto"/>
              </w:rPr>
              <w:t>597</w:t>
            </w: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i w:val="1"/>
                <w:iCs w:val="1"/>
                <w:color w:val="auto"/>
              </w:rPr>
              <w:t>(221)</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EBIT (loss)-adjusted —</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i w:val="1"/>
                <w:iCs w:val="1"/>
                <w:color w:val="auto"/>
              </w:rPr>
              <w:t>excluding Equity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i w:val="1"/>
                <w:iCs w:val="1"/>
                <w:color w:val="auto"/>
              </w:rPr>
              <w:t>(345)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i w:val="1"/>
                <w:iCs w:val="1"/>
                <w:color w:val="auto"/>
              </w:rPr>
              <w:t>(408)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i w:val="1"/>
                <w:iCs w:val="1"/>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15.4 %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Wholesale vehicle sales</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FFFFFF"/>
        </w:rPr>
        <w:t>(Vehicles in thousands)</w:t>
      </w:r>
    </w:p>
    <w:p>
      <w:pPr>
        <w:spacing w:after="0" w:line="29" w:lineRule="exact"/>
        <w:rPr>
          <w:sz w:val="20"/>
          <w:szCs w:val="20"/>
          <w:color w:val="auto"/>
        </w:rPr>
      </w:pPr>
    </w:p>
    <w:p>
      <w:pPr>
        <w:jc w:val="both"/>
        <w:ind w:firstLine="162"/>
        <w:spacing w:after="0" w:line="272" w:lineRule="auto"/>
        <w:rPr>
          <w:sz w:val="20"/>
          <w:szCs w:val="20"/>
          <w:color w:val="auto"/>
        </w:rPr>
      </w:pPr>
      <w:r>
        <w:rPr>
          <w:rFonts w:ascii="Times New Roman" w:cs="Times New Roman" w:eastAsia="Times New Roman" w:hAnsi="Times New Roman"/>
          <w:sz w:val="18"/>
          <w:szCs w:val="18"/>
          <w:color w:val="auto"/>
        </w:rPr>
        <w:t>The vehicle sales of our Automotive China JVs are not recorded in Total net sales and revenue. The results of our joint ventures are recorded in Equity income, which is included in EBIT-adjusted above.</w:t>
      </w:r>
    </w:p>
    <w:p>
      <w:pPr>
        <w:spacing w:after="0" w:line="167" w:lineRule="exact"/>
        <w:rPr>
          <w:sz w:val="20"/>
          <w:szCs w:val="20"/>
          <w:color w:val="auto"/>
        </w:rPr>
      </w:pPr>
    </w:p>
    <w:p>
      <w:pPr>
        <w:jc w:val="both"/>
        <w:ind w:firstLine="16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Total Net Sales and Revenue </w:t>
      </w:r>
      <w:r>
        <w:rPr>
          <w:rFonts w:ascii="Times New Roman" w:cs="Times New Roman" w:eastAsia="Times New Roman" w:hAnsi="Times New Roman"/>
          <w:sz w:val="18"/>
          <w:szCs w:val="18"/>
          <w:color w:val="auto"/>
        </w:rPr>
        <w:t>In the three months ended March 31, 2019 Total net sales and revenue decreased due primarily to: (1)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wholesale volumes in Argentina primarily driven by lower industry volumes; (2) unfavorable mix due primarily to increased sales of the Chevrolet Onix in Brazil and decreased sales of SUVs in the Middle East; and (3) unfavorable Other due primarily to the foreign currency effect resulting from the weakening of the Brazilian Real and Argentine Peso against the U.S. Dollar.</w:t>
      </w:r>
    </w:p>
    <w:p>
      <w:pPr>
        <w:spacing w:after="0" w:line="177"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EBIT-Adjusted </w:t>
      </w:r>
      <w:r>
        <w:rPr>
          <w:rFonts w:ascii="Times New Roman" w:cs="Times New Roman" w:eastAsia="Times New Roman" w:hAnsi="Times New Roman"/>
          <w:sz w:val="18"/>
          <w:szCs w:val="18"/>
          <w:color w:val="auto"/>
        </w:rPr>
        <w:t>In the three months ended March 31, 2019 EBIT-adjusted decreased due primarily to: (1) unfavorable mix; (2) unfavorable Other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to decreased equity income and the foreign currency effect resulting from the weakening of the Argentine Peso against the U.S. Dollar; partially offset by (3) favorable fixed cost in Australia and Korea.</w:t>
      </w:r>
    </w:p>
    <w:p>
      <w:pPr>
        <w:spacing w:after="0" w:line="175"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view the Chinese market as important to our global growth strategy and are employing a multi-brand strategy led by our Buick, Chevrolet and Cadillac brands. In the coming years we plan to leverage our global architectures to increase the number of product offerings under the Buick, Chevrolet and Cadillac brands in China and continue to grow our business under the local Baojun and Wuling brands, with Baojun focusing its expansion in less developed cities and markets. We operate in the Chinese market through a number of joint ventures and maintaining strong relationships with our joint venture partners is an important part of our China growth strategy.</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certain key operational and financial data for the Automotive China JVs (vehicles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Pr>
          <w:p>
            <w:pPr>
              <w:spacing w:after="0"/>
              <w:rPr>
                <w:sz w:val="22"/>
                <w:szCs w:val="22"/>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49"/>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Wholesale vehicle sales, including vehicles exported to markets outside of China</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1,066</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10,146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13,719</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1,177</w:t>
            </w:r>
          </w:p>
        </w:tc>
      </w:tr>
      <w:tr>
        <w:trPr>
          <w:trHeight w:val="27"/>
        </w:trPr>
        <w:tc>
          <w:tcPr>
            <w:tcW w:w="8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Cruise</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Favorable /</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6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6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(a)</w:t>
        <w:tab/>
        <w:t>Reclassified to Interest income and other non-operating income, net in our condensed consolidated income statements in the three months ended March 31, 2019.</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Financial</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Increase /</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6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2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2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60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3,411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EBT-adjusted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debt outstanding (dollars in billions)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rate of interest paid</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Revenue </w:t>
      </w:r>
      <w:r>
        <w:rPr>
          <w:rFonts w:ascii="Times New Roman" w:cs="Times New Roman" w:eastAsia="Times New Roman" w:hAnsi="Times New Roman"/>
          <w:sz w:val="18"/>
          <w:szCs w:val="18"/>
          <w:color w:val="auto"/>
        </w:rPr>
        <w:t>In the three months ended March 31, 2019 Total revenue increased due primarily to increased finance charge income of $0.1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due to an increase in the average balance in the retail and commercial finance receivables portfolios.</w:t>
      </w:r>
    </w:p>
    <w:p>
      <w:pPr>
        <w:spacing w:after="0" w:line="155"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EBT-Adjusted </w:t>
      </w:r>
      <w:r>
        <w:rPr>
          <w:rFonts w:ascii="Times New Roman" w:cs="Times New Roman" w:eastAsia="Times New Roman" w:hAnsi="Times New Roman"/>
          <w:sz w:val="18"/>
          <w:szCs w:val="18"/>
          <w:color w:val="auto"/>
        </w:rPr>
        <w:t>In the three months ended March 31, 2019 EBT-adjusted decreased due primarily to increased interest expense of $0.2 billion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an increase in average balance of debt outstanding as well as an increase in the effective rate of interest on debt.</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We believe that our current level of cash and cash equivalents, marketable securities and availability under our revolving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facilities will be sufficient to meet our liquidity needs. We expect to have substantial cash requirements going forward which we plan to fund through total available liquidity and cash flows generated from operations and future debt issuances. We also maintain access to the capital markets and may issue debt or equity securities from time to time, which may provide an additional source of liquidity. Our future uses of cash, which may vary from time to time based on market conditions and other factors, are focused on the three objectives of our capital allocation program: (1) reinvest in our business at an average target ROIC-adjusted rate of 20% or greater, (2) maintain a strong investment-grade balance sheet, including a target average automotive cash balance of $18 billion, and (3) return available cash to shareholders. Our senior management evaluates our capital allocation program on an ongoing basis and recommends any modifications to the program to our Board of Directors, not less than once annually.</w:t>
      </w:r>
    </w:p>
    <w:p>
      <w:pPr>
        <w:spacing w:after="0" w:line="18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Our known future material uses of cash include, among other possible demands: (1) capital expenditures of approximately $8.0 to $9.0 billion in 2019 as well as payments for engineering and product development activities; (2) payments associated with previously announced vehicle recalls, the settlements of the multi-district litigation and any other recall-related contingencies; (3) payments to service debt and other long-term obligations, including discretionary and mandatory contributions to our pension plans; (4) dividend payments on our common stock that are declared by our Board of Directors; and (5) payments to purchase shares of our common stock authorized by our Board of Directors.</w:t>
      </w:r>
    </w:p>
    <w:p>
      <w:pPr>
        <w:spacing w:after="0" w:line="184"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Our liquidity plans are subject to a number of risks and uncertainties, including those described in the "Forward-Looking Statements" section of this MD&amp;A and the "Risk Factors" section of our 2018 Form 10-K, some of which are outside of our control.</w:t>
      </w:r>
    </w:p>
    <w:p>
      <w:pPr>
        <w:spacing w:after="0" w:line="162" w:lineRule="exact"/>
        <w:rPr>
          <w:sz w:val="20"/>
          <w:szCs w:val="20"/>
          <w:color w:val="auto"/>
        </w:rPr>
      </w:pPr>
    </w:p>
    <w:p>
      <w:pPr>
        <w:jc w:val="both"/>
        <w:ind w:firstLine="162"/>
        <w:spacing w:after="0" w:line="263" w:lineRule="auto"/>
        <w:rPr>
          <w:sz w:val="20"/>
          <w:szCs w:val="20"/>
          <w:color w:val="auto"/>
        </w:rPr>
      </w:pPr>
      <w:r>
        <w:rPr>
          <w:rFonts w:ascii="Times New Roman" w:cs="Times New Roman" w:eastAsia="Times New Roman" w:hAnsi="Times New Roman"/>
          <w:sz w:val="18"/>
          <w:szCs w:val="18"/>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In January 2017 we announced that our Board of Directors had authorized the purchase of up to $5.0 billion of our common stock with no expiration date as part of our common stock repurchase program. We have completed $1.6 billion of the $5.0 billion program through March 31, 2019.</w:t>
      </w:r>
    </w:p>
    <w:p>
      <w:pPr>
        <w:spacing w:after="0" w:line="158" w:lineRule="exact"/>
        <w:rPr>
          <w:sz w:val="20"/>
          <w:szCs w:val="20"/>
          <w:color w:val="auto"/>
        </w:rPr>
      </w:pPr>
    </w:p>
    <w:p>
      <w:pPr>
        <w:jc w:val="both"/>
        <w:ind w:firstLine="16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Liquidity </w:t>
      </w:r>
      <w:r>
        <w:rPr>
          <w:rFonts w:ascii="Times New Roman" w:cs="Times New Roman" w:eastAsia="Times New Roman" w:hAnsi="Times New Roman"/>
          <w:sz w:val="18"/>
          <w:szCs w:val="18"/>
          <w:color w:val="auto"/>
        </w:rPr>
        <w:t>Total available liquidity includes cash, cash equivalents, marketable securities and funds available under credit facilities. The amount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available liquidity is subject to seasonal fluctuations and includes balances held by various business units and subsidiaries worldwide that are needed to fund their operations. We have not significantly changed the management of our liquidity, including our allocation of available liquidity, our portfolio composition and our investment guidelines since December 31, 2018. Refer to the "Liquidity and Capital Resources" section of MD&amp;A in our 2018 Form 10-K.</w:t>
      </w:r>
    </w:p>
    <w:p>
      <w:pPr>
        <w:spacing w:after="0" w:line="184"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We use credit facilities as a mechanism to provide additional flexibility in managing our global liquidity. Our credit facilities totaled $19.5 billion and $16.5 billion at March 31, 2019 and December 31, 2018. GM Financial has exclusive use of our 364–day $2.0 billion credit facility. Total automotive credit under the facilities was $17.5 billion and $14.5 billion at March 31, 2019 and December 31, 2018. In January 2019 we executed a new three-year unsecured revolving credit facility with an initial borrowing capacity of $3.0 billion, reducing to $2.0 billion in July 2020. The facility is to fund costs related to the transformation activities announced in November 2018 and to provide additional financial flexibility. In the three months ended March 31, 2019, we borrowed $0.4 billion against this facility to support transformation related disbursements. We did not have any borrowings against our other facilities at March 31, 2019 and December 31, 2018. In April 2019 we renewed our 364–day $2.0 billion credit facility for an additional 364-day term.</w:t>
      </w:r>
    </w:p>
    <w:p>
      <w:pPr>
        <w:spacing w:after="0" w:line="18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had letters of credit outstanding under our sub-facility of $0.3 billion at March 31, 2019 and December 31, 2018. GM Financial had access to our revolving credit facilities, except for the $3.0 billion facility executed in January 2019, but did not have borrowings outstanding under them at March 31, 2019 and December 31, 2018. We had intercompany loans from GM Financial of $0.6 billion at March 31, 2019 and December 31, 2018, which consisted primarily of commercial loans to dealers we consolidate, and we had no intercompany loans to GM Financial. Refer to Note 4 of our condensed consolidated financial statements for additional information.</w:t>
      </w:r>
    </w:p>
    <w:p>
      <w:pPr>
        <w:spacing w:after="0" w:line="4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our available liquidity (dollars in billions):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Automotive cash and cash equivalents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Automotive cash, cash equivalents and marketable securities(a)(b)</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 Cruise cash and cash equivalents(c)</w:t>
            </w:r>
          </w:p>
        </w:tc>
        <w:tc>
          <w:tcPr>
            <w:tcW w:w="2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 liquidity</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17.9</w:t>
            </w:r>
          </w:p>
        </w:tc>
        <w:tc>
          <w:tcPr>
            <w:tcW w:w="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 under credit facilities</w:t>
            </w:r>
          </w:p>
        </w:tc>
        <w:tc>
          <w:tcPr>
            <w:tcW w:w="2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w:t>
            </w: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available liquidity(a)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34.7</w:t>
            </w:r>
          </w:p>
        </w:tc>
        <w:tc>
          <w:tcPr>
            <w:tcW w:w="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do not add due to rounding.</w:t>
      </w:r>
    </w:p>
    <w:p>
      <w:pPr>
        <w:spacing w:after="0" w:line="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$0.5 billion and $0.6 billion that is designated exclusively to fund capital expenditures in GM Korea at March 31, 2019 and December 31, 2018.</w:t>
      </w:r>
    </w:p>
    <w:p>
      <w:pPr>
        <w:spacing w:after="0" w:line="5" w:lineRule="exact"/>
        <w:rPr>
          <w:rFonts w:ascii="Times New Roman" w:cs="Times New Roman" w:eastAsia="Times New Roman" w:hAnsi="Times New Roman"/>
          <w:sz w:val="16"/>
          <w:szCs w:val="16"/>
          <w:color w:val="auto"/>
        </w:rPr>
      </w:pPr>
    </w:p>
    <w:p>
      <w:pPr>
        <w:ind w:left="340" w:hanging="332"/>
        <w:spacing w:after="0" w:line="257" w:lineRule="auto"/>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are designated exclusively for the use of GM Cruise and do not include $0.1 billion of GM Cruise's investment in GM Stock at March 31, 2019 and December 31, 2018.</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changes in our Automotive available liquidity (excluding GM Cruise, dollars in billions):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0" w:type="dxa"/>
            <w:vAlign w:val="bottom"/>
          </w:tcPr>
          <w:p>
            <w:pPr>
              <w:spacing w:after="0"/>
              <w:rPr>
                <w:sz w:val="1"/>
                <w:szCs w:val="1"/>
                <w:color w:val="auto"/>
              </w:rPr>
            </w:pPr>
          </w:p>
        </w:tc>
      </w:tr>
      <w:tr>
        <w:trPr>
          <w:trHeight w:val="195"/>
        </w:trPr>
        <w:tc>
          <w:tcPr>
            <w:tcW w:w="4480" w:type="dxa"/>
            <w:vAlign w:val="bottom"/>
            <w:tcBorders>
              <w:bottom w:val="single" w:sz="8" w:color="CCEEFF"/>
            </w:tcBorders>
          </w:tcPr>
          <w:p>
            <w:pPr>
              <w:spacing w:after="0"/>
              <w:rPr>
                <w:sz w:val="16"/>
                <w:szCs w:val="16"/>
                <w:color w:val="auto"/>
              </w:rPr>
            </w:pPr>
          </w:p>
        </w:tc>
        <w:tc>
          <w:tcPr>
            <w:tcW w:w="5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0" w:type="dxa"/>
            <w:vAlign w:val="bottom"/>
          </w:tcPr>
          <w:p>
            <w:pPr>
              <w:spacing w:after="0"/>
              <w:rPr>
                <w:sz w:val="1"/>
                <w:szCs w:val="1"/>
                <w:color w:val="auto"/>
              </w:rPr>
            </w:pPr>
          </w:p>
        </w:tc>
      </w:tr>
      <w:tr>
        <w:trPr>
          <w:trHeight w:val="249"/>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w:t>
            </w:r>
          </w:p>
        </w:tc>
        <w:tc>
          <w:tcPr>
            <w:tcW w:w="5500" w:type="dxa"/>
            <w:vAlign w:val="bottom"/>
            <w:tcBorders>
              <w:bottom w:val="single" w:sz="8" w:color="CCEEFF"/>
            </w:tcBorders>
            <w:gridSpan w:val="2"/>
            <w:shd w:val="clear" w:color="auto" w:fill="CCEEFF"/>
          </w:tcPr>
          <w:p>
            <w:pPr>
              <w:ind w:left="5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5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5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Borrowings against credit facilities</w:t>
            </w:r>
          </w:p>
        </w:tc>
        <w:tc>
          <w:tcPr>
            <w:tcW w:w="5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non-operating</w:t>
            </w:r>
          </w:p>
        </w:tc>
        <w:tc>
          <w:tcPr>
            <w:tcW w:w="5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available credit facilities</w:t>
            </w:r>
          </w:p>
        </w:tc>
        <w:tc>
          <w:tcPr>
            <w:tcW w:w="5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change in automotive available liquidity</w:t>
            </w:r>
          </w:p>
        </w:tc>
        <w:tc>
          <w:tcPr>
            <w:tcW w:w="5500" w:type="dxa"/>
            <w:vAlign w:val="bottom"/>
            <w:gridSpan w:val="2"/>
            <w:shd w:val="clear" w:color="auto" w:fill="CCEEFF"/>
          </w:tcPr>
          <w:p>
            <w:pPr>
              <w:ind w:left="5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jc w:val="right"/>
              <w:ind w:right="3710"/>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8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Automotive Cash Flow (Dollars in billions)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9"/>
        </w:trPr>
        <w:tc>
          <w:tcPr>
            <w:tcW w:w="6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1"/>
                <w:szCs w:val="21"/>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200" w:type="dxa"/>
            <w:vAlign w:val="bottom"/>
          </w:tcPr>
          <w:p>
            <w:pPr>
              <w:spacing w:after="0"/>
              <w:rPr>
                <w:sz w:val="21"/>
                <w:szCs w:val="21"/>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amortization and impairment charges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and OPEB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and other liabilities and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automotive cash used in operating activities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2019 the increase in Net automotive cash used in operating activities was due primarily to unfavorable working capital due primarily to unfavorable accounts receivable and other timing items, partially offset by favorable rental car activity of $0.4 billion due to a decrease in units returned from rental car companies.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2"/>
        </w:trPr>
        <w:tc>
          <w:tcPr>
            <w:tcW w:w="6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Acquisitions and liquidations of marketable securities, net</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r>
      <w:tr>
        <w:trPr>
          <w:trHeight w:val="25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automotive cash used in investing activities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03"/>
        </w:trPr>
        <w:tc>
          <w:tcPr>
            <w:tcW w:w="6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2"/>
        </w:trPr>
        <w:tc>
          <w:tcPr>
            <w:tcW w:w="6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200" w:type="dxa"/>
            <w:vAlign w:val="bottom"/>
          </w:tcPr>
          <w:p>
            <w:pPr>
              <w:spacing w:after="0"/>
              <w:rPr>
                <w:sz w:val="22"/>
                <w:szCs w:val="22"/>
                <w:color w:val="auto"/>
              </w:rPr>
            </w:pP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proceeds from short-term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 and payments to purchase common stock</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unsecured note payable to SGM</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automotive cash provided by financing activities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Adjusted Automotive Free Cash Flow</w:t>
      </w:r>
    </w:p>
    <w:p>
      <w:pPr>
        <w:spacing w:after="0" w:line="227"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measure adjusted automotive free cash flow as automotive operating cash flow from continuing operations less capital expenditures adjusted for management actions. For the three months ended March 31, 2019, net automotive cash used in operating activities under U.S. GAAP was $2.2 billion, capital expenditures were $2.0 billion, and an adjustment for management actions related to transformation activities primarily in GMNA was $0.3 billion.</w:t>
      </w:r>
    </w:p>
    <w:p>
      <w:pPr>
        <w:spacing w:after="0" w:line="17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2018, net automotive cash used in operating activities under U.S. GAAP was $1.1 billion, capital expenditures were $2.2 billion, and there were no adjustments for management actions.</w:t>
      </w:r>
    </w:p>
    <w:p>
      <w:pPr>
        <w:spacing w:after="0" w:line="160" w:lineRule="exact"/>
        <w:rPr>
          <w:sz w:val="20"/>
          <w:szCs w:val="20"/>
          <w:color w:val="auto"/>
        </w:rPr>
      </w:pPr>
    </w:p>
    <w:p>
      <w:pPr>
        <w:jc w:val="both"/>
        <w:ind w:firstLine="16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Status of Credit Ratings </w:t>
      </w:r>
      <w:r>
        <w:rPr>
          <w:rFonts w:ascii="Times New Roman" w:cs="Times New Roman" w:eastAsia="Times New Roman" w:hAnsi="Times New Roman"/>
          <w:sz w:val="18"/>
          <w:szCs w:val="18"/>
          <w:color w:val="auto"/>
        </w:rPr>
        <w:t>We receive ratings from four independent credit rating agencies: DBRS Limited, Fitch Ratings, Moody's Investor Service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&amp; Poor's. In April 2019 DBRS Limited upgraded our corporate rating and revolving credit facilities rating to BBB (high) from BBB and revised their outlook to Stable from Positive. All other credit ratings remained unchanged since December 31, 2018.</w:t>
      </w:r>
    </w:p>
    <w:p>
      <w:pPr>
        <w:spacing w:after="0" w:line="172"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Cruise Liquidity </w:t>
      </w:r>
      <w:r>
        <w:rPr>
          <w:rFonts w:ascii="Times New Roman" w:cs="Times New Roman" w:eastAsia="Times New Roman" w:hAnsi="Times New Roman"/>
          <w:sz w:val="18"/>
          <w:szCs w:val="18"/>
          <w:color w:val="auto"/>
        </w:rPr>
        <w:t>The changes in our GM Cruise available liquidity in the three months ended March 31, 2019 were driven by operating cash flow.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GM Cruise's autonomous vehicles are ready for commercial deployment, SoftBank Vision Fund</w:t>
      </w:r>
    </w:p>
    <w:p>
      <w:pPr>
        <w:sectPr>
          <w:pgSz w:w="11900" w:h="16838" w:orient="portrait"/>
          <w:cols w:equalWidth="0" w:num="1">
            <w:col w:w="11420"/>
          </w:cols>
          <w:pgMar w:left="240" w:top="121"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(AIV M2) L.P. is obligated to purchase additional GM Cruise convertible preferred shares for $1.35 billion, subject to regulatory approval.</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GM Cruise Cash Flow (Dollars in billions)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221" w:lineRule="exact"/>
        <w:rPr>
          <w:sz w:val="20"/>
          <w:szCs w:val="20"/>
          <w:color w:val="auto"/>
        </w:rPr>
      </w:pPr>
    </w:p>
    <w:p>
      <w:pPr>
        <w:jc w:val="both"/>
        <w:ind w:firstLine="16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Liquidity </w:t>
      </w:r>
      <w:r>
        <w:rPr>
          <w:rFonts w:ascii="Times New Roman" w:cs="Times New Roman" w:eastAsia="Times New Roman" w:hAnsi="Times New Roman"/>
          <w:sz w:val="18"/>
          <w:szCs w:val="18"/>
          <w:color w:val="auto"/>
        </w:rPr>
        <w:t>GM Financial's primary sources of cash are finance charge income, leasing income and proceeds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sale of terminated leased vehicles, net distributions from credit facilities, including securitizations, secured and unsecured borrowings and collections and recoveries on finance receivables. GM Financial's primary uses of cash are purchases of retail finance receivables and leased vehicles, the funding of commercial finance receivables, repayment of secured and unsecured debt, funding credit enhancement requirements in connection with securitizations and secured debt facilities, operating expenses, and interest costs.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16"/>
                <w:szCs w:val="16"/>
                <w:color w:val="auto"/>
              </w:rPr>
            </w:pPr>
          </w:p>
        </w:tc>
        <w:tc>
          <w:tcPr>
            <w:tcW w:w="15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 capacity on unpledged eligible assets</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Borrowing capacity on committed unsecured lines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 capacity on revolving credit facility, exclusive to GM Financial</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GM Financial available liquidity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25.2</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2019 available liquidity increased due primarily to an increase in cash and additional capacity on new and renewed secured revolving credit facilities, resulting from the issuance of securitizations and unsecured debt.</w:t>
      </w:r>
    </w:p>
    <w:p>
      <w:pPr>
        <w:spacing w:after="0" w:line="162"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GM Financial did not have any borrowings outstanding against our credit facility designated for their exclusive use or the remainder of our revolving credit facilities at March 31, 2019. Refer to the Automotive Liquidity section of this MD&amp;A for additional details.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GM Financial Cash Flow (Dollars in billions)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8"/>
        </w:trPr>
        <w:tc>
          <w:tcPr>
            <w:tcW w:w="7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7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2019 Net cash provided by operating activities increased due primarily to an increase in finance charge income and leased vehicle income, partially offset by increased interest expense.</w:t>
      </w:r>
    </w:p>
    <w:p>
      <w:pPr>
        <w:spacing w:after="0" w:line="162" w:lineRule="exact"/>
        <w:rPr>
          <w:sz w:val="20"/>
          <w:szCs w:val="20"/>
          <w:color w:val="auto"/>
        </w:rPr>
      </w:pPr>
    </w:p>
    <w:p>
      <w:pPr>
        <w:jc w:val="both"/>
        <w:ind w:right="20" w:firstLine="162"/>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2019 Net cash used in investing activities decreased due primarily to: (1) increased collections on finance receivables of $2.8 billion; (2) increased proceeds from the termination of leased vehicles of $0.7 billion; (3) decreased purchases of leased vehicles of $0.7 billion; partially offset by (4) increased purchases of finance receivables of $2.1 billion.</w:t>
      </w:r>
    </w:p>
    <w:p>
      <w:pPr>
        <w:spacing w:after="0" w:line="17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2019 Net cash provided by financing activities decreased due primarily to an increase in payments, net of borrowings, of $2.0 billion.</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Critical Accounting Estimates </w:t>
      </w:r>
      <w:r>
        <w:rPr>
          <w:rFonts w:ascii="Times New Roman" w:cs="Times New Roman" w:eastAsia="Times New Roman" w:hAnsi="Times New Roman"/>
          <w:sz w:val="18"/>
          <w:szCs w:val="18"/>
          <w:color w:val="auto"/>
        </w:rPr>
        <w:t>The condensed consolidated financial statements are prepared in conformity with U.S. GAAP, which requires the use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2018 Form 10-K.</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Forward-Looking Statements </w:t>
      </w:r>
      <w:r>
        <w:rPr>
          <w:rFonts w:ascii="Times New Roman" w:cs="Times New Roman" w:eastAsia="Times New Roman" w:hAnsi="Times New Roman"/>
          <w:sz w:val="18"/>
          <w:szCs w:val="18"/>
          <w:color w:val="auto"/>
        </w:rPr>
        <w:t>In this report and in reports we subsequently file and have previously filed with the SEC on Forms 10-K and 10-Q and file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 on Form 8-K, and in related comments by our management, we use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 (1) our ability to deliver new products, services and customer experiences in response to increased competition in the automotive industry; (2) our ability to timely fund and introduce new and improved vehicle models that are able to attract a sufficient number of consumers; (3) the success of our crossovers, SUVs and full-size pickup trucks; (4) our ability to successfully and cost-effectively restructure our operations in the U.S. and various other countries and initiate additional cost reduction actions with minimal disruption; (5) our ability to reduce the costs associated with the manufacture and sale of electric vehicles and drive increased consumer adoption; (6) unique technological, operational, regulatory, and competitive risks related to the timing and actual commercialization of autonomous vehicles; (7) global automobile market sales volume, which can be volatile; (8) our significant business in China which is subject to unique operational, competitive and regulatory risks as well as economic conditions in China; (9) our joint ventures, which we cannot operate solely for our benefit and over which we may have limited control;</w:t>
      </w:r>
    </w:p>
    <w:p>
      <w:pPr>
        <w:spacing w:after="0" w:line="2" w:lineRule="exact"/>
        <w:rPr>
          <w:sz w:val="20"/>
          <w:szCs w:val="20"/>
          <w:color w:val="auto"/>
        </w:rPr>
      </w:pPr>
    </w:p>
    <w:p>
      <w:pPr>
        <w:jc w:val="both"/>
        <w:ind w:firstLine="8"/>
        <w:spacing w:after="0" w:line="251" w:lineRule="auto"/>
        <w:tabs>
          <w:tab w:leader="none" w:pos="3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scale and footprint of our operations which exposes us to a variety of political, economic and regulatory risks, including the risk of changes in government leadership and laws (including labor, tax and other laws), political instability and economic tensions between governments and changes in international trade policies, new barriers to entry and changes to or withdrawals from free trade agreements, changes in foreign exchange rates and interest rates, economic downturns in foreign countries, differing local product preferences and product requirements, compliance with U.S. and foreign countries' export controls and economic sanctions, differing labor regulations, requirements and union relationships, differing dealer and franchise regulations and relationships, and difficulties in obtaining financing in foreign countries; (11) any significant disruption at one of our manufacturing facilities could disrupt our production schedule; (12) the ability of our suppliers to deliver parts, systems and components without disruption and at such times to allow us to meet production schedules; (13) prices of raw materials used by us and our suppliers; (14) our highly competitive industry, which is characterized by excess manufacturing capacity and the use of incentives and the introduction of new and improved vehicle models by our competitors; (15) the possibility that competitors may independently develop products and services similar to ours or that our intellectual property rights are not sufficient to prevent competitors from developing or selling those products or services; (16) our ability to manage risks related to security breaches and other disruptions to our vehicles, information technology networks and systems; (17) our ability to comply with increasingly complex, restrictive, and punitive regulations relating to our enterprise data practices, including the collection, use, sharing, and security of the Personal Identifiable Information of our customers, employees, or suppliers; (18) our ability to comply with extensive laws and regulations applicable to our industry, including those regarding fuel economy and emissions and autonomous vehicles; (19) costs and risks associated with litigation and government investigations; (20) the cost and effect on our reputation of product safety recalls and alleged defects in products and services; (21) any additional tax expense or exposure; (22) our continued ability to develop captive financing capability through GM Financial; and (23) significant increases in our pension expense or projected pension contributions resulting from changes in the value of plan assets or the discount rate applied to value the pension liabilities or mortality or other assumption changes. A further list and description of these risks, uncertainties and other factors can be found in our 2018 Form 10-K and our subsequent filings with the SEC.</w:t>
      </w:r>
    </w:p>
    <w:p>
      <w:pPr>
        <w:spacing w:after="0" w:line="190"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7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Price Risk </w:t>
      </w:r>
      <w:r>
        <w:rPr>
          <w:rFonts w:ascii="Times New Roman" w:cs="Times New Roman" w:eastAsia="Times New Roman" w:hAnsi="Times New Roman"/>
          <w:sz w:val="18"/>
          <w:szCs w:val="18"/>
          <w:color w:val="auto"/>
        </w:rPr>
        <w:t>We are subject to equity price risk due to market price volatility related to our investment in Lyft and PSA warrants.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with exposure to equity price risk was $2.1 billion at March 31, 2019. In March 2019 Lyft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filed for an initial public offering, which significantly increased the volatility in the fair value of our investment in Lyft. Our investment in Lyft is valued based on the quoted market price, less a discount for transfer restrictions calculated using a put option pricing model, and our investment in PSA warrants is valued based on a Black-Scholes formula. We estimate that a 10% adverse change in quoted security prices in Lyft and PSA Group would impact our investment in Lyft by $0.1 billion and our PSA warrants by $0.1 billion. At April 18, 2019, the closing market price for Lyft common shares (NASDAQ: LYFT) was $58.36, representing a 25.5% decline from the closing market price at March 29, 2019.</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than as described above, market risks have not changed significantly from those described in Item 7A of our 2018 Form 10-K.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3" w:lineRule="exact"/>
        <w:rPr>
          <w:sz w:val="20"/>
          <w:szCs w:val="20"/>
          <w:color w:val="auto"/>
        </w:rPr>
      </w:pPr>
    </w:p>
    <w:p>
      <w:pPr>
        <w:jc w:val="both"/>
        <w:ind w:firstLine="16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w:t>
      </w:r>
      <w:r>
        <w:rPr>
          <w:rFonts w:ascii="Times New Roman" w:cs="Times New Roman" w:eastAsia="Times New Roman" w:hAnsi="Times New Roman"/>
          <w:sz w:val="18"/>
          <w:szCs w:val="18"/>
          <w:color w:val="auto"/>
        </w:rPr>
        <w:t>We maintain disclosure controls and procedures designed to provide reasonable assurance that information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181"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(as defined in Rules 13a-15(e) or 15d-15(e) promulgated under the Exchange Act) at March 31, 2019. Based on this evaluation required by paragraph (b) of Rules 13a-15 or 15d-15, our CEO and CFO concluded that our disclosure controls and procedures were effective as of March 31, 2019.</w:t>
      </w:r>
    </w:p>
    <w:p>
      <w:pPr>
        <w:spacing w:after="0" w:line="172"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our internal control over financial reporting during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March 31, 2019 that have materially affected, or are reasonably likely to materially affect, our internal control over financial reporting.</w:t>
      </w:r>
    </w:p>
    <w:p>
      <w:pPr>
        <w:spacing w:after="0" w:line="15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2019 we are enhancing our close, consolidation, planning and reporting processes through the implementation of a suite of new systems and system architectures. This new suite of systems will allow for increased agility, efficiency, and integration of data across the organization. We are using a phased implementation approach in which the first phase, implemented as of January 1, 2019, impacts our forecast and planning processes, inclusive of our year-over-year operating result changes discussed in the MD&amp;A. The second phase, planned for implementation later in 2019, will impact our close, consolidation, financial reporting processes and related internal controls. For additional information refer to the "Risk Factors" section of our 2018 Form 10-K.</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Refer to the discussion in the "Litigation-Related Liability and Tax Administrative Matters" section in Note 13 to our condensed consolidated financial statements and the 2018 Form 10-K for information relating to legal proceedings.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2018 Form 10-K.</w:t>
      </w:r>
    </w:p>
    <w:p>
      <w:pPr>
        <w:spacing w:after="0" w:line="17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Purchases of Equity Securities </w:t>
      </w:r>
      <w:r>
        <w:rPr>
          <w:rFonts w:ascii="Times New Roman" w:cs="Times New Roman" w:eastAsia="Times New Roman" w:hAnsi="Times New Roman"/>
          <w:sz w:val="18"/>
          <w:szCs w:val="18"/>
          <w:color w:val="auto"/>
        </w:rPr>
        <w:t>The following table summarizes our purchases of common stock in the three months ended March 31, 2019: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95"/>
        </w:trPr>
        <w:tc>
          <w:tcPr>
            <w:tcW w:w="52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Purchased(a)</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Programs(b)</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Programs</w:t>
            </w:r>
          </w:p>
        </w:tc>
        <w:tc>
          <w:tcPr>
            <w:tcW w:w="0" w:type="dxa"/>
            <w:vAlign w:val="bottom"/>
          </w:tcPr>
          <w:p>
            <w:pPr>
              <w:spacing w:after="0"/>
              <w:rPr>
                <w:sz w:val="1"/>
                <w:szCs w:val="1"/>
                <w:color w:val="auto"/>
              </w:rPr>
            </w:pP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2019 through January 31, 2019</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92,818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 billion</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1, 2019 through February 28, 2019</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3,165,388</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tcPr>
          <w:p>
            <w:pPr>
              <w:spacing w:after="0"/>
              <w:rPr>
                <w:sz w:val="21"/>
                <w:szCs w:val="21"/>
                <w:color w:val="auto"/>
              </w:rPr>
            </w:pPr>
          </w:p>
        </w:tc>
        <w:tc>
          <w:tcPr>
            <w:tcW w:w="15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 billion</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 2019 through March 31, 2019</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597,176</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38.93</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 billion</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3,855,382</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26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consist of shares retained by us for the payment of the exercise price upon the exercise of warrants and shares delivered by employees or directors to us for the payment of taxes resulting from the issuance of common stock upon the vesting of RSUs, Performance Stock Units and Restricted Stock Awards relating to compensation plans. Refer to our 2018 Form 10-K for additional details on warrants outstanding and employee stock incentive plans.</w:t>
      </w:r>
    </w:p>
    <w:p>
      <w:pPr>
        <w:spacing w:after="0" w:line="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2017 we announced that our Board of Directors had authorized the purchase of up to $5.0 billion of our common stock with no expiration date.</w:t>
      </w:r>
    </w:p>
    <w:p>
      <w:pPr>
        <w:spacing w:after="0" w:line="171" w:lineRule="exact"/>
        <w:rPr>
          <w:rFonts w:ascii="Times New Roman" w:cs="Times New Roman" w:eastAsia="Times New Roman" w:hAnsi="Times New Roman"/>
          <w:sz w:val="16"/>
          <w:szCs w:val="16"/>
          <w:color w:val="auto"/>
        </w:rPr>
      </w:pPr>
    </w:p>
    <w:p>
      <w:pPr>
        <w:ind w:left="51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6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Exhibit Name</w:t>
            </w:r>
          </w:p>
        </w:tc>
        <w:tc>
          <w:tcPr>
            <w:tcW w:w="166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03"/>
        </w:trPr>
        <w:tc>
          <w:tcPr>
            <w:tcW w:w="1420" w:type="dxa"/>
            <w:vAlign w:val="bottom"/>
            <w:tcBorders>
              <w:bottom w:val="single" w:sz="8" w:color="CCEEFF"/>
            </w:tcBorders>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7800" w:type="dxa"/>
            <w:vAlign w:val="bottom"/>
            <w:tcBorders>
              <w:bottom w:val="single" w:sz="8" w:color="0000FF"/>
            </w:tcBorders>
            <w:gridSpan w:val="7"/>
            <w:shd w:val="clear" w:color="auto" w:fill="CCEEFF"/>
          </w:tcPr>
          <w:p>
            <w:pPr>
              <w:spacing w:after="0" w:line="202" w:lineRule="exact"/>
              <w:rPr>
                <w:rFonts w:ascii="Times New Roman" w:cs="Times New Roman" w:eastAsia="Times New Roman" w:hAnsi="Times New Roman"/>
                <w:sz w:val="18"/>
                <w:szCs w:val="18"/>
                <w:color w:val="0000FF"/>
                <w:w w:val="99"/>
              </w:rPr>
            </w:pPr>
            <w:hyperlink r:id="rId13">
              <w:r>
                <w:rPr>
                  <w:rFonts w:ascii="Times New Roman" w:cs="Times New Roman" w:eastAsia="Times New Roman" w:hAnsi="Times New Roman"/>
                  <w:sz w:val="18"/>
                  <w:szCs w:val="18"/>
                  <w:color w:val="0000FF"/>
                  <w:w w:val="99"/>
                </w:rPr>
                <w:t>3-Year Revolving Credit Agreement among General Motors Company, the several lenders from time to time</w:t>
              </w:r>
            </w:hyperlink>
          </w:p>
        </w:tc>
        <w:tc>
          <w:tcPr>
            <w:tcW w:w="540" w:type="dxa"/>
            <w:vAlign w:val="bottom"/>
            <w:tcBorders>
              <w:bottom w:val="single" w:sz="8" w:color="CCEEFF"/>
            </w:tcBorders>
            <w:gridSpan w:val="4"/>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Incorporated by</w:t>
            </w:r>
          </w:p>
        </w:tc>
      </w:tr>
      <w:tr>
        <w:trPr>
          <w:trHeight w:val="196"/>
        </w:trPr>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34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parties hereto, JPMorgan Chase Bank, N.A., as administrative agent, and Citibank, N.A., as syndication agent,</w:t>
              </w:r>
            </w:hyperlink>
          </w:p>
        </w:tc>
        <w:tc>
          <w:tcPr>
            <w:tcW w:w="1660" w:type="dxa"/>
            <w:vAlign w:val="bottom"/>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Reference</w:t>
            </w:r>
          </w:p>
        </w:tc>
      </w:tr>
      <w:tr>
        <w:trPr>
          <w:trHeight w:val="20"/>
        </w:trPr>
        <w:tc>
          <w:tcPr>
            <w:tcW w:w="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34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incorporated by reference to Exhibit 10.1 to the Current Report on Form 8-K of General Motors Company filed on</w:t>
              </w:r>
            </w:hyperlink>
          </w:p>
        </w:tc>
        <w:tc>
          <w:tcPr>
            <w:tcW w:w="1660" w:type="dxa"/>
            <w:vAlign w:val="bottom"/>
            <w:shd w:val="clear" w:color="auto" w:fill="CCEEFF"/>
          </w:tcPr>
          <w:p>
            <w:pPr>
              <w:spacing w:after="0"/>
              <w:rPr>
                <w:sz w:val="17"/>
                <w:szCs w:val="17"/>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240" w:type="dxa"/>
            <w:vAlign w:val="bottom"/>
            <w:tcBorders>
              <w:top w:val="single" w:sz="8" w:color="0000FF"/>
            </w:tcBorders>
            <w:gridSpan w:val="9"/>
            <w:shd w:val="clear" w:color="auto" w:fill="CCEEFF"/>
          </w:tcPr>
          <w:p>
            <w:pPr>
              <w:spacing w:after="0" w:line="19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January 14, 2019</w:t>
              </w:r>
            </w:hyperlink>
          </w:p>
        </w:tc>
        <w:tc>
          <w:tcPr>
            <w:tcW w:w="100" w:type="dxa"/>
            <w:vAlign w:val="bottom"/>
            <w:tcBorders>
              <w:top w:val="single" w:sz="8" w:color="CCEEFF"/>
            </w:tcBorders>
            <w:gridSpan w:val="2"/>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24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380" w:type="dxa"/>
            <w:vAlign w:val="bottom"/>
          </w:tcPr>
          <w:p>
            <w:pPr>
              <w:spacing w:after="0"/>
              <w:rPr>
                <w:sz w:val="17"/>
                <w:szCs w:val="17"/>
                <w:color w:val="auto"/>
              </w:rPr>
            </w:pPr>
          </w:p>
        </w:tc>
        <w:tc>
          <w:tcPr>
            <w:tcW w:w="8340" w:type="dxa"/>
            <w:vAlign w:val="bottom"/>
            <w:gridSpan w:val="11"/>
          </w:tcPr>
          <w:p>
            <w:pPr>
              <w:spacing w:after="0" w:line="202" w:lineRule="exact"/>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Section 302 Certification of the Chief Executive Officer</w:t>
              </w:r>
            </w:hyperlink>
          </w:p>
        </w:tc>
        <w:tc>
          <w:tcPr>
            <w:tcW w:w="166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Filed Herewith</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03"/>
        </w:trPr>
        <w:tc>
          <w:tcPr>
            <w:tcW w:w="104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380" w:type="dxa"/>
            <w:vAlign w:val="bottom"/>
            <w:shd w:val="clear" w:color="auto" w:fill="CCEEFF"/>
          </w:tcPr>
          <w:p>
            <w:pPr>
              <w:spacing w:after="0"/>
              <w:rPr>
                <w:sz w:val="17"/>
                <w:szCs w:val="17"/>
                <w:color w:val="auto"/>
              </w:rPr>
            </w:pPr>
          </w:p>
        </w:tc>
        <w:tc>
          <w:tcPr>
            <w:tcW w:w="8340" w:type="dxa"/>
            <w:vAlign w:val="bottom"/>
            <w:gridSpan w:val="11"/>
            <w:shd w:val="clear" w:color="auto" w:fill="CCEEFF"/>
          </w:tcPr>
          <w:p>
            <w:pPr>
              <w:spacing w:after="0" w:line="202" w:lineRule="exact"/>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Section 302 Certification of the Chief Financial Officer</w:t>
              </w:r>
            </w:hyperlink>
          </w:p>
        </w:tc>
        <w:tc>
          <w:tcPr>
            <w:tcW w:w="166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Filed Herewith</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248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r>
      <w:tr>
        <w:trPr>
          <w:trHeight w:val="203"/>
        </w:trPr>
        <w:tc>
          <w:tcPr>
            <w:tcW w:w="10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17"/>
                <w:szCs w:val="17"/>
                <w:color w:val="auto"/>
              </w:rPr>
            </w:pPr>
          </w:p>
        </w:tc>
        <w:tc>
          <w:tcPr>
            <w:tcW w:w="8340" w:type="dxa"/>
            <w:vAlign w:val="bottom"/>
            <w:gridSpan w:val="11"/>
          </w:tcPr>
          <w:p>
            <w:pPr>
              <w:spacing w:after="0" w:line="202" w:lineRule="exact"/>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Certification Pursuant to 18 U.S.C. Section 1350, As Adopted Pursuant to Section 906 of the Sarbanes-Oxley Act</w:t>
              </w:r>
            </w:hyperlink>
          </w:p>
        </w:tc>
        <w:tc>
          <w:tcPr>
            <w:tcW w:w="166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Furnished with this</w:t>
            </w:r>
          </w:p>
        </w:tc>
      </w:tr>
      <w:tr>
        <w:trPr>
          <w:trHeight w:val="196"/>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6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of 2002</w:t>
              </w:r>
            </w:hyperlink>
          </w:p>
        </w:tc>
        <w:tc>
          <w:tcPr>
            <w:tcW w:w="80" w:type="dxa"/>
            <w:vAlign w:val="bottom"/>
          </w:tcPr>
          <w:p>
            <w:pPr>
              <w:spacing w:after="0"/>
              <w:rPr>
                <w:sz w:val="17"/>
                <w:szCs w:val="17"/>
                <w:color w:val="auto"/>
              </w:rPr>
            </w:pPr>
          </w:p>
        </w:tc>
        <w:tc>
          <w:tcPr>
            <w:tcW w:w="16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Report</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834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43"/>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83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834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43"/>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83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834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43"/>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83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4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w:t>
            </w: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r>
    </w:tbl>
    <w:p>
      <w:pPr>
        <w:ind w:left="340" w:right="580" w:hanging="332"/>
        <w:spacing w:after="0" w:line="263" w:lineRule="auto"/>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have been omitted under a request for confidential treatment pursuant to Rule 24b-2 of the Securities Exchange Act of 1934 and submitted separately to the United States Securities and Exchange Commission.</w:t>
      </w:r>
    </w:p>
    <w:p>
      <w:pPr>
        <w:spacing w:after="0" w:line="334" w:lineRule="exact"/>
        <w:rPr>
          <w:rFonts w:ascii="Times New Roman" w:cs="Times New Roman" w:eastAsia="Times New Roman" w:hAnsi="Times New Roman"/>
          <w:sz w:val="16"/>
          <w:szCs w:val="16"/>
          <w:color w:val="auto"/>
        </w:rPr>
      </w:pPr>
    </w:p>
    <w:p>
      <w:pPr>
        <w:ind w:left="51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24"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GENERAL MOTORS COMPANY (Registrant)</w:t>
      </w:r>
    </w:p>
    <w:p>
      <w:pPr>
        <w:spacing w:after="0" w:line="200" w:lineRule="exact"/>
        <w:rPr>
          <w:sz w:val="20"/>
          <w:szCs w:val="20"/>
          <w:color w:val="auto"/>
        </w:rPr>
      </w:pPr>
    </w:p>
    <w:p>
      <w:pPr>
        <w:spacing w:after="0" w:line="295" w:lineRule="exact"/>
        <w:rPr>
          <w:sz w:val="20"/>
          <w:szCs w:val="20"/>
          <w:color w:val="auto"/>
        </w:rPr>
      </w:pPr>
    </w:p>
    <w:p>
      <w:pPr>
        <w:ind w:left="5980"/>
        <w:spacing w:after="0"/>
        <w:tabs>
          <w:tab w:leader="none" w:pos="6420" w:val="left"/>
        </w:tabs>
        <w:rPr>
          <w:sz w:val="20"/>
          <w:szCs w:val="20"/>
          <w:color w:val="auto"/>
        </w:rPr>
      </w:pPr>
      <w:r>
        <w:rPr>
          <w:rFonts w:ascii="Times New Roman" w:cs="Times New Roman" w:eastAsia="Times New Roman" w:hAnsi="Times New Roman"/>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044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Christopher T. Hatto, Vice President, Controller and Chief</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45"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30, 2019</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121" w:right="27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25"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197"/>
        <w:spacing w:after="0" w:line="282" w:lineRule="auto"/>
        <w:tabs>
          <w:tab w:leader="none" w:pos="39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197"/>
        <w:spacing w:after="0" w:line="266" w:lineRule="auto"/>
        <w:tabs>
          <w:tab w:leader="none" w:pos="3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5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8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60" w:firstLine="188"/>
        <w:spacing w:after="0" w:line="282" w:lineRule="auto"/>
        <w:tabs>
          <w:tab w:leader="none" w:pos="73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60" w:right="20" w:firstLine="188"/>
        <w:spacing w:after="0" w:line="282" w:lineRule="auto"/>
        <w:tabs>
          <w:tab w:leader="none" w:pos="75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60" w:firstLine="188"/>
        <w:spacing w:after="0" w:line="282" w:lineRule="auto"/>
        <w:tabs>
          <w:tab w:leader="none" w:pos="75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112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Mary T. Barra</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4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April 30, 2019</w:t>
      </w:r>
    </w:p>
    <w:p>
      <w:pPr>
        <w:sectPr>
          <w:pgSz w:w="11900" w:h="16838" w:orient="portrait"/>
          <w:cols w:equalWidth="0" w:num="1">
            <w:col w:w="11420"/>
          </w:cols>
          <w:pgMar w:left="240" w:top="576"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Dhivya Suryadevara, certify that:</w:t>
      </w:r>
    </w:p>
    <w:p>
      <w:pPr>
        <w:spacing w:after="0" w:line="225" w:lineRule="exact"/>
        <w:rPr>
          <w:sz w:val="20"/>
          <w:szCs w:val="20"/>
          <w:color w:val="auto"/>
        </w:rPr>
      </w:pPr>
    </w:p>
    <w:p>
      <w:pPr>
        <w:ind w:left="380" w:hanging="183"/>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25"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197"/>
        <w:spacing w:after="0" w:line="282" w:lineRule="auto"/>
        <w:tabs>
          <w:tab w:leader="none" w:pos="39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197"/>
        <w:spacing w:after="0" w:line="266" w:lineRule="auto"/>
        <w:tabs>
          <w:tab w:leader="none" w:pos="3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5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8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60" w:firstLine="188"/>
        <w:spacing w:after="0" w:line="282" w:lineRule="auto"/>
        <w:tabs>
          <w:tab w:leader="none" w:pos="73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4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60" w:right="20" w:firstLine="188"/>
        <w:spacing w:after="0" w:line="282" w:lineRule="auto"/>
        <w:tabs>
          <w:tab w:leader="none" w:pos="75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60" w:firstLine="188"/>
        <w:spacing w:after="0" w:line="282" w:lineRule="auto"/>
        <w:tabs>
          <w:tab w:leader="none" w:pos="75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112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Dhivya Suryadevara</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4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April 30, 2019</w:t>
      </w:r>
    </w:p>
    <w:p>
      <w:pPr>
        <w:sectPr>
          <w:pgSz w:w="11900" w:h="16838" w:orient="portrait"/>
          <w:cols w:equalWidth="0" w:num="1">
            <w:col w:w="11420"/>
          </w:cols>
          <w:pgMar w:left="240" w:top="576"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18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General Motors Company (the “Company”) on Form 10-Q for the period ended March 31, 2019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76" w:lineRule="exact"/>
        <w:rPr>
          <w:sz w:val="20"/>
          <w:szCs w:val="20"/>
          <w:color w:val="auto"/>
        </w:rPr>
      </w:pPr>
    </w:p>
    <w:p>
      <w:pPr>
        <w:ind w:left="720" w:hanging="172"/>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20" w:hanging="172"/>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Mary T. Barra</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34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Dhivya Suryadevara</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45"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April 30,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0"/>
    </w:lvl>
  </w:abstractNum>
  <w:abstractNum w:abstractNumId="20">
    <w:nsid w:val="2D1D5AE9"/>
    <w:multiLevelType w:val="hybridMultilevel"/>
    <w:lvl w:ilvl="0">
      <w:lvlJc w:val="left"/>
      <w:lvlText w:val="(%1)"/>
      <w:numFmt w:val="lowerLetter"/>
      <w:start w:val="1"/>
    </w:lvl>
    <w:lvl w:ilvl="1">
      <w:lvlJc w:val="left"/>
      <w:lvlText w:val="*"/>
      <w:numFmt w:val="bullet"/>
      <w:start w:val="1"/>
    </w:lvl>
  </w:abstractNum>
  <w:abstractNum w:abstractNumId="21">
    <w:nsid w:val="6763845E"/>
    <w:multiLevelType w:val="hybridMultilevel"/>
    <w:lvl w:ilvl="0">
      <w:lvlJc w:val="left"/>
      <w:lvlText w:val="†"/>
      <w:numFmt w:val="bullet"/>
      <w:start w:val="1"/>
    </w:lvl>
    <w:lvl w:ilvl="1">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3" Type="http://schemas.openxmlformats.org/officeDocument/2006/relationships/hyperlink" Target="http://www.sec.gov/Archives/edgar/data/1467858/000119312519008995/d50303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2019-12-28T13:34:37Z</dcterms:created>
  <dcterms:modified xsi:type="dcterms:W3CDTF">2019-12-28T13:34:37Z</dcterms:modified>
</cp:coreProperties>
</file>