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63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98"/>
        <w:spacing w:after="0"/>
        <w:rPr>
          <w:sz w:val="20"/>
          <w:szCs w:val="20"/>
          <w:color w:val="auto"/>
        </w:rPr>
      </w:pPr>
      <w:r>
        <w:rPr>
          <w:rFonts w:ascii="Arial" w:cs="Arial" w:eastAsia="Arial" w:hAnsi="Arial"/>
          <w:sz w:val="17"/>
          <w:szCs w:val="17"/>
          <w:color w:val="0000FF"/>
        </w:rPr>
        <w:t>Senior 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635"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1,383</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70,334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485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69,849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2,118</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71,967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742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71,225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(5)</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2"/>
              </w:rPr>
              <w:t>25,359</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96,584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jc w:val="center"/>
              <w:ind w:right="41"/>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39"/>
              <w:spacing w:after="0"/>
              <w:rPr>
                <w:sz w:val="20"/>
                <w:szCs w:val="20"/>
                <w:color w:val="auto"/>
              </w:rPr>
            </w:pPr>
            <w:r>
              <w:rPr>
                <w:rFonts w:ascii="Arial" w:cs="Arial" w:eastAsia="Arial" w:hAnsi="Arial"/>
                <w:sz w:val="13"/>
                <w:szCs w:val="13"/>
                <w:color w:val="0000FF"/>
              </w:rPr>
              <w:t>1,383</w:t>
            </w:r>
            <w:r>
              <w:rPr>
                <w:rFonts w:ascii="Arial" w:cs="Arial" w:eastAsia="Arial" w:hAnsi="Arial"/>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5"/>
              </w:rPr>
              <w:t>1,383</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12/31/2011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99"/>
              <w:spacing w:after="0"/>
              <w:rPr>
                <w:sz w:val="20"/>
                <w:szCs w:val="20"/>
                <w:color w:val="auto"/>
              </w:rPr>
            </w:pPr>
            <w:r>
              <w:rPr>
                <w:rFonts w:ascii="Arial" w:cs="Arial" w:eastAsia="Arial" w:hAnsi="Arial"/>
                <w:sz w:val="11"/>
                <w:szCs w:val="11"/>
                <w:color w:val="008000"/>
              </w:rPr>
              <w:t>(3)</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1,383</w:t>
            </w:r>
          </w:p>
        </w:tc>
        <w:tc>
          <w:tcPr>
            <w:tcW w:w="30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73"/>
              <w:spacing w:after="0"/>
              <w:rPr>
                <w:sz w:val="20"/>
                <w:szCs w:val="20"/>
                <w:color w:val="auto"/>
              </w:rPr>
            </w:pPr>
            <w:r>
              <w:rPr>
                <w:rFonts w:ascii="Arial" w:cs="Arial" w:eastAsia="Arial" w:hAnsi="Arial"/>
                <w:sz w:val="17"/>
                <w:szCs w:val="17"/>
                <w:color w:val="0000FF"/>
              </w:rPr>
              <w:t>2,118</w:t>
            </w:r>
          </w:p>
        </w:tc>
        <w:tc>
          <w:tcPr>
            <w:tcW w:w="60" w:type="dxa"/>
            <w:vAlign w:val="bottom"/>
          </w:tcPr>
          <w:p>
            <w:pPr>
              <w:spacing w:after="0"/>
              <w:rPr>
                <w:sz w:val="16"/>
                <w:szCs w:val="16"/>
                <w:color w:val="auto"/>
              </w:rPr>
            </w:pPr>
          </w:p>
        </w:tc>
        <w:tc>
          <w:tcPr>
            <w:tcW w:w="720" w:type="dxa"/>
            <w:vAlign w:val="bottom"/>
            <w:gridSpan w:val="2"/>
            <w:vMerge w:val="restart"/>
          </w:tcPr>
          <w:p>
            <w:pPr>
              <w:jc w:val="center"/>
              <w:ind w:right="199"/>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jc w:val="right"/>
              <w:ind w:right="121"/>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1020" w:type="dxa"/>
            <w:vAlign w:val="bottom"/>
            <w:vMerge w:val="restart"/>
          </w:tcPr>
          <w:p>
            <w:pPr>
              <w:jc w:val="right"/>
              <w:ind w:right="153"/>
              <w:spacing w:after="0" w:line="142" w:lineRule="exact"/>
              <w:rPr>
                <w:sz w:val="20"/>
                <w:szCs w:val="20"/>
                <w:color w:val="auto"/>
              </w:rPr>
            </w:pPr>
            <w:r>
              <w:rPr>
                <w:rFonts w:ascii="Arial" w:cs="Arial" w:eastAsia="Arial" w:hAnsi="Arial"/>
                <w:sz w:val="13"/>
                <w:szCs w:val="13"/>
                <w:color w:val="0000FF"/>
              </w:rPr>
              <w:t>12/31/2011</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6"/>
                <w:szCs w:val="6"/>
                <w:color w:val="auto"/>
              </w:rPr>
            </w:pPr>
          </w:p>
        </w:tc>
        <w:tc>
          <w:tcPr>
            <w:tcW w:w="940" w:type="dxa"/>
            <w:vAlign w:val="bottom"/>
            <w:vMerge w:val="restart"/>
          </w:tcPr>
          <w:p>
            <w:pPr>
              <w:jc w:val="right"/>
              <w:ind w:right="139"/>
              <w:spacing w:after="0" w:line="142" w:lineRule="exact"/>
              <w:rPr>
                <w:sz w:val="20"/>
                <w:szCs w:val="20"/>
                <w:color w:val="auto"/>
              </w:rPr>
            </w:pPr>
            <w:r>
              <w:rPr>
                <w:rFonts w:ascii="Arial" w:cs="Arial" w:eastAsia="Arial" w:hAnsi="Arial"/>
                <w:sz w:val="13"/>
                <w:szCs w:val="13"/>
                <w:color w:val="0000FF"/>
              </w:rPr>
              <w:t>2,118</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w w:val="98"/>
              </w:rPr>
              <w:t>4,234</w:t>
            </w:r>
          </w:p>
        </w:tc>
        <w:tc>
          <w:tcPr>
            <w:tcW w:w="30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December 31, 2009 pursuant to the Company's Salary Stock Plan (the "GMSSP") and vested upon grant. The portion of this award currently payable was settled on December 31, 2011 in shares of the Company's Common Stock, less a portion withheld for taxes.</w:t>
      </w:r>
    </w:p>
    <w:p>
      <w:pPr>
        <w:ind w:left="40" w:right="16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1,384 SSUs, of which 461 SSUs were scheduled to be payable on December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4,152 SSUs granted on December 31, 2009, of which 1,383 SSUs became payable on December 31,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$20.21.</w:t>
      </w:r>
    </w:p>
    <w:p>
      <w:pPr>
        <w:spacing w:after="0" w:line="25" w:lineRule="exact"/>
        <w:rPr>
          <w:rFonts w:ascii="Arial" w:cs="Arial" w:eastAsia="Arial" w:hAnsi="Arial"/>
          <w:sz w:val="13"/>
          <w:szCs w:val="13"/>
          <w:color w:val="008000"/>
        </w:rPr>
      </w:pPr>
    </w:p>
    <w:p>
      <w:pPr>
        <w:ind w:left="40" w:right="2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December 31, 2010 pursuant to the GMSSP and vested upon grant. The portion of this award currently payable was settled on December 31, 2011 in shares of Common Stock, less a portion withheld for taxes.</w:t>
      </w:r>
    </w:p>
    <w:p>
      <w:pPr>
        <w:spacing w:after="0" w:line="15" w:lineRule="exact"/>
        <w:rPr>
          <w:rFonts w:ascii="Arial" w:cs="Arial" w:eastAsia="Arial" w:hAnsi="Arial"/>
          <w:sz w:val="13"/>
          <w:szCs w:val="13"/>
          <w:color w:val="008000"/>
        </w:rPr>
      </w:pPr>
    </w:p>
    <w:p>
      <w:pPr>
        <w:ind w:left="40" w:right="2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01/04/2012</w:t>
            </w:r>
          </w:p>
        </w:tc>
        <w:tc>
          <w:tcPr>
            <w:tcW w:w="0" w:type="dxa"/>
            <w:vAlign w:val="bottom"/>
          </w:tcPr>
          <w:p>
            <w:pPr>
              <w:spacing w:after="0"/>
              <w:rPr>
                <w:sz w:val="1"/>
                <w:szCs w:val="1"/>
                <w:color w:val="auto"/>
              </w:rPr>
            </w:pPr>
          </w:p>
        </w:tc>
      </w:tr>
      <w:tr>
        <w:trPr>
          <w:trHeight w:val="91"/>
        </w:trPr>
        <w:tc>
          <w:tcPr>
            <w:tcW w:w="1240" w:type="dxa"/>
            <w:vAlign w:val="bottom"/>
            <w:vMerge w:val="restart"/>
          </w:tcPr>
          <w:p>
            <w:pPr>
              <w:spacing w:after="0" w:line="193" w:lineRule="exact"/>
              <w:rPr>
                <w:sz w:val="20"/>
                <w:szCs w:val="20"/>
                <w:color w:val="auto"/>
              </w:rPr>
            </w:pPr>
            <w:r>
              <w:rPr>
                <w:rFonts w:ascii="Arial" w:cs="Arial" w:eastAsia="Arial" w:hAnsi="Arial"/>
                <w:sz w:val="17"/>
                <w:szCs w:val="17"/>
                <w:color w:val="0000FF"/>
                <w:w w:val="93"/>
              </w:rPr>
              <w:t>fact for Ms. Barra</w:t>
            </w:r>
          </w:p>
        </w:tc>
        <w:tc>
          <w:tcPr>
            <w:tcW w:w="10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40" w:type="dxa"/>
            <w:vAlign w:val="bottom"/>
            <w:tcBorders>
              <w:bottom w:val="single" w:sz="8" w:color="auto"/>
            </w:tcBorders>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2019-12-17T00:51:01Z</dcterms:created>
  <dcterms:modified xsi:type="dcterms:W3CDTF">2019-12-17T00:51:01Z</dcterms:modified>
</cp:coreProperties>
</file>