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916305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144" w:lineRule="exact"/>
        <w:rPr>
          <w:sz w:val="24"/>
          <w:szCs w:val="24"/>
          <w:color w:val="auto"/>
        </w:rPr>
      </w:pPr>
    </w:p>
    <w:p>
      <w:pPr>
        <w:ind w:left="680" w:right="2200" w:hanging="655"/>
        <w:spacing w:after="0" w:line="236" w:lineRule="auto"/>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144" w:lineRule="exact"/>
        <w:rPr>
          <w:sz w:val="24"/>
          <w:szCs w:val="24"/>
          <w:color w:val="auto"/>
        </w:rPr>
      </w:pPr>
    </w:p>
    <w:p>
      <w:pPr>
        <w:ind w:left="680" w:right="2180" w:hanging="655"/>
        <w:spacing w:after="0" w:line="236"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7" w:lineRule="exact"/>
        <w:rPr>
          <w:sz w:val="24"/>
          <w:szCs w:val="24"/>
          <w:color w:val="auto"/>
        </w:rPr>
      </w:pPr>
    </w:p>
    <w:p>
      <w:pPr>
        <w:ind w:left="460"/>
        <w:spacing w:after="0"/>
        <w:tabs>
          <w:tab w:leader="none" w:pos="3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119380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502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1940" w:type="dxa"/>
            <w:vAlign w:val="bottom"/>
          </w:tcPr>
          <w:p>
            <w:pPr>
              <w:jc w:val="right"/>
              <w:ind w:right="130"/>
              <w:spacing w:after="0"/>
              <w:rPr>
                <w:sz w:val="20"/>
                <w:szCs w:val="20"/>
                <w:color w:val="auto"/>
              </w:rPr>
            </w:pPr>
            <w:r>
              <w:rPr>
                <w:rFonts w:ascii="Arial" w:cs="Arial" w:eastAsia="Arial" w:hAnsi="Arial"/>
                <w:sz w:val="18"/>
                <w:szCs w:val="18"/>
                <w:b w:val="1"/>
                <w:bCs w:val="1"/>
                <w:color w:val="auto"/>
              </w:rPr>
              <w:t>27-0756180</w:t>
            </w:r>
          </w:p>
        </w:tc>
      </w:tr>
      <w:tr>
        <w:trPr>
          <w:trHeight w:val="215"/>
        </w:trPr>
        <w:tc>
          <w:tcPr>
            <w:tcW w:w="5020" w:type="dxa"/>
            <w:vAlign w:val="bottom"/>
          </w:tcPr>
          <w:p>
            <w:pPr>
              <w:jc w:val="center"/>
              <w:ind w:right="1630"/>
              <w:spacing w:after="0"/>
              <w:rPr>
                <w:sz w:val="20"/>
                <w:szCs w:val="20"/>
                <w:color w:val="auto"/>
              </w:rPr>
            </w:pPr>
            <w:r>
              <w:rPr>
                <w:rFonts w:ascii="Arial" w:cs="Arial" w:eastAsia="Arial" w:hAnsi="Arial"/>
                <w:sz w:val="18"/>
                <w:szCs w:val="18"/>
                <w:i w:val="1"/>
                <w:iCs w:val="1"/>
                <w:color w:val="auto"/>
                <w:w w:val="93"/>
              </w:rPr>
              <w:t>(State or other jurisdiction of</w:t>
            </w:r>
          </w:p>
        </w:tc>
        <w:tc>
          <w:tcPr>
            <w:tcW w:w="1940" w:type="dxa"/>
            <w:vAlign w:val="bottom"/>
          </w:tcPr>
          <w:p>
            <w:pPr>
              <w:jc w:val="center"/>
              <w:ind w:left="5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5020" w:type="dxa"/>
            <w:vAlign w:val="bottom"/>
          </w:tcPr>
          <w:p>
            <w:pPr>
              <w:jc w:val="center"/>
              <w:ind w:right="1610"/>
              <w:spacing w:after="0"/>
              <w:rPr>
                <w:sz w:val="20"/>
                <w:szCs w:val="20"/>
                <w:color w:val="auto"/>
              </w:rPr>
            </w:pPr>
            <w:r>
              <w:rPr>
                <w:rFonts w:ascii="Arial" w:cs="Arial" w:eastAsia="Arial" w:hAnsi="Arial"/>
                <w:sz w:val="18"/>
                <w:szCs w:val="18"/>
                <w:i w:val="1"/>
                <w:iCs w:val="1"/>
                <w:color w:val="auto"/>
                <w:w w:val="93"/>
              </w:rPr>
              <w:t>incorporation or organization)</w:t>
            </w:r>
          </w:p>
        </w:tc>
        <w:tc>
          <w:tcPr>
            <w:tcW w:w="1940" w:type="dxa"/>
            <w:vAlign w:val="bottom"/>
          </w:tcPr>
          <w:p>
            <w:pPr>
              <w:jc w:val="center"/>
              <w:ind w:left="530"/>
              <w:spacing w:after="0"/>
              <w:rPr>
                <w:sz w:val="20"/>
                <w:szCs w:val="20"/>
                <w:color w:val="auto"/>
              </w:rPr>
            </w:pPr>
            <w:r>
              <w:rPr>
                <w:rFonts w:ascii="Arial" w:cs="Arial" w:eastAsia="Arial" w:hAnsi="Arial"/>
                <w:sz w:val="18"/>
                <w:szCs w:val="18"/>
                <w:i w:val="1"/>
                <w:iCs w:val="1"/>
                <w:color w:val="auto"/>
                <w:w w:val="94"/>
              </w:rPr>
              <w:t>Identification No.)</w:t>
            </w:r>
          </w:p>
        </w:tc>
      </w:tr>
      <w:tr>
        <w:trPr>
          <w:trHeight w:val="322"/>
        </w:trPr>
        <w:tc>
          <w:tcPr>
            <w:tcW w:w="50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2"/>
              </w:rPr>
              <w:t>300 Renaissance Center, Detroit, Michigan</w:t>
            </w:r>
          </w:p>
        </w:tc>
        <w:tc>
          <w:tcPr>
            <w:tcW w:w="1940" w:type="dxa"/>
            <w:vAlign w:val="bottom"/>
          </w:tcPr>
          <w:p>
            <w:pPr>
              <w:jc w:val="right"/>
              <w:ind w:right="130"/>
              <w:spacing w:after="0"/>
              <w:rPr>
                <w:sz w:val="20"/>
                <w:szCs w:val="20"/>
                <w:color w:val="auto"/>
              </w:rPr>
            </w:pPr>
            <w:r>
              <w:rPr>
                <w:rFonts w:ascii="Arial" w:cs="Arial" w:eastAsia="Arial" w:hAnsi="Arial"/>
                <w:sz w:val="18"/>
                <w:szCs w:val="18"/>
                <w:b w:val="1"/>
                <w:bCs w:val="1"/>
                <w:color w:val="auto"/>
              </w:rPr>
              <w:t>48265 -3000</w:t>
            </w:r>
          </w:p>
        </w:tc>
      </w:tr>
      <w:tr>
        <w:trPr>
          <w:trHeight w:val="269"/>
        </w:trPr>
        <w:tc>
          <w:tcPr>
            <w:tcW w:w="5020" w:type="dxa"/>
            <w:vAlign w:val="bottom"/>
          </w:tcPr>
          <w:p>
            <w:pPr>
              <w:jc w:val="center"/>
              <w:ind w:right="161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1"/>
              </w:rPr>
              <w:t>(Zip Code)</w:t>
            </w:r>
          </w:p>
        </w:tc>
      </w:tr>
      <w:tr>
        <w:trPr>
          <w:trHeight w:val="309"/>
        </w:trPr>
        <w:tc>
          <w:tcPr>
            <w:tcW w:w="5020" w:type="dxa"/>
            <w:vAlign w:val="bottom"/>
          </w:tcPr>
          <w:p>
            <w:pPr>
              <w:jc w:val="right"/>
              <w:ind w:right="530"/>
              <w:spacing w:after="0"/>
              <w:rPr>
                <w:sz w:val="20"/>
                <w:szCs w:val="20"/>
                <w:color w:val="auto"/>
              </w:rPr>
            </w:pPr>
            <w:r>
              <w:rPr>
                <w:rFonts w:ascii="Arial" w:cs="Arial" w:eastAsia="Arial" w:hAnsi="Arial"/>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0"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18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960" w:type="dxa"/>
            <w:vAlign w:val="bottom"/>
          </w:tcPr>
          <w:p>
            <w:pPr>
              <w:spacing w:after="0"/>
              <w:rPr>
                <w:sz w:val="16"/>
                <w:szCs w:val="16"/>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45"/>
        </w:trPr>
        <w:tc>
          <w:tcPr>
            <w:tcW w:w="3620" w:type="dxa"/>
            <w:vAlign w:val="bottom"/>
            <w:gridSpan w:val="3"/>
          </w:tcPr>
          <w:p>
            <w:pPr>
              <w:jc w:val="center"/>
              <w:ind w:right="1380"/>
              <w:spacing w:after="0"/>
              <w:rPr>
                <w:sz w:val="20"/>
                <w:szCs w:val="20"/>
                <w:color w:val="auto"/>
              </w:rPr>
            </w:pPr>
            <w:r>
              <w:rPr>
                <w:rFonts w:ascii="Arial" w:cs="Arial" w:eastAsia="Arial" w:hAnsi="Arial"/>
                <w:sz w:val="17"/>
                <w:szCs w:val="17"/>
                <w:color w:val="auto"/>
                <w:w w:val="92"/>
              </w:rPr>
              <w:t>Common Stock, $0.01 par value</w:t>
            </w:r>
          </w:p>
        </w:tc>
        <w:tc>
          <w:tcPr>
            <w:tcW w:w="1300" w:type="dxa"/>
            <w:vAlign w:val="bottom"/>
          </w:tcPr>
          <w:p>
            <w:pPr>
              <w:jc w:val="center"/>
              <w:spacing w:after="0"/>
              <w:rPr>
                <w:sz w:val="20"/>
                <w:szCs w:val="20"/>
                <w:color w:val="auto"/>
              </w:rPr>
            </w:pPr>
            <w:r>
              <w:rPr>
                <w:rFonts w:ascii="Arial" w:cs="Arial" w:eastAsia="Arial" w:hAnsi="Arial"/>
                <w:sz w:val="17"/>
                <w:szCs w:val="17"/>
                <w:color w:val="auto"/>
              </w:rPr>
              <w:t>GM</w:t>
            </w:r>
          </w:p>
        </w:tc>
        <w:tc>
          <w:tcPr>
            <w:tcW w:w="960" w:type="dxa"/>
            <w:vAlign w:val="bottom"/>
          </w:tcPr>
          <w:p>
            <w:pPr>
              <w:spacing w:after="0"/>
              <w:rPr>
                <w:sz w:val="21"/>
                <w:szCs w:val="21"/>
                <w:color w:val="auto"/>
              </w:rPr>
            </w:pPr>
          </w:p>
        </w:tc>
        <w:tc>
          <w:tcPr>
            <w:tcW w:w="306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132" w:lineRule="exact"/>
        <w:rPr>
          <w:sz w:val="24"/>
          <w:szCs w:val="24"/>
          <w:color w:val="auto"/>
        </w:rPr>
      </w:pPr>
    </w:p>
    <w:p>
      <w:pPr>
        <w:jc w:val="both"/>
        <w:ind w:firstLine="81"/>
        <w:spacing w:after="0" w:line="22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81"/>
        <w:spacing w:after="0" w:line="22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ind w:firstLine="81"/>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p>
      <w:pPr>
        <w:ind w:left="8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44" w:lineRule="exact"/>
        <w:rPr>
          <w:sz w:val="24"/>
          <w:szCs w:val="24"/>
          <w:color w:val="auto"/>
        </w:rPr>
      </w:pPr>
    </w:p>
    <w:p>
      <w:pPr>
        <w:jc w:val="both"/>
        <w:ind w:firstLine="81"/>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7" w:lineRule="exact"/>
        <w:rPr>
          <w:sz w:val="24"/>
          <w:szCs w:val="24"/>
          <w:color w:val="auto"/>
        </w:rPr>
      </w:pPr>
    </w:p>
    <w:p>
      <w:pPr>
        <w:ind w:left="80" w:right="2240"/>
        <w:spacing w:after="0" w:line="28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13, 2023 there were 1,375,905,293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741045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700" w:type="dxa"/>
            <w:vAlign w:val="bottom"/>
            <w:vMerge w:val="restart"/>
          </w:tcPr>
          <w:p>
            <w:pPr>
              <w:ind w:left="3320"/>
              <w:spacing w:after="0"/>
              <w:rPr>
                <w:sz w:val="20"/>
                <w:szCs w:val="20"/>
                <w:color w:val="auto"/>
              </w:rPr>
            </w:pPr>
            <w:r>
              <w:rPr>
                <w:rFonts w:ascii="Arial" w:cs="Arial" w:eastAsia="Arial" w:hAnsi="Arial"/>
                <w:sz w:val="18"/>
                <w:szCs w:val="18"/>
                <w:b w:val="1"/>
                <w:bCs w:val="1"/>
                <w:color w:val="auto"/>
              </w:rPr>
              <w:t>PART I</w:t>
            </w:r>
          </w:p>
        </w:tc>
        <w:tc>
          <w:tcPr>
            <w:tcW w:w="54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0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2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Condensed Consolidated Financial Statements</w:t>
            </w:r>
          </w:p>
        </w:tc>
        <w:tc>
          <w:tcPr>
            <w:tcW w:w="52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7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982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Condensed Consolidated Income Statements (Unaudited)</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982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Condensed Consolidated Statements of Comprehensive Income (Unaudited)</w:t>
            </w:r>
          </w:p>
        </w:tc>
        <w:tc>
          <w:tcPr>
            <w:tcW w:w="52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982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Condensed Consolidated Balance Sheets (Unaudited)</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982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Condensed Consolidated Statements of Cash Flows (Unaudited)</w:t>
            </w:r>
          </w:p>
        </w:tc>
        <w:tc>
          <w:tcPr>
            <w:tcW w:w="52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982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Condensed Consolidated Statements of Equity (Unaudited)</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982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52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7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righ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20" w:type="dxa"/>
            <w:vAlign w:val="bottom"/>
          </w:tcPr>
          <w:p>
            <w:pPr>
              <w:ind w:left="280"/>
              <w:spacing w:after="0" w:line="189" w:lineRule="exact"/>
              <w:rPr>
                <w:sz w:val="20"/>
                <w:szCs w:val="20"/>
                <w:color w:val="auto"/>
              </w:rPr>
            </w:pPr>
            <w:r>
              <w:rPr>
                <w:rFonts w:ascii="Arial" w:cs="Arial" w:eastAsia="Arial" w:hAnsi="Arial"/>
                <w:sz w:val="18"/>
                <w:szCs w:val="18"/>
                <w:color w:val="auto"/>
              </w:rPr>
              <w:t>Note 1.</w:t>
            </w:r>
          </w:p>
        </w:tc>
        <w:tc>
          <w:tcPr>
            <w:tcW w:w="8700" w:type="dxa"/>
            <w:vAlign w:val="bottom"/>
          </w:tcPr>
          <w:p>
            <w:pPr>
              <w:ind w:left="80"/>
              <w:spacing w:after="0" w:line="189" w:lineRule="exact"/>
              <w:rPr>
                <w:sz w:val="20"/>
                <w:szCs w:val="20"/>
                <w:color w:val="auto"/>
              </w:rPr>
            </w:pPr>
            <w:r>
              <w:rPr>
                <w:rFonts w:ascii="Arial" w:cs="Arial" w:eastAsia="Arial" w:hAnsi="Arial"/>
                <w:sz w:val="18"/>
                <w:szCs w:val="18"/>
                <w:color w:val="auto"/>
              </w:rPr>
              <w:t>Nature of Operations and Basis of Presentation</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Note 2.</w:t>
            </w:r>
          </w:p>
        </w:tc>
        <w:tc>
          <w:tcPr>
            <w:tcW w:w="87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Revenue</w:t>
            </w:r>
          </w:p>
        </w:tc>
        <w:tc>
          <w:tcPr>
            <w:tcW w:w="52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20" w:type="dxa"/>
            <w:vAlign w:val="bottom"/>
          </w:tcPr>
          <w:p>
            <w:pPr>
              <w:ind w:left="280"/>
              <w:spacing w:after="0" w:line="189" w:lineRule="exact"/>
              <w:rPr>
                <w:sz w:val="20"/>
                <w:szCs w:val="20"/>
                <w:color w:val="auto"/>
              </w:rPr>
            </w:pPr>
            <w:r>
              <w:rPr>
                <w:rFonts w:ascii="Arial" w:cs="Arial" w:eastAsia="Arial" w:hAnsi="Arial"/>
                <w:sz w:val="18"/>
                <w:szCs w:val="18"/>
                <w:color w:val="auto"/>
              </w:rPr>
              <w:t>Note 3.</w:t>
            </w:r>
          </w:p>
        </w:tc>
        <w:tc>
          <w:tcPr>
            <w:tcW w:w="8700" w:type="dxa"/>
            <w:vAlign w:val="bottom"/>
          </w:tcPr>
          <w:p>
            <w:pPr>
              <w:ind w:left="80"/>
              <w:spacing w:after="0" w:line="189" w:lineRule="exact"/>
              <w:rPr>
                <w:sz w:val="20"/>
                <w:szCs w:val="20"/>
                <w:color w:val="auto"/>
              </w:rPr>
            </w:pPr>
            <w:r>
              <w:rPr>
                <w:rFonts w:ascii="Arial" w:cs="Arial" w:eastAsia="Arial" w:hAnsi="Arial"/>
                <w:sz w:val="18"/>
                <w:szCs w:val="18"/>
                <w:color w:val="auto"/>
              </w:rPr>
              <w:t>Marketable and Other Securities</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shd w:val="clear" w:color="auto" w:fill="CCEEFF"/>
          </w:tcPr>
          <w:p>
            <w:pPr>
              <w:spacing w:after="0"/>
              <w:rPr>
                <w:sz w:val="16"/>
                <w:szCs w:val="16"/>
                <w:color w:val="auto"/>
              </w:rPr>
            </w:pPr>
          </w:p>
        </w:tc>
        <w:tc>
          <w:tcPr>
            <w:tcW w:w="112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Note 4.</w:t>
            </w:r>
          </w:p>
        </w:tc>
        <w:tc>
          <w:tcPr>
            <w:tcW w:w="870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GM Financial Receivables and Transactions</w:t>
            </w:r>
          </w:p>
        </w:tc>
        <w:tc>
          <w:tcPr>
            <w:tcW w:w="52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80" w:type="dxa"/>
            <w:vAlign w:val="bottom"/>
          </w:tcPr>
          <w:p>
            <w:pPr>
              <w:spacing w:after="0"/>
              <w:rPr>
                <w:sz w:val="16"/>
                <w:szCs w:val="16"/>
                <w:color w:val="auto"/>
              </w:rPr>
            </w:pPr>
          </w:p>
        </w:tc>
        <w:tc>
          <w:tcPr>
            <w:tcW w:w="1120" w:type="dxa"/>
            <w:vAlign w:val="bottom"/>
          </w:tcPr>
          <w:p>
            <w:pPr>
              <w:ind w:left="280"/>
              <w:spacing w:after="0" w:line="189" w:lineRule="exact"/>
              <w:rPr>
                <w:sz w:val="20"/>
                <w:szCs w:val="20"/>
                <w:color w:val="auto"/>
              </w:rPr>
            </w:pPr>
            <w:r>
              <w:rPr>
                <w:rFonts w:ascii="Arial" w:cs="Arial" w:eastAsia="Arial" w:hAnsi="Arial"/>
                <w:sz w:val="18"/>
                <w:szCs w:val="18"/>
                <w:color w:val="auto"/>
              </w:rPr>
              <w:t>Note 5.</w:t>
            </w:r>
          </w:p>
        </w:tc>
        <w:tc>
          <w:tcPr>
            <w:tcW w:w="8700" w:type="dxa"/>
            <w:vAlign w:val="bottom"/>
          </w:tcPr>
          <w:p>
            <w:pPr>
              <w:ind w:left="80"/>
              <w:spacing w:after="0" w:line="189" w:lineRule="exact"/>
              <w:rPr>
                <w:sz w:val="20"/>
                <w:szCs w:val="20"/>
                <w:color w:val="auto"/>
              </w:rPr>
            </w:pPr>
            <w:r>
              <w:rPr>
                <w:rFonts w:ascii="Arial" w:cs="Arial" w:eastAsia="Arial" w:hAnsi="Arial"/>
                <w:sz w:val="18"/>
                <w:szCs w:val="18"/>
                <w:color w:val="auto"/>
              </w:rPr>
              <w:t>Inventories</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280"/>
              <w:spacing w:after="0" w:line="189" w:lineRule="exact"/>
              <w:rPr>
                <w:sz w:val="20"/>
                <w:szCs w:val="20"/>
                <w:color w:val="auto"/>
              </w:rPr>
            </w:pPr>
            <w:r>
              <w:rPr>
                <w:rFonts w:ascii="Arial" w:cs="Arial" w:eastAsia="Arial" w:hAnsi="Arial"/>
                <w:sz w:val="18"/>
                <w:szCs w:val="18"/>
                <w:color w:val="auto"/>
              </w:rPr>
              <w:t>Note 6.</w:t>
            </w:r>
          </w:p>
        </w:tc>
        <w:tc>
          <w:tcPr>
            <w:tcW w:w="8700" w:type="dxa"/>
            <w:vAlign w:val="bottom"/>
            <w:tcBorders>
              <w:bottom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Equipment on Operating Leases</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120" w:type="dxa"/>
            <w:vAlign w:val="bottom"/>
          </w:tcPr>
          <w:p>
            <w:pPr>
              <w:ind w:left="280"/>
              <w:spacing w:after="0" w:line="189" w:lineRule="exact"/>
              <w:rPr>
                <w:sz w:val="20"/>
                <w:szCs w:val="20"/>
                <w:color w:val="auto"/>
              </w:rPr>
            </w:pPr>
            <w:r>
              <w:rPr>
                <w:rFonts w:ascii="Arial" w:cs="Arial" w:eastAsia="Arial" w:hAnsi="Arial"/>
                <w:sz w:val="18"/>
                <w:szCs w:val="18"/>
                <w:color w:val="auto"/>
              </w:rPr>
              <w:t>Note 7.</w:t>
            </w:r>
          </w:p>
        </w:tc>
        <w:tc>
          <w:tcPr>
            <w:tcW w:w="8700" w:type="dxa"/>
            <w:vAlign w:val="bottom"/>
          </w:tcPr>
          <w:p>
            <w:pPr>
              <w:ind w:left="80"/>
              <w:spacing w:after="0" w:line="189" w:lineRule="exact"/>
              <w:rPr>
                <w:sz w:val="20"/>
                <w:szCs w:val="20"/>
                <w:color w:val="auto"/>
              </w:rPr>
            </w:pPr>
            <w:r>
              <w:rPr>
                <w:rFonts w:ascii="Arial" w:cs="Arial" w:eastAsia="Arial" w:hAnsi="Arial"/>
                <w:sz w:val="18"/>
                <w:szCs w:val="18"/>
                <w:color w:val="auto"/>
              </w:rPr>
              <w:t>Equity in Net Assets of Nonconsolidated Affiliates</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80"/>
              <w:spacing w:after="0" w:line="189" w:lineRule="exact"/>
              <w:rPr>
                <w:sz w:val="20"/>
                <w:szCs w:val="20"/>
                <w:color w:val="auto"/>
              </w:rPr>
            </w:pPr>
            <w:r>
              <w:rPr>
                <w:rFonts w:ascii="Arial" w:cs="Arial" w:eastAsia="Arial" w:hAnsi="Arial"/>
                <w:sz w:val="18"/>
                <w:szCs w:val="18"/>
                <w:color w:val="auto"/>
              </w:rPr>
              <w:t>Note 8.</w:t>
            </w:r>
          </w:p>
        </w:tc>
        <w:tc>
          <w:tcPr>
            <w:tcW w:w="8700" w:type="dxa"/>
            <w:vAlign w:val="bottom"/>
            <w:tcBorders>
              <w:bottom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Variable Interest Entities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120" w:type="dxa"/>
            <w:vAlign w:val="bottom"/>
          </w:tcPr>
          <w:p>
            <w:pPr>
              <w:ind w:left="280"/>
              <w:spacing w:after="0" w:line="189" w:lineRule="exact"/>
              <w:rPr>
                <w:sz w:val="20"/>
                <w:szCs w:val="20"/>
                <w:color w:val="auto"/>
              </w:rPr>
            </w:pPr>
            <w:r>
              <w:rPr>
                <w:rFonts w:ascii="Arial" w:cs="Arial" w:eastAsia="Arial" w:hAnsi="Arial"/>
                <w:sz w:val="18"/>
                <w:szCs w:val="18"/>
                <w:color w:val="auto"/>
              </w:rPr>
              <w:t>Note 9.</w:t>
            </w:r>
          </w:p>
        </w:tc>
        <w:tc>
          <w:tcPr>
            <w:tcW w:w="8700" w:type="dxa"/>
            <w:vAlign w:val="bottom"/>
          </w:tcPr>
          <w:p>
            <w:pPr>
              <w:ind w:left="80"/>
              <w:spacing w:after="0" w:line="189" w:lineRule="exact"/>
              <w:rPr>
                <w:sz w:val="20"/>
                <w:szCs w:val="20"/>
                <w:color w:val="auto"/>
              </w:rPr>
            </w:pPr>
            <w:r>
              <w:rPr>
                <w:rFonts w:ascii="Arial" w:cs="Arial" w:eastAsia="Arial" w:hAnsi="Arial"/>
                <w:sz w:val="18"/>
                <w:szCs w:val="18"/>
                <w:color w:val="auto"/>
              </w:rPr>
              <w:t>Debt</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8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80"/>
              <w:spacing w:after="0" w:line="189" w:lineRule="exact"/>
              <w:rPr>
                <w:sz w:val="20"/>
                <w:szCs w:val="20"/>
                <w:color w:val="auto"/>
              </w:rPr>
            </w:pPr>
            <w:r>
              <w:rPr>
                <w:rFonts w:ascii="Arial" w:cs="Arial" w:eastAsia="Arial" w:hAnsi="Arial"/>
                <w:sz w:val="18"/>
                <w:szCs w:val="18"/>
                <w:color w:val="auto"/>
              </w:rPr>
              <w:t>Note 10.</w:t>
            </w:r>
          </w:p>
        </w:tc>
        <w:tc>
          <w:tcPr>
            <w:tcW w:w="8700" w:type="dxa"/>
            <w:vAlign w:val="bottom"/>
            <w:tcBorders>
              <w:bottom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Derivative Financial Instruments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120" w:type="dxa"/>
            <w:vAlign w:val="bottom"/>
          </w:tcPr>
          <w:p>
            <w:pPr>
              <w:ind w:left="280"/>
              <w:spacing w:after="0" w:line="189" w:lineRule="exact"/>
              <w:rPr>
                <w:sz w:val="20"/>
                <w:szCs w:val="20"/>
                <w:color w:val="auto"/>
              </w:rPr>
            </w:pPr>
            <w:r>
              <w:rPr>
                <w:rFonts w:ascii="Arial" w:cs="Arial" w:eastAsia="Arial" w:hAnsi="Arial"/>
                <w:sz w:val="18"/>
                <w:szCs w:val="18"/>
                <w:color w:val="auto"/>
              </w:rPr>
              <w:t>Note 11.</w:t>
            </w:r>
          </w:p>
        </w:tc>
        <w:tc>
          <w:tcPr>
            <w:tcW w:w="8700" w:type="dxa"/>
            <w:vAlign w:val="bottom"/>
          </w:tcPr>
          <w:p>
            <w:pPr>
              <w:ind w:left="80"/>
              <w:spacing w:after="0" w:line="189" w:lineRule="exact"/>
              <w:rPr>
                <w:sz w:val="20"/>
                <w:szCs w:val="20"/>
                <w:color w:val="auto"/>
              </w:rPr>
            </w:pPr>
            <w:r>
              <w:rPr>
                <w:rFonts w:ascii="Arial" w:cs="Arial" w:eastAsia="Arial" w:hAnsi="Arial"/>
                <w:sz w:val="18"/>
                <w:szCs w:val="18"/>
                <w:color w:val="auto"/>
              </w:rPr>
              <w:t>Product Warranty and Related Liabilities</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280"/>
              <w:spacing w:after="0" w:line="189" w:lineRule="exact"/>
              <w:rPr>
                <w:sz w:val="20"/>
                <w:szCs w:val="20"/>
                <w:color w:val="auto"/>
              </w:rPr>
            </w:pPr>
            <w:r>
              <w:rPr>
                <w:rFonts w:ascii="Arial" w:cs="Arial" w:eastAsia="Arial" w:hAnsi="Arial"/>
                <w:sz w:val="18"/>
                <w:szCs w:val="18"/>
                <w:color w:val="auto"/>
              </w:rPr>
              <w:t>Note 12.</w:t>
            </w:r>
          </w:p>
        </w:tc>
        <w:tc>
          <w:tcPr>
            <w:tcW w:w="8700" w:type="dxa"/>
            <w:vAlign w:val="bottom"/>
            <w:tcBorders>
              <w:bottom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Pensions and Other Postretirement Benefits</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120" w:type="dxa"/>
            <w:vAlign w:val="bottom"/>
          </w:tcPr>
          <w:p>
            <w:pPr>
              <w:ind w:left="280"/>
              <w:spacing w:after="0" w:line="189" w:lineRule="exact"/>
              <w:rPr>
                <w:sz w:val="20"/>
                <w:szCs w:val="20"/>
                <w:color w:val="auto"/>
              </w:rPr>
            </w:pPr>
            <w:r>
              <w:rPr>
                <w:rFonts w:ascii="Arial" w:cs="Arial" w:eastAsia="Arial" w:hAnsi="Arial"/>
                <w:sz w:val="18"/>
                <w:szCs w:val="18"/>
                <w:color w:val="auto"/>
              </w:rPr>
              <w:t>Note 13.</w:t>
            </w:r>
          </w:p>
        </w:tc>
        <w:tc>
          <w:tcPr>
            <w:tcW w:w="8700" w:type="dxa"/>
            <w:vAlign w:val="bottom"/>
          </w:tcPr>
          <w:p>
            <w:pPr>
              <w:ind w:left="80"/>
              <w:spacing w:after="0" w:line="189" w:lineRule="exact"/>
              <w:rPr>
                <w:sz w:val="20"/>
                <w:szCs w:val="20"/>
                <w:color w:val="auto"/>
              </w:rPr>
            </w:pPr>
            <w:r>
              <w:rPr>
                <w:rFonts w:ascii="Arial" w:cs="Arial" w:eastAsia="Arial" w:hAnsi="Arial"/>
                <w:sz w:val="18"/>
                <w:szCs w:val="18"/>
                <w:color w:val="auto"/>
              </w:rPr>
              <w:t>Commitments and Contingencies</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80"/>
              <w:spacing w:after="0" w:line="189" w:lineRule="exact"/>
              <w:rPr>
                <w:sz w:val="20"/>
                <w:szCs w:val="20"/>
                <w:color w:val="auto"/>
              </w:rPr>
            </w:pPr>
            <w:r>
              <w:rPr>
                <w:rFonts w:ascii="Arial" w:cs="Arial" w:eastAsia="Arial" w:hAnsi="Arial"/>
                <w:sz w:val="18"/>
                <w:szCs w:val="18"/>
                <w:color w:val="auto"/>
              </w:rPr>
              <w:t>Note 14.</w:t>
            </w:r>
          </w:p>
        </w:tc>
        <w:tc>
          <w:tcPr>
            <w:tcW w:w="8700" w:type="dxa"/>
            <w:vAlign w:val="bottom"/>
            <w:tcBorders>
              <w:bottom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120" w:type="dxa"/>
            <w:vAlign w:val="bottom"/>
          </w:tcPr>
          <w:p>
            <w:pPr>
              <w:ind w:left="280"/>
              <w:spacing w:after="0" w:line="189" w:lineRule="exact"/>
              <w:rPr>
                <w:sz w:val="20"/>
                <w:szCs w:val="20"/>
                <w:color w:val="auto"/>
              </w:rPr>
            </w:pPr>
            <w:r>
              <w:rPr>
                <w:rFonts w:ascii="Arial" w:cs="Arial" w:eastAsia="Arial" w:hAnsi="Arial"/>
                <w:sz w:val="18"/>
                <w:szCs w:val="18"/>
                <w:color w:val="auto"/>
              </w:rPr>
              <w:t>Note 15.</w:t>
            </w:r>
          </w:p>
        </w:tc>
        <w:tc>
          <w:tcPr>
            <w:tcW w:w="8700" w:type="dxa"/>
            <w:vAlign w:val="bottom"/>
          </w:tcPr>
          <w:p>
            <w:pPr>
              <w:ind w:left="80"/>
              <w:spacing w:after="0" w:line="189" w:lineRule="exact"/>
              <w:rPr>
                <w:sz w:val="20"/>
                <w:szCs w:val="20"/>
                <w:color w:val="auto"/>
              </w:rPr>
            </w:pPr>
            <w:r>
              <w:rPr>
                <w:rFonts w:ascii="Arial" w:cs="Arial" w:eastAsia="Arial" w:hAnsi="Arial"/>
                <w:sz w:val="18"/>
                <w:szCs w:val="18"/>
                <w:color w:val="auto"/>
              </w:rPr>
              <w:t>Restructuring and Other Initiatives</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8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80"/>
              <w:spacing w:after="0" w:line="189" w:lineRule="exact"/>
              <w:rPr>
                <w:sz w:val="20"/>
                <w:szCs w:val="20"/>
                <w:color w:val="auto"/>
              </w:rPr>
            </w:pPr>
            <w:r>
              <w:rPr>
                <w:rFonts w:ascii="Arial" w:cs="Arial" w:eastAsia="Arial" w:hAnsi="Arial"/>
                <w:sz w:val="18"/>
                <w:szCs w:val="18"/>
                <w:color w:val="auto"/>
              </w:rPr>
              <w:t>Note 16.</w:t>
            </w:r>
          </w:p>
        </w:tc>
        <w:tc>
          <w:tcPr>
            <w:tcW w:w="8700" w:type="dxa"/>
            <w:vAlign w:val="bottom"/>
            <w:tcBorders>
              <w:bottom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Stockholders' Equity and Noncontrolling Interests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120" w:type="dxa"/>
            <w:vAlign w:val="bottom"/>
          </w:tcPr>
          <w:p>
            <w:pPr>
              <w:ind w:left="280"/>
              <w:spacing w:after="0" w:line="189" w:lineRule="exact"/>
              <w:rPr>
                <w:sz w:val="20"/>
                <w:szCs w:val="20"/>
                <w:color w:val="auto"/>
              </w:rPr>
            </w:pPr>
            <w:r>
              <w:rPr>
                <w:rFonts w:ascii="Arial" w:cs="Arial" w:eastAsia="Arial" w:hAnsi="Arial"/>
                <w:sz w:val="18"/>
                <w:szCs w:val="18"/>
                <w:color w:val="auto"/>
              </w:rPr>
              <w:t>Note 17.</w:t>
            </w:r>
          </w:p>
        </w:tc>
        <w:tc>
          <w:tcPr>
            <w:tcW w:w="8700" w:type="dxa"/>
            <w:vAlign w:val="bottom"/>
          </w:tcPr>
          <w:p>
            <w:pPr>
              <w:ind w:left="80"/>
              <w:spacing w:after="0" w:line="189" w:lineRule="exact"/>
              <w:rPr>
                <w:sz w:val="20"/>
                <w:szCs w:val="20"/>
                <w:color w:val="auto"/>
              </w:rPr>
            </w:pPr>
            <w:r>
              <w:rPr>
                <w:rFonts w:ascii="Arial" w:cs="Arial" w:eastAsia="Arial" w:hAnsi="Arial"/>
                <w:sz w:val="18"/>
                <w:szCs w:val="18"/>
                <w:color w:val="auto"/>
              </w:rPr>
              <w:t>Earnings Per Share</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280"/>
              <w:spacing w:after="0" w:line="189" w:lineRule="exact"/>
              <w:rPr>
                <w:sz w:val="20"/>
                <w:szCs w:val="20"/>
                <w:color w:val="auto"/>
              </w:rPr>
            </w:pPr>
            <w:r>
              <w:rPr>
                <w:rFonts w:ascii="Arial" w:cs="Arial" w:eastAsia="Arial" w:hAnsi="Arial"/>
                <w:sz w:val="18"/>
                <w:szCs w:val="18"/>
                <w:color w:val="auto"/>
              </w:rPr>
              <w:t>Note 18.</w:t>
            </w:r>
          </w:p>
        </w:tc>
        <w:tc>
          <w:tcPr>
            <w:tcW w:w="8700" w:type="dxa"/>
            <w:vAlign w:val="bottom"/>
            <w:tcBorders>
              <w:bottom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Stock Incentive Plans</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80" w:type="dxa"/>
            <w:vAlign w:val="bottom"/>
          </w:tcPr>
          <w:p>
            <w:pPr>
              <w:spacing w:after="0"/>
              <w:rPr>
                <w:sz w:val="16"/>
                <w:szCs w:val="16"/>
                <w:color w:val="auto"/>
              </w:rPr>
            </w:pPr>
          </w:p>
        </w:tc>
        <w:tc>
          <w:tcPr>
            <w:tcW w:w="1120" w:type="dxa"/>
            <w:vAlign w:val="bottom"/>
          </w:tcPr>
          <w:p>
            <w:pPr>
              <w:ind w:left="280"/>
              <w:spacing w:after="0" w:line="189" w:lineRule="exact"/>
              <w:rPr>
                <w:sz w:val="20"/>
                <w:szCs w:val="20"/>
                <w:color w:val="auto"/>
              </w:rPr>
            </w:pPr>
            <w:r>
              <w:rPr>
                <w:rFonts w:ascii="Arial" w:cs="Arial" w:eastAsia="Arial" w:hAnsi="Arial"/>
                <w:sz w:val="18"/>
                <w:szCs w:val="18"/>
                <w:color w:val="auto"/>
              </w:rPr>
              <w:t>Note 19.</w:t>
            </w:r>
          </w:p>
        </w:tc>
        <w:tc>
          <w:tcPr>
            <w:tcW w:w="8700" w:type="dxa"/>
            <w:vAlign w:val="bottom"/>
          </w:tcPr>
          <w:p>
            <w:pPr>
              <w:ind w:left="80"/>
              <w:spacing w:after="0" w:line="189" w:lineRule="exact"/>
              <w:rPr>
                <w:sz w:val="20"/>
                <w:szCs w:val="20"/>
                <w:color w:val="auto"/>
              </w:rPr>
            </w:pPr>
            <w:r>
              <w:rPr>
                <w:rFonts w:ascii="Arial" w:cs="Arial" w:eastAsia="Arial" w:hAnsi="Arial"/>
                <w:sz w:val="18"/>
                <w:szCs w:val="18"/>
                <w:color w:val="auto"/>
              </w:rPr>
              <w:t>Segment Reporting</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820" w:type="dxa"/>
            <w:vAlign w:val="bottom"/>
            <w:tcBorders>
              <w:bottom w:val="single" w:sz="8" w:color="CCEEFF"/>
            </w:tcBorders>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82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82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Controls and Procedures</w:t>
            </w:r>
          </w:p>
        </w:tc>
        <w:tc>
          <w:tcPr>
            <w:tcW w:w="520" w:type="dxa"/>
            <w:vAlign w:val="bottom"/>
            <w:tcBorders>
              <w:right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700" w:type="dxa"/>
            <w:vAlign w:val="bottom"/>
            <w:tcBorders>
              <w:top w:val="single" w:sz="8" w:color="CCEEFF"/>
            </w:tcBorders>
          </w:tcPr>
          <w:p>
            <w:pPr>
              <w:ind w:left="3300"/>
              <w:spacing w:after="0"/>
              <w:rPr>
                <w:sz w:val="20"/>
                <w:szCs w:val="20"/>
                <w:color w:val="auto"/>
              </w:rPr>
            </w:pPr>
            <w:r>
              <w:rPr>
                <w:rFonts w:ascii="Arial" w:cs="Arial" w:eastAsia="Arial" w:hAnsi="Arial"/>
                <w:sz w:val="18"/>
                <w:szCs w:val="18"/>
                <w:b w:val="1"/>
                <w:bCs w:val="1"/>
                <w:color w:val="auto"/>
              </w:rPr>
              <w:t>PART II</w:t>
            </w: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20" w:type="dxa"/>
            <w:vAlign w:val="bottom"/>
            <w:tcBorders>
              <w:bottom w:val="single" w:sz="8" w:color="CCEEFF"/>
            </w:tcBorders>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Legal Proceedings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1120" w:type="dxa"/>
            <w:vAlign w:val="bottom"/>
          </w:tcPr>
          <w:p>
            <w:pPr>
              <w:ind w:left="160"/>
              <w:spacing w:after="0" w:line="189" w:lineRule="exact"/>
              <w:rPr>
                <w:sz w:val="20"/>
                <w:szCs w:val="20"/>
                <w:color w:val="auto"/>
              </w:rPr>
            </w:pPr>
            <w:r>
              <w:rPr>
                <w:rFonts w:ascii="Arial" w:cs="Arial" w:eastAsia="Arial" w:hAnsi="Arial"/>
                <w:sz w:val="18"/>
                <w:szCs w:val="18"/>
                <w:color w:val="auto"/>
                <w:w w:val="93"/>
              </w:rPr>
              <w:t>Risk Factors</w:t>
            </w:r>
          </w:p>
        </w:tc>
        <w:tc>
          <w:tcPr>
            <w:tcW w:w="8700" w:type="dxa"/>
            <w:vAlign w:val="bottom"/>
          </w:tcPr>
          <w:p>
            <w:pPr>
              <w:spacing w:after="0"/>
              <w:rPr>
                <w:sz w:val="16"/>
                <w:szCs w:val="16"/>
                <w:color w:val="auto"/>
              </w:rPr>
            </w:pP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8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820" w:type="dxa"/>
            <w:vAlign w:val="bottom"/>
            <w:tcBorders>
              <w:bottom w:val="single" w:sz="8" w:color="CCEEFF"/>
            </w:tcBorders>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Item 5.</w:t>
            </w:r>
          </w:p>
        </w:tc>
        <w:tc>
          <w:tcPr>
            <w:tcW w:w="982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Other Information</w:t>
            </w: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1120" w:type="dxa"/>
            <w:vAlign w:val="bottom"/>
            <w:tcBorders>
              <w:bottom w:val="single" w:sz="8" w:color="CCEEFF"/>
            </w:tcBorders>
            <w:shd w:val="clear" w:color="auto" w:fill="CCEEFF"/>
          </w:tcPr>
          <w:p>
            <w:pPr>
              <w:ind w:left="160"/>
              <w:spacing w:after="0" w:line="189" w:lineRule="exact"/>
              <w:rPr>
                <w:sz w:val="20"/>
                <w:szCs w:val="20"/>
                <w:color w:val="auto"/>
              </w:rPr>
            </w:pPr>
            <w:r>
              <w:rPr>
                <w:rFonts w:ascii="Arial" w:cs="Arial" w:eastAsia="Arial" w:hAnsi="Arial"/>
                <w:sz w:val="18"/>
                <w:szCs w:val="18"/>
                <w:color w:val="auto"/>
              </w:rPr>
              <w:t>Exhibits</w:t>
            </w:r>
          </w:p>
        </w:tc>
        <w:tc>
          <w:tcPr>
            <w:tcW w:w="87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FF"/>
              <w:right w:val="single" w:sz="8" w:color="CCEEFF"/>
            </w:tcBorders>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80" w:type="dxa"/>
            <w:vAlign w:val="bottom"/>
          </w:tcPr>
          <w:p>
            <w:pPr>
              <w:ind w:left="20"/>
              <w:spacing w:after="0" w:line="189" w:lineRule="exact"/>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5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7"/>
        </w:trPr>
        <w:tc>
          <w:tcPr>
            <w:tcW w:w="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81"/>
        </w:trPr>
        <w:tc>
          <w:tcPr>
            <w:tcW w:w="5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w w:val="99"/>
              </w:rPr>
              <w:t>June 30, 2023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w w:val="99"/>
              </w:rPr>
              <w:t>June 30, 2022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w w:val="99"/>
              </w:rPr>
              <w:t>June 30, 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w w:val="99"/>
              </w:rPr>
              <w:t>June 30, 2022</w:t>
            </w:r>
          </w:p>
        </w:tc>
      </w:tr>
      <w:tr>
        <w:trPr>
          <w:trHeight w:val="19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Net sales and revenue</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41,254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65,437</w:t>
            </w:r>
          </w:p>
        </w:tc>
      </w:tr>
      <w:tr>
        <w:trPr>
          <w:trHeight w:val="215"/>
        </w:trPr>
        <w:tc>
          <w:tcPr>
            <w:tcW w:w="5200" w:type="dxa"/>
            <w:vAlign w:val="bottom"/>
          </w:tcPr>
          <w:p>
            <w:pPr>
              <w:ind w:left="140"/>
              <w:spacing w:after="0"/>
              <w:rPr>
                <w:sz w:val="20"/>
                <w:szCs w:val="20"/>
                <w:color w:val="auto"/>
              </w:rPr>
            </w:pPr>
            <w:r>
              <w:rPr>
                <w:rFonts w:ascii="Arial" w:cs="Arial" w:eastAsia="Arial" w:hAnsi="Arial"/>
                <w:sz w:val="16"/>
                <w:szCs w:val="16"/>
                <w:color w:val="auto"/>
              </w:rPr>
              <w:t>GM Financial</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3,493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6,301</w:t>
            </w:r>
          </w:p>
        </w:tc>
      </w:tr>
      <w:tr>
        <w:trPr>
          <w:trHeight w:val="20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 and revenue (Note 2)</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44,746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35,759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84,732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71,738</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cost of sales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36,632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58,614</w:t>
            </w:r>
          </w:p>
        </w:tc>
      </w:tr>
      <w:tr>
        <w:trPr>
          <w:trHeight w:val="212"/>
        </w:trPr>
        <w:tc>
          <w:tcPr>
            <w:tcW w:w="520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2,768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4,015</w:t>
            </w:r>
          </w:p>
        </w:tc>
      </w:tr>
      <w:tr>
        <w:trPr>
          <w:trHeight w:val="204"/>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Automotive and other selling, general and administrative expense</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2,558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4,797</w:t>
            </w:r>
          </w:p>
        </w:tc>
      </w:tr>
      <w:tr>
        <w:trPr>
          <w:trHeight w:val="208"/>
        </w:trPr>
        <w:tc>
          <w:tcPr>
            <w:tcW w:w="5200" w:type="dxa"/>
            <w:vAlign w:val="bottom"/>
          </w:tcPr>
          <w:p>
            <w:pPr>
              <w:ind w:left="14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41,958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79,364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67,426</w:t>
            </w:r>
          </w:p>
        </w:tc>
      </w:tr>
      <w:tr>
        <w:trPr>
          <w:trHeight w:val="208"/>
        </w:trPr>
        <w:tc>
          <w:tcPr>
            <w:tcW w:w="5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4,313</w:t>
            </w:r>
          </w:p>
        </w:tc>
      </w:tr>
      <w:tr>
        <w:trPr>
          <w:trHeight w:val="212"/>
        </w:trPr>
        <w:tc>
          <w:tcPr>
            <w:tcW w:w="520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8"/>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and other non-operating income,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Equity income (loss) (Note 7)</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08"/>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w:t>
            </w:r>
          </w:p>
        </w:tc>
      </w:tr>
      <w:tr>
        <w:trPr>
          <w:trHeight w:val="21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 (Note 14)</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4,449</w:t>
            </w:r>
          </w:p>
        </w:tc>
      </w:tr>
      <w:tr>
        <w:trPr>
          <w:trHeight w:val="21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stockholders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w:t>
            </w:r>
          </w:p>
        </w:tc>
      </w:tr>
      <w:tr>
        <w:trPr>
          <w:trHeight w:val="54"/>
        </w:trPr>
        <w:tc>
          <w:tcPr>
            <w:tcW w:w="5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(Note 17)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2"/>
        </w:trPr>
        <w:tc>
          <w:tcPr>
            <w:tcW w:w="520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1.83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r>
      <w:tr>
        <w:trPr>
          <w:trHeight w:val="212"/>
        </w:trPr>
        <w:tc>
          <w:tcPr>
            <w:tcW w:w="520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1.83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r>
      <w:tr>
        <w:trPr>
          <w:trHeight w:val="54"/>
        </w:trPr>
        <w:tc>
          <w:tcPr>
            <w:tcW w:w="5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0.09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72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2"/>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w w:val="96"/>
              </w:rPr>
              <w:t>June 30, 2023</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w w:val="99"/>
              </w:rPr>
              <w:t>June 30, 2022</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w w:val="96"/>
              </w:rPr>
              <w:t>June 30, 2023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w w:val="96"/>
              </w:rPr>
              <w:t>June 30, 2022</w:t>
            </w:r>
          </w:p>
        </w:tc>
      </w:tr>
      <w:tr>
        <w:trPr>
          <w:trHeight w:val="215"/>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4,449</w:t>
            </w:r>
          </w:p>
        </w:tc>
      </w:tr>
      <w:tr>
        <w:trPr>
          <w:trHeight w:val="212"/>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16)</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and other</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5280" w:type="dxa"/>
            <w:vAlign w:val="bottom"/>
          </w:tcPr>
          <w:p>
            <w:pPr>
              <w:ind w:left="140"/>
              <w:spacing w:after="0"/>
              <w:rPr>
                <w:sz w:val="20"/>
                <w:szCs w:val="20"/>
                <w:color w:val="auto"/>
              </w:rPr>
            </w:pPr>
            <w:r>
              <w:rPr>
                <w:rFonts w:ascii="Arial" w:cs="Arial" w:eastAsia="Arial" w:hAnsi="Arial"/>
                <w:sz w:val="16"/>
                <w:szCs w:val="16"/>
                <w:color w:val="auto"/>
              </w:rPr>
              <w:t>Defined benefit plans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r>
      <w:tr>
        <w:trPr>
          <w:trHeight w:val="208"/>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4,817</w:t>
            </w:r>
          </w:p>
        </w:tc>
      </w:tr>
      <w:tr>
        <w:trPr>
          <w:trHeight w:val="218"/>
        </w:trPr>
        <w:tc>
          <w:tcPr>
            <w:tcW w:w="5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08"/>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2,393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1,629</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4,910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5,023</w:t>
            </w:r>
          </w:p>
        </w:tc>
      </w:tr>
      <w:tr>
        <w:trPr>
          <w:trHeight w:val="20"/>
        </w:trPr>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09"/>
        </w:trPr>
        <w:tc>
          <w:tcPr>
            <w:tcW w:w="7820" w:type="dxa"/>
            <w:vAlign w:val="bottom"/>
          </w:tcPr>
          <w:p>
            <w:pPr>
              <w:ind w:left="36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Marketable debt securities (Note 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12,150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and notes receivable, net of allowance of $250 and $260</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GM Financial receivables, net of allowance of $826 and $869 (Note 4; Note 8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34,440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33,623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(Note 5)</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15,366</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(Note 3; Note 8 at VIEs)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6,825</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100,451</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 receivables, net of allowance of $1,376 and $1,227 (Note 4; Note 8 at VIEs)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Equity in net assets of nonconsolidated affiliates (Note 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10,176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Goodwill and intangible assets,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4,945</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on operating leases, net (Note 6; Note 8 at VIEs)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20,539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 (Note 3; Note 8 at VIEs)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assets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169,029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163,586</w:t>
            </w:r>
          </w:p>
        </w:tc>
        <w:tc>
          <w:tcPr>
            <w:tcW w:w="0" w:type="dxa"/>
            <w:vAlign w:val="bottom"/>
          </w:tcPr>
          <w:p>
            <w:pPr>
              <w:spacing w:after="0"/>
              <w:rPr>
                <w:sz w:val="1"/>
                <w:szCs w:val="1"/>
                <w:color w:val="auto"/>
              </w:rPr>
            </w:pPr>
          </w:p>
        </w:tc>
      </w:tr>
      <w:tr>
        <w:trPr>
          <w:trHeight w:val="23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275,833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264,037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90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(principally trade)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27,486</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Short-term debt and current portion of long-term debt (Note 9)</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Arial" w:cs="Arial" w:eastAsia="Arial" w:hAnsi="Arial"/>
                <w:sz w:val="16"/>
                <w:szCs w:val="16"/>
                <w:color w:val="auto"/>
              </w:rPr>
              <w:t>GM Financial (Note 8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36,819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24,910</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92,718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91,173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Long-term debt (Note 9)</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15,885</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Arial" w:cs="Arial" w:eastAsia="Arial" w:hAnsi="Arial"/>
                <w:sz w:val="16"/>
                <w:szCs w:val="16"/>
                <w:color w:val="auto"/>
              </w:rPr>
              <w:t>GM Financial (Note 8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65,394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60,036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Postretirement benefits other than pensions (Note 12)</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Pensions (Note 12)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5,698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14,767</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100,579</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191,752</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 Cruise stock incentive awards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Equity (Note 16)</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$0.01 par value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26,078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26,428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49,251</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(7,901)</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67,792</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71,927</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275,833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264,037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ectPr>
          <w:pgSz w:w="11900" w:h="16838" w:orient="portrait"/>
          <w:cols w:equalWidth="0" w:num="1">
            <w:col w:w="11240"/>
          </w:cols>
          <w:pgMar w:left="320" w:top="125" w:right="3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June 30, 2022</w:t>
            </w:r>
          </w:p>
        </w:tc>
      </w:tr>
      <w:tr>
        <w:trPr>
          <w:trHeight w:val="199"/>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4,449</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Depreciation and impairment of Equipment on operating leases,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2,427</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impairment charges on Property,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Foreign currency remeasurement and transaction (gains) losses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Undistributed earnings of nonconsolidated affiliates,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 contributions and OPEB payments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OPEB income,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Provision (benefit) for deferred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other operating assets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5,228</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Expenditures for property</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(3,829)</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Available-for-sale marketable securities, acquisitions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Available-for-sale marketable securities, liquidations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3,838</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finance receivables,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(17,229)</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Principal collections and recoveries on finance receivables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13,922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13,660</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leased vehicles,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(6,203)</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termination of leased vehicles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7,549</w:t>
            </w:r>
          </w:p>
        </w:tc>
      </w:tr>
      <w:tr>
        <w:trPr>
          <w:trHeight w:val="204"/>
        </w:trPr>
        <w:tc>
          <w:tcPr>
            <w:tcW w:w="7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(8,227)</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Net increase (decrease) in short-term debt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1,015</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23,596</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Payments on debt (original maturities greater than three months)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(23,812)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(22,264)</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to purchase common stock</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Issuance (redemption) of subsidiary stock (Note 16)</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(2,127)</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w:t>
            </w:r>
          </w:p>
        </w:tc>
      </w:tr>
      <w:tr>
        <w:trPr>
          <w:trHeight w:val="21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23,542</w:t>
            </w:r>
          </w:p>
        </w:tc>
      </w:tr>
      <w:tr>
        <w:trPr>
          <w:trHeight w:val="23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54"/>
        </w:trPr>
        <w:tc>
          <w:tcPr>
            <w:tcW w:w="7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Non-cash property additions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5,695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4,163</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7"/>
              </w:rPr>
              <w:t>Common Stockholders’</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4"/>
              </w:rPr>
              <w:t>Total Equity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8"/>
              <w:spacing w:after="0" w:line="151"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 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Noncontrolling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w w:val="91"/>
              </w:rPr>
              <w:t>Cruise Stock Incentive</w:t>
            </w:r>
          </w:p>
        </w:tc>
        <w:tc>
          <w:tcPr>
            <w:tcW w:w="0" w:type="dxa"/>
            <w:vAlign w:val="bottom"/>
          </w:tcPr>
          <w:p>
            <w:pPr>
              <w:spacing w:after="0"/>
              <w:rPr>
                <w:sz w:val="1"/>
                <w:szCs w:val="1"/>
                <w:color w:val="auto"/>
              </w:rPr>
            </w:pPr>
          </w:p>
        </w:tc>
      </w:tr>
      <w:tr>
        <w:trPr>
          <w:trHeight w:val="13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68"/>
              <w:spacing w:after="0" w:line="13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w w:val="93"/>
              </w:rPr>
              <w:t>(Permanent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Comprehensive Loss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5"/>
              </w:rPr>
              <w:t>(Temporary Equity)</w:t>
            </w: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41,937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65,815</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2,939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920" w:type="dxa"/>
            <w:vAlign w:val="bottom"/>
          </w:tcPr>
          <w:p>
            <w:pPr>
              <w:ind w:left="20"/>
              <w:spacing w:after="0" w:line="165" w:lineRule="exact"/>
              <w:rPr>
                <w:sz w:val="20"/>
                <w:szCs w:val="20"/>
                <w:color w:val="auto"/>
              </w:rPr>
            </w:pPr>
            <w:r>
              <w:rPr>
                <w:rFonts w:ascii="Arial" w:cs="Arial" w:eastAsia="Arial" w:hAnsi="Arial"/>
                <w:sz w:val="16"/>
                <w:szCs w:val="16"/>
                <w:color w:val="auto"/>
              </w:rPr>
              <w:t>Issuance (redemption) of subsidiary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preferred stock (Note 16)</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43,879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66,774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Issuance (redemption) of subsidiary</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92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Balance at June 30, 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45,554</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68,260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49,251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71,927</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2,395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Purchase of common stock</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6"/>
        </w:trPr>
        <w:tc>
          <w:tcPr>
            <w:tcW w:w="29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26,323</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51,318</w:t>
            </w:r>
          </w:p>
        </w:tc>
        <w:tc>
          <w:tcPr>
            <w:tcW w:w="12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(7,778)</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4,084</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73,961</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5"/>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26,078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53,517</w:t>
            </w:r>
          </w:p>
        </w:tc>
        <w:tc>
          <w:tcPr>
            <w:tcW w:w="120" w:type="dxa"/>
            <w:vAlign w:val="bottom"/>
          </w:tcPr>
          <w:p>
            <w:pPr>
              <w:spacing w:after="0"/>
              <w:rPr>
                <w:sz w:val="16"/>
                <w:szCs w:val="16"/>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(7,953)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4,030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75,685</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06"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7"/>
          <w:szCs w:val="17"/>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Additionally, we are investing in and growing an autonomous vehicle (AV)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AV technology. Nonsegment operations are classified as Corporate. Corporate includes certain centrally recorded income and costs such as interest, income taxes, corporate expenditures and certain nonsegment-specific revenues and expenses.</w:t>
      </w:r>
    </w:p>
    <w:p>
      <w:pPr>
        <w:spacing w:after="0" w:line="205"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The condensed consolidated financial statements are prepared in conformity with U.S.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2022 Form 10-K. Except for per share amounts or as otherwise specified, amounts presented within tables are stated in millions. Certain columns and rows may not add due to rounding.</w:t>
      </w:r>
    </w:p>
    <w:p>
      <w:pPr>
        <w:spacing w:after="0" w:line="209"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We consolidate entities that we control due to ownership of a majority voting interest and we consolidate variable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are adjusted to reflect the impact on GM Financial's deferred tax positions and provision for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disaggregates our revenue by major source: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Three Months Ended June 30, 2023</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42"/>
              <w:spacing w:after="0" w:line="132"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1"/>
              <w:spacing w:after="0" w:line="132"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Eliminations/Reclassifications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36,099</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39,761</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8"/>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37,220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41,254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41,254</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1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8"/>
        </w:trPr>
        <w:tc>
          <w:tcPr>
            <w:tcW w:w="278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3,498</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2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41,254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3,498</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44,746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Three Months Ended June 30, 2022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42"/>
              <w:spacing w:after="0" w:line="128"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1"/>
              <w:spacing w:after="0" w:line="128"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Eliminations/Reclassifications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27,826</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31,314</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28,760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32,614</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1,989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3,146</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w:t>
            </w:r>
          </w:p>
        </w:tc>
        <w:tc>
          <w:tcPr>
            <w:tcW w:w="0" w:type="dxa"/>
            <w:vAlign w:val="bottom"/>
          </w:tcPr>
          <w:p>
            <w:pPr>
              <w:spacing w:after="0"/>
              <w:rPr>
                <w:sz w:val="1"/>
                <w:szCs w:val="1"/>
                <w:color w:val="auto"/>
              </w:rPr>
            </w:pPr>
          </w:p>
        </w:tc>
      </w:tr>
      <w:tr>
        <w:trPr>
          <w:trHeight w:val="231"/>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3,146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35,759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Six Months Ended June 30, 2023</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42"/>
              <w:spacing w:after="0" w:line="138"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41"/>
              <w:spacing w:after="0" w:line="138"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Eliminations/Reclassifications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67,975</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74,988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77,900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77,900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6,841</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6,832</w:t>
            </w:r>
          </w:p>
        </w:tc>
        <w:tc>
          <w:tcPr>
            <w:tcW w:w="0" w:type="dxa"/>
            <w:vAlign w:val="bottom"/>
          </w:tcPr>
          <w:p>
            <w:pPr>
              <w:spacing w:after="0"/>
              <w:rPr>
                <w:sz w:val="1"/>
                <w:szCs w:val="1"/>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70,108</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6,841</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84,732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7"/>
          </w:tcPr>
          <w:p>
            <w:pPr>
              <w:jc w:val="right"/>
              <w:ind w:right="241"/>
              <w:spacing w:after="0"/>
              <w:rPr>
                <w:sz w:val="20"/>
                <w:szCs w:val="20"/>
                <w:color w:val="auto"/>
              </w:rPr>
            </w:pPr>
            <w:r>
              <w:rPr>
                <w:rFonts w:ascii="Arial" w:cs="Arial" w:eastAsia="Arial" w:hAnsi="Arial"/>
                <w:sz w:val="14"/>
                <w:szCs w:val="14"/>
                <w:b w:val="1"/>
                <w:bCs w:val="1"/>
                <w:color w:val="auto"/>
              </w:rPr>
              <w:t>Six Months Ended June 30, 2022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282"/>
              <w:spacing w:after="0" w:line="128"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221"/>
              <w:spacing w:after="0" w:line="128"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1"/>
                <w:szCs w:val="11"/>
                <w:color w:val="auto"/>
              </w:rPr>
            </w:pPr>
          </w:p>
        </w:tc>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Eliminations/Reclassifications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6"/>
              </w:rPr>
              <w:t>Automotive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2"/>
              </w:rPr>
              <w:t>Financial</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62,904</w:t>
            </w:r>
          </w:p>
        </w:tc>
        <w:tc>
          <w:tcPr>
            <w:tcW w:w="0" w:type="dxa"/>
            <w:vAlign w:val="bottom"/>
          </w:tcPr>
          <w:p>
            <w:pPr>
              <w:spacing w:after="0"/>
              <w:rPr>
                <w:sz w:val="1"/>
                <w:szCs w:val="1"/>
                <w:color w:val="auto"/>
              </w:rPr>
            </w:pPr>
          </w:p>
        </w:tc>
      </w:tr>
      <w:tr>
        <w:trPr>
          <w:trHeight w:val="212"/>
        </w:trPr>
        <w:tc>
          <w:tcPr>
            <w:tcW w:w="280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8"/>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w:t>
            </w:r>
          </w:p>
        </w:tc>
        <w:tc>
          <w:tcPr>
            <w:tcW w:w="0" w:type="dxa"/>
            <w:vAlign w:val="bottom"/>
          </w:tcPr>
          <w:p>
            <w:pPr>
              <w:spacing w:after="0"/>
              <w:rPr>
                <w:sz w:val="1"/>
                <w:szCs w:val="1"/>
                <w:color w:val="auto"/>
              </w:rPr>
            </w:pPr>
          </w:p>
        </w:tc>
      </w:tr>
      <w:tr>
        <w:trPr>
          <w:trHeight w:val="206"/>
        </w:trPr>
        <w:tc>
          <w:tcPr>
            <w:tcW w:w="280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58,216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65,437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65,437</w:t>
            </w:r>
          </w:p>
        </w:tc>
        <w:tc>
          <w:tcPr>
            <w:tcW w:w="0" w:type="dxa"/>
            <w:vAlign w:val="bottom"/>
          </w:tcPr>
          <w:p>
            <w:pPr>
              <w:spacing w:after="0"/>
              <w:rPr>
                <w:sz w:val="1"/>
                <w:szCs w:val="1"/>
                <w:color w:val="auto"/>
              </w:rPr>
            </w:pPr>
          </w:p>
        </w:tc>
      </w:tr>
      <w:tr>
        <w:trPr>
          <w:trHeight w:val="218"/>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4,056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0" w:type="dxa"/>
            <w:vAlign w:val="bottom"/>
          </w:tcPr>
          <w:p>
            <w:pPr>
              <w:spacing w:after="0"/>
              <w:rPr>
                <w:sz w:val="1"/>
                <w:szCs w:val="1"/>
                <w:color w:val="auto"/>
              </w:rPr>
            </w:pPr>
          </w:p>
        </w:tc>
      </w:tr>
      <w:tr>
        <w:trPr>
          <w:trHeight w:val="212"/>
        </w:trPr>
        <w:tc>
          <w:tcPr>
            <w:tcW w:w="280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8"/>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6"/>
        </w:trPr>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6,302</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6,301</w:t>
            </w:r>
          </w:p>
        </w:tc>
        <w:tc>
          <w:tcPr>
            <w:tcW w:w="0" w:type="dxa"/>
            <w:vAlign w:val="bottom"/>
          </w:tcPr>
          <w:p>
            <w:pPr>
              <w:spacing w:after="0"/>
              <w:rPr>
                <w:sz w:val="1"/>
                <w:szCs w:val="1"/>
                <w:color w:val="auto"/>
              </w:rPr>
            </w:pPr>
          </w:p>
        </w:tc>
      </w:tr>
      <w:tr>
        <w:trPr>
          <w:trHeight w:val="231"/>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6,302</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71,738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Revenue is measured as the amount of consideration we expect to receive in exchange for transferring goods or providing services. Adjustments to sales incentives for previously recognized sales increased revenue by an insignificant amount and $320 million in the three months ended June 30, 2023 and 2022.</w:t>
      </w:r>
    </w:p>
    <w:p>
      <w:pPr>
        <w:spacing w:after="0" w:line="101"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Contract liabilities in our Automotive segments primarily consist of maintenance, extended warranty and other service contracts of $4.5 billion and $3.3 billion at June 30, 2023 and December 31, 2022, which are included in Accrued liabilities and Other liabilities. We recognized revenue of $410 million and $818 million related to contract liabilities in the three and six months ended June 30, 2023 and $307 million and $726 million in the three and six months ended June 30, 2022. We expect to recognize revenue of $915 million in the six months ending December 31, 2023 and $1.2 billion, $1.0 billion and $1.3 billion in the years ending December 31, 2024, 2025 and thereafter related to contract liabilities at June 30, 2023.</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and Other Securities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time deposits</w:t>
            </w:r>
          </w:p>
        </w:tc>
        <w:tc>
          <w:tcPr>
            <w:tcW w:w="9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and agencies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cash equivalents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cash and cash equivalents(a)</w:t>
            </w:r>
          </w:p>
        </w:tc>
        <w:tc>
          <w:tcPr>
            <w:tcW w:w="92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23,074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debt securities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36"/>
        </w:trPr>
        <w:tc>
          <w:tcPr>
            <w:tcW w:w="6780" w:type="dxa"/>
            <w:vAlign w:val="bottom"/>
          </w:tcPr>
          <w:p>
            <w:pPr>
              <w:ind w:left="22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5"/>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marketable securities(b)</w:t>
            </w:r>
          </w:p>
        </w:tc>
        <w:tc>
          <w:tcPr>
            <w:tcW w:w="92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9,556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12,150</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8"/>
                <w:szCs w:val="18"/>
                <w:color w:val="auto"/>
              </w:rPr>
              <w:t>Total restricted cash</w:t>
            </w:r>
          </w:p>
        </w:tc>
        <w:tc>
          <w:tcPr>
            <w:tcW w:w="920" w:type="dxa"/>
            <w:vAlign w:val="bottom"/>
          </w:tcPr>
          <w:p>
            <w:pPr>
              <w:spacing w:after="0"/>
              <w:rPr>
                <w:sz w:val="20"/>
                <w:szCs w:val="20"/>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3,680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46"/>
        </w:trPr>
        <w:tc>
          <w:tcPr>
            <w:tcW w:w="67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7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w w:val="99"/>
              </w:rPr>
              <w:t>Available-for-sale debt securities included above with contractual maturities(c)</w:t>
            </w:r>
          </w:p>
        </w:tc>
        <w:tc>
          <w:tcPr>
            <w:tcW w:w="9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$1.9 billion and $1.5 billion in Cruise at June 30, 2023 and December 31, 2022.</w:t>
      </w:r>
    </w:p>
    <w:p>
      <w:pPr>
        <w:spacing w:after="0" w:line="4" w:lineRule="exact"/>
        <w:rPr>
          <w:rFonts w:ascii="Arial" w:cs="Arial" w:eastAsia="Arial" w:hAnsi="Arial"/>
          <w:sz w:val="16"/>
          <w:szCs w:val="16"/>
          <w:color w:val="auto"/>
        </w:rPr>
      </w:pPr>
    </w:p>
    <w:p>
      <w:pPr>
        <w:ind w:left="340" w:hanging="333"/>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$215 million and $1.4 billion in Cruise at June 30, 2023 and December 31, 2022.</w:t>
      </w:r>
    </w:p>
    <w:p>
      <w:pPr>
        <w:spacing w:after="0" w:line="7" w:lineRule="exact"/>
        <w:rPr>
          <w:rFonts w:ascii="Arial" w:cs="Arial" w:eastAsia="Arial" w:hAnsi="Arial"/>
          <w:sz w:val="16"/>
          <w:szCs w:val="16"/>
          <w:color w:val="auto"/>
        </w:rPr>
      </w:pPr>
    </w:p>
    <w:p>
      <w:pPr>
        <w:ind w:left="340" w:hanging="333"/>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 of $588 million at June 30, 2023 as these securities are not due at a single maturity date.</w:t>
      </w:r>
    </w:p>
    <w:p>
      <w:pPr>
        <w:spacing w:after="0" w:line="237" w:lineRule="exact"/>
        <w:rPr>
          <w:sz w:val="20"/>
          <w:szCs w:val="20"/>
          <w:color w:val="auto"/>
        </w:rPr>
      </w:pPr>
    </w:p>
    <w:p>
      <w:pPr>
        <w:jc w:val="both"/>
        <w:ind w:firstLine="161"/>
        <w:spacing w:after="0" w:line="295" w:lineRule="auto"/>
        <w:rPr>
          <w:sz w:val="20"/>
          <w:szCs w:val="20"/>
          <w:color w:val="auto"/>
        </w:rPr>
      </w:pPr>
      <w:r>
        <w:rPr>
          <w:rFonts w:ascii="Arial" w:cs="Arial" w:eastAsia="Arial" w:hAnsi="Arial"/>
          <w:sz w:val="16"/>
          <w:szCs w:val="16"/>
          <w:color w:val="auto"/>
        </w:rPr>
        <w:t>Proceeds from the sale of available-for-sale debt securities sold prior to maturity were $638 million and $494 million in the three months ended June 30, 2023 and 2022 and $1.0 billion in the six months ended June 30, 2023 and 2022. Net unrealized losses on available-for-sale debt securities were insignificant in the three months ended June 30, 2023 and 2022. Net unrealized gains on available-for-sale debt securities were insignificant in the six months ended June 30, 2023 and net unrealized losses on available-for-sale debt securities were $261 million in the six months ended June 30, 2022. Cumulative unrealized losses on available-for-sale debt securities were $303 million and $344 million at June 30, 2023 and December 31, 2022.</w:t>
      </w:r>
    </w:p>
    <w:p>
      <w:pPr>
        <w:spacing w:after="0" w:line="186"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to the total shown in the condensed consolidated statement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334"/>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23,074</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42"/>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50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Arial" w:cs="Arial" w:eastAsia="Arial" w:hAnsi="Arial"/>
                <w:sz w:val="18"/>
                <w:szCs w:val="18"/>
                <w:color w:val="auto"/>
              </w:rPr>
              <w:t>Total</w:t>
            </w:r>
          </w:p>
        </w:tc>
        <w:tc>
          <w:tcPr>
            <w:tcW w:w="50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080" w:type="dxa"/>
            <w:vAlign w:val="bottom"/>
            <w:vMerge w:val="restart"/>
          </w:tcPr>
          <w:p>
            <w:pPr>
              <w:jc w:val="right"/>
              <w:ind w:right="3830"/>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3"/>
        </w:trPr>
        <w:tc>
          <w:tcPr>
            <w:tcW w:w="45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 and Transactions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78"/>
              <w:spacing w:after="0"/>
              <w:rPr>
                <w:sz w:val="20"/>
                <w:szCs w:val="20"/>
                <w:color w:val="auto"/>
              </w:rPr>
            </w:pPr>
            <w:r>
              <w:rPr>
                <w:rFonts w:ascii="Arial" w:cs="Arial" w:eastAsia="Arial" w:hAnsi="Arial"/>
                <w:sz w:val="14"/>
                <w:szCs w:val="14"/>
                <w:b w:val="1"/>
                <w:bCs w:val="1"/>
                <w:color w:val="auto"/>
                <w:w w:val="94"/>
              </w:rPr>
              <w:t>June 30, 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December 31, 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Commercial(a)</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Retail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Commercial(a)</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69,722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80,843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65,322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76,310</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1"/>
              </w:rPr>
              <w:t>(2,166)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(2,202)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4"/>
              </w:rPr>
              <w:t>(2,062)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(2,096)</w:t>
            </w:r>
          </w:p>
        </w:tc>
        <w:tc>
          <w:tcPr>
            <w:tcW w:w="0" w:type="dxa"/>
            <w:vAlign w:val="bottom"/>
          </w:tcPr>
          <w:p>
            <w:pPr>
              <w:spacing w:after="0"/>
              <w:rPr>
                <w:sz w:val="1"/>
                <w:szCs w:val="1"/>
                <w:color w:val="auto"/>
              </w:rPr>
            </w:pPr>
          </w:p>
        </w:tc>
      </w:tr>
      <w:tr>
        <w:trPr>
          <w:trHeight w:val="24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67,557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78,641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63,260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74,214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6"/>
              </w:rPr>
              <w:t>Fair value of GM Financial receivables utilizing Level 2</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11,084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w w:val="98"/>
              </w:rPr>
              <w:t>10,954</w:t>
            </w:r>
          </w:p>
        </w:tc>
        <w:tc>
          <w:tcPr>
            <w:tcW w:w="0" w:type="dxa"/>
            <w:vAlign w:val="bottom"/>
          </w:tcPr>
          <w:p>
            <w:pPr>
              <w:spacing w:after="0"/>
              <w:rPr>
                <w:sz w:val="1"/>
                <w:szCs w:val="1"/>
                <w:color w:val="auto"/>
              </w:rPr>
            </w:pPr>
          </w:p>
        </w:tc>
      </w:tr>
      <w:tr>
        <w:trPr>
          <w:trHeight w:val="242"/>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inputs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5" w:lineRule="exact"/>
              <w:rPr>
                <w:sz w:val="20"/>
                <w:szCs w:val="20"/>
                <w:color w:val="auto"/>
              </w:rPr>
            </w:pPr>
            <w:r>
              <w:rPr>
                <w:rFonts w:ascii="Arial" w:cs="Arial" w:eastAsia="Arial" w:hAnsi="Arial"/>
                <w:sz w:val="18"/>
                <w:szCs w:val="18"/>
                <w:color w:val="auto"/>
                <w:w w:val="96"/>
              </w:rPr>
              <w:t>Fair value of GM Financial receivables utilizing Level 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ind w:left="160"/>
              <w:spacing w:after="0"/>
              <w:rPr>
                <w:sz w:val="20"/>
                <w:szCs w:val="20"/>
                <w:color w:val="auto"/>
              </w:rPr>
            </w:pPr>
            <w:r>
              <w:rPr>
                <w:rFonts w:ascii="Arial" w:cs="Arial" w:eastAsia="Arial" w:hAnsi="Arial"/>
                <w:sz w:val="18"/>
                <w:szCs w:val="18"/>
                <w:color w:val="auto"/>
              </w:rPr>
              <w:t>66,754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ind w:left="160"/>
              <w:spacing w:after="0"/>
              <w:rPr>
                <w:sz w:val="20"/>
                <w:szCs w:val="20"/>
                <w:color w:val="auto"/>
              </w:rPr>
            </w:pPr>
            <w:r>
              <w:rPr>
                <w:rFonts w:ascii="Arial" w:cs="Arial" w:eastAsia="Arial" w:hAnsi="Arial"/>
                <w:sz w:val="18"/>
                <w:szCs w:val="18"/>
                <w:color w:val="auto"/>
                <w:w w:val="98"/>
              </w:rPr>
              <w:t>62,150</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inputs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307"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$2.3 billion and $1.9 billion at June 30, 2023 and December 31, 2022. Under the cash management program, subject to certain conditions, a dealer may choose to reduce the amount of interest on its floorplan line by making principal payments to GM Financial in advance.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0"/>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2022</w:t>
            </w:r>
          </w:p>
        </w:tc>
      </w:tr>
      <w:tr>
        <w:trPr>
          <w:trHeight w:val="23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loan losses at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28"/>
        </w:trPr>
        <w:tc>
          <w:tcPr>
            <w:tcW w:w="456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8"/>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36"/>
        </w:trPr>
        <w:tc>
          <w:tcPr>
            <w:tcW w:w="456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5"/>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and other</w:t>
            </w: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Allowance for loan losses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allowance for loan losses as a percentage of finance receivables, net was 2.7% at June 30, 2023 and December 31, 2022.</w:t>
      </w:r>
    </w:p>
    <w:p>
      <w:pPr>
        <w:spacing w:after="0" w:line="250"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b w:val="1"/>
          <w:bCs w:val="1"/>
          <w:i w:val="1"/>
          <w:iCs w:val="1"/>
          <w:color w:val="auto"/>
        </w:rPr>
        <w:t xml:space="preserve">Retail Finance Receivables </w:t>
      </w:r>
      <w:r>
        <w:rPr>
          <w:rFonts w:ascii="Arial" w:cs="Arial" w:eastAsia="Arial" w:hAnsi="Arial"/>
          <w:sz w:val="17"/>
          <w:szCs w:val="17"/>
          <w:color w:val="auto"/>
        </w:rPr>
        <w:t>GM Financial's retail finance receivable portfolio includes loans made to consumers and businesses to finance the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vehicles for personal and commercial use. The following tables are consolidated summaries of the retail finance receivables by FICO score or its equivalent, determined at origination, for each vintage of the retail finance receivables portfolio at June 30, 2023 and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of Origination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June 30, 2023</w:t>
            </w:r>
          </w:p>
        </w:tc>
      </w:tr>
      <w:tr>
        <w:trPr>
          <w:trHeight w:val="25"/>
        </w:trPr>
        <w:tc>
          <w:tcPr>
            <w:tcW w:w="3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0"/>
        </w:trPr>
        <w:tc>
          <w:tcPr>
            <w:tcW w:w="3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21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 – FICO score 680 and greater</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74.3 %</w:t>
            </w:r>
          </w:p>
        </w:tc>
      </w:tr>
      <w:tr>
        <w:trPr>
          <w:trHeight w:val="212"/>
        </w:trPr>
        <w:tc>
          <w:tcPr>
            <w:tcW w:w="3760" w:type="dxa"/>
            <w:vAlign w:val="bottom"/>
          </w:tcPr>
          <w:p>
            <w:pPr>
              <w:ind w:left="20"/>
              <w:spacing w:after="0"/>
              <w:rPr>
                <w:sz w:val="20"/>
                <w:szCs w:val="20"/>
                <w:color w:val="auto"/>
              </w:rPr>
            </w:pPr>
            <w:r>
              <w:rPr>
                <w:rFonts w:ascii="Arial" w:cs="Arial" w:eastAsia="Arial" w:hAnsi="Arial"/>
                <w:sz w:val="16"/>
                <w:szCs w:val="16"/>
                <w:color w:val="auto"/>
              </w:rPr>
              <w:t>Near-prime – FICO score 620 to 679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8,615</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12.4 %</w:t>
            </w:r>
          </w:p>
        </w:tc>
      </w:tr>
      <w:tr>
        <w:trPr>
          <w:trHeight w:val="20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Sub-prime – FICO score less than 620</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9,274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13.3 %</w:t>
            </w:r>
          </w:p>
        </w:tc>
      </w:tr>
      <w:tr>
        <w:trPr>
          <w:trHeight w:val="195"/>
        </w:trPr>
        <w:tc>
          <w:tcPr>
            <w:tcW w:w="3760" w:type="dxa"/>
            <w:vAlign w:val="bottom"/>
          </w:tcPr>
          <w:p>
            <w:pPr>
              <w:ind w:left="20"/>
              <w:spacing w:after="0"/>
              <w:rPr>
                <w:sz w:val="20"/>
                <w:szCs w:val="20"/>
                <w:color w:val="auto"/>
              </w:rPr>
            </w:pPr>
            <w:r>
              <w:rPr>
                <w:rFonts w:ascii="Arial" w:cs="Arial" w:eastAsia="Arial" w:hAnsi="Arial"/>
                <w:sz w:val="16"/>
                <w:szCs w:val="16"/>
                <w:color w:val="auto"/>
              </w:rPr>
              <w:t>Retail finance receivables, net of fees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16,636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24,419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15,558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8,830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2,909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1,369</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69,722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Prime – FICO score 680 and greater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Near-prime – FICO score 620 to 679</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Sub-prime – FICO score less than 620</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Retail finance receivables, net of fees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8"/>
        </w:trPr>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90"/>
        </w:trPr>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22,677</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13,399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7,991</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2,254</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1,019</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47,543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72.8 %</w:t>
            </w:r>
          </w:p>
        </w:tc>
      </w:tr>
      <w:tr>
        <w:trPr>
          <w:trHeight w:val="215"/>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8,392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12.8 %</w:t>
            </w:r>
          </w:p>
        </w:tc>
      </w:tr>
      <w:tr>
        <w:trPr>
          <w:trHeight w:val="202"/>
        </w:trPr>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9,388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14.4 %</w:t>
            </w:r>
          </w:p>
        </w:tc>
      </w:tr>
      <w:tr>
        <w:trPr>
          <w:trHeight w:val="25"/>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178"/>
        </w:trPr>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29,090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18,745</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11,081</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3,992</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1,824</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65,322</w:t>
            </w: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4"/>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-570865</wp:posOffset>
            </wp:positionV>
            <wp:extent cx="713295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-297815</wp:posOffset>
            </wp:positionV>
            <wp:extent cx="7132955"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125"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$661 million and $685 million at June 30, 2023 and December 31, 2022. The following tables are consolidated summaries of the amortized cost of retail finance receivables by delinquency status, for each vintage of the portfolio at June 30, 2023 and December 31, 2022, as well as summary totals for June 30,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w w:val="99"/>
              </w:rPr>
              <w:t>Year of Origination</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94"/>
        </w:trPr>
        <w:tc>
          <w:tcPr>
            <w:tcW w:w="2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28"/>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16,532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67,957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97.5 %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97.5 %</w:t>
            </w:r>
          </w:p>
        </w:tc>
        <w:tc>
          <w:tcPr>
            <w:tcW w:w="0" w:type="dxa"/>
            <w:vAlign w:val="bottom"/>
          </w:tcPr>
          <w:p>
            <w:pPr>
              <w:spacing w:after="0"/>
              <w:rPr>
                <w:sz w:val="1"/>
                <w:szCs w:val="1"/>
                <w:color w:val="auto"/>
              </w:rPr>
            </w:pPr>
          </w:p>
        </w:tc>
      </w:tr>
      <w:tr>
        <w:trPr>
          <w:trHeight w:val="228"/>
        </w:trPr>
        <w:tc>
          <w:tcPr>
            <w:tcW w:w="222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1,284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1,129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28"/>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line="167" w:lineRule="exact"/>
              <w:rPr>
                <w:sz w:val="20"/>
                <w:szCs w:val="20"/>
                <w:color w:val="auto"/>
              </w:rPr>
            </w:pPr>
            <w:r>
              <w:rPr>
                <w:rFonts w:ascii="Arial" w:cs="Arial" w:eastAsia="Arial" w:hAnsi="Arial"/>
                <w:sz w:val="18"/>
                <w:szCs w:val="18"/>
                <w:color w:val="auto"/>
                <w:w w:val="88"/>
              </w:rPr>
              <w:t>Finance receivables more than</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180"/>
              <w:spacing w:after="0"/>
              <w:rPr>
                <w:sz w:val="20"/>
                <w:szCs w:val="20"/>
                <w:color w:val="auto"/>
              </w:rPr>
            </w:pPr>
            <w:r>
              <w:rPr>
                <w:rFonts w:ascii="Arial" w:cs="Arial" w:eastAsia="Arial" w:hAnsi="Arial"/>
                <w:sz w:val="18"/>
                <w:szCs w:val="18"/>
                <w:color w:val="auto"/>
              </w:rPr>
              <w:t>30 days delinquent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1,714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1,484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228"/>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67"/>
        </w:trPr>
        <w:tc>
          <w:tcPr>
            <w:tcW w:w="2220" w:type="dxa"/>
            <w:vAlign w:val="bottom"/>
          </w:tcPr>
          <w:p>
            <w:pPr>
              <w:ind w:left="20"/>
              <w:spacing w:after="0" w:line="167" w:lineRule="exact"/>
              <w:rPr>
                <w:sz w:val="20"/>
                <w:szCs w:val="20"/>
                <w:color w:val="auto"/>
              </w:rPr>
            </w:pPr>
            <w:r>
              <w:rPr>
                <w:rFonts w:ascii="Arial" w:cs="Arial" w:eastAsia="Arial" w:hAnsi="Arial"/>
                <w:sz w:val="18"/>
                <w:szCs w:val="18"/>
                <w:color w:val="auto"/>
                <w:w w:val="88"/>
              </w:rPr>
              <w:t>Finance receivables more than</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180"/>
              <w:spacing w:after="0" w:line="176" w:lineRule="exact"/>
              <w:rPr>
                <w:sz w:val="20"/>
                <w:szCs w:val="20"/>
                <w:color w:val="auto"/>
              </w:rPr>
            </w:pPr>
            <w:r>
              <w:rPr>
                <w:rFonts w:ascii="Arial" w:cs="Arial" w:eastAsia="Arial" w:hAnsi="Arial"/>
                <w:sz w:val="18"/>
                <w:szCs w:val="18"/>
                <w:color w:val="auto"/>
              </w:rPr>
              <w:t>30 days delinquent or in</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repossession</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1,765</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1,527</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67"/>
        </w:trPr>
        <w:tc>
          <w:tcPr>
            <w:tcW w:w="222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w w:val="90"/>
              </w:rPr>
              <w:t>Retail finance receivables, net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16,636</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24,419</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15,558</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8,830</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2,909</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69,722</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61,208</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22"/>
        </w:trPr>
        <w:tc>
          <w:tcPr>
            <w:tcW w:w="2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of fees</w:t>
            </w:r>
          </w:p>
        </w:tc>
        <w:tc>
          <w:tcPr>
            <w:tcW w:w="1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Year of Origination</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December 31, 2022</w:t>
            </w:r>
          </w:p>
        </w:tc>
      </w:tr>
      <w:tr>
        <w:trPr>
          <w:trHeight w:val="194"/>
        </w:trPr>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Prior</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Percent</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63,426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97.1 %</w:t>
            </w:r>
          </w:p>
        </w:tc>
      </w:tr>
      <w:tr>
        <w:trPr>
          <w:trHeight w:val="228"/>
        </w:trPr>
        <w:tc>
          <w:tcPr>
            <w:tcW w:w="230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2.1 %</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0.7 %</w:t>
            </w:r>
          </w:p>
        </w:tc>
      </w:tr>
      <w:tr>
        <w:trPr>
          <w:trHeight w:val="168"/>
        </w:trPr>
        <w:tc>
          <w:tcPr>
            <w:tcW w:w="2300" w:type="dxa"/>
            <w:vAlign w:val="bottom"/>
            <w:tcBorders>
              <w:top w:val="single" w:sz="8" w:color="CCEEFF"/>
            </w:tcBorders>
          </w:tcPr>
          <w:p>
            <w:pPr>
              <w:ind w:left="20"/>
              <w:spacing w:after="0" w:line="168" w:lineRule="exact"/>
              <w:rPr>
                <w:sz w:val="20"/>
                <w:szCs w:val="20"/>
                <w:color w:val="auto"/>
              </w:rPr>
            </w:pPr>
            <w:r>
              <w:rPr>
                <w:rFonts w:ascii="Arial" w:cs="Arial" w:eastAsia="Arial" w:hAnsi="Arial"/>
                <w:sz w:val="18"/>
                <w:szCs w:val="18"/>
                <w:color w:val="auto"/>
                <w:w w:val="91"/>
              </w:rPr>
              <w:t>Finance receivables more than</w:t>
            </w: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28"/>
        </w:trPr>
        <w:tc>
          <w:tcPr>
            <w:tcW w:w="2300" w:type="dxa"/>
            <w:vAlign w:val="bottom"/>
          </w:tcPr>
          <w:p>
            <w:pPr>
              <w:ind w:left="180"/>
              <w:spacing w:after="0"/>
              <w:rPr>
                <w:sz w:val="20"/>
                <w:szCs w:val="20"/>
                <w:color w:val="auto"/>
              </w:rPr>
            </w:pPr>
            <w:r>
              <w:rPr>
                <w:rFonts w:ascii="Arial" w:cs="Arial" w:eastAsia="Arial" w:hAnsi="Arial"/>
                <w:sz w:val="18"/>
                <w:szCs w:val="18"/>
                <w:color w:val="auto"/>
              </w:rPr>
              <w:t>30 days delinquent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1,857</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2.8 %</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68"/>
        </w:trPr>
        <w:tc>
          <w:tcPr>
            <w:tcW w:w="2300" w:type="dxa"/>
            <w:vAlign w:val="bottom"/>
            <w:tcBorders>
              <w:top w:val="single" w:sz="8" w:color="CCEEFF"/>
            </w:tcBorders>
          </w:tcPr>
          <w:p>
            <w:pPr>
              <w:ind w:left="20"/>
              <w:spacing w:after="0" w:line="168" w:lineRule="exact"/>
              <w:rPr>
                <w:sz w:val="20"/>
                <w:szCs w:val="20"/>
                <w:color w:val="auto"/>
              </w:rPr>
            </w:pPr>
            <w:r>
              <w:rPr>
                <w:rFonts w:ascii="Arial" w:cs="Arial" w:eastAsia="Arial" w:hAnsi="Arial"/>
                <w:sz w:val="18"/>
                <w:szCs w:val="18"/>
                <w:color w:val="auto"/>
                <w:w w:val="91"/>
              </w:rPr>
              <w:t>Finance receivables more than</w:t>
            </w: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75"/>
        </w:trPr>
        <w:tc>
          <w:tcPr>
            <w:tcW w:w="2300" w:type="dxa"/>
            <w:vAlign w:val="bottom"/>
          </w:tcPr>
          <w:p>
            <w:pPr>
              <w:ind w:left="180"/>
              <w:spacing w:after="0" w:line="175" w:lineRule="exact"/>
              <w:rPr>
                <w:sz w:val="20"/>
                <w:szCs w:val="20"/>
                <w:color w:val="auto"/>
              </w:rPr>
            </w:pPr>
            <w:r>
              <w:rPr>
                <w:rFonts w:ascii="Arial" w:cs="Arial" w:eastAsia="Arial" w:hAnsi="Arial"/>
                <w:sz w:val="18"/>
                <w:szCs w:val="18"/>
                <w:color w:val="auto"/>
              </w:rPr>
              <w:t>30 days delinquent or in</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8"/>
        </w:trPr>
        <w:tc>
          <w:tcPr>
            <w:tcW w:w="2300" w:type="dxa"/>
            <w:vAlign w:val="bottom"/>
          </w:tcPr>
          <w:p>
            <w:pPr>
              <w:ind w:left="180"/>
              <w:spacing w:after="0"/>
              <w:rPr>
                <w:sz w:val="20"/>
                <w:szCs w:val="20"/>
                <w:color w:val="auto"/>
              </w:rPr>
            </w:pPr>
            <w:r>
              <w:rPr>
                <w:rFonts w:ascii="Arial" w:cs="Arial" w:eastAsia="Arial" w:hAnsi="Arial"/>
                <w:sz w:val="18"/>
                <w:szCs w:val="18"/>
                <w:color w:val="auto"/>
              </w:rPr>
              <w:t>repossession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2.9 %</w:t>
            </w:r>
          </w:p>
        </w:tc>
      </w:tr>
      <w:tr>
        <w:trPr>
          <w:trHeight w:val="168"/>
        </w:trPr>
        <w:tc>
          <w:tcPr>
            <w:tcW w:w="23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4"/>
              </w:rPr>
              <w:t>Retail finance receivables, net</w:t>
            </w: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222"/>
        </w:trPr>
        <w:tc>
          <w:tcPr>
            <w:tcW w:w="23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of fees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There were no commercial finance receivables on nonaccrual status at June 30, 2023.</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 (Continued)</w:t>
      </w:r>
    </w:p>
    <w:p>
      <w:pPr>
        <w:spacing w:after="0" w:line="3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GM Financial's commercial risk model and risk rating categories are as follows:</w:t>
      </w:r>
    </w:p>
    <w:p>
      <w:pPr>
        <w:sectPr>
          <w:pgSz w:w="11900" w:h="16838" w:orient="portrait"/>
          <w:cols w:equalWidth="0" w:num="1">
            <w:col w:w="11240"/>
          </w:cols>
          <w:pgMar w:left="320" w:top="125"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Rating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16510</wp:posOffset>
            </wp:positionV>
            <wp:extent cx="7132955" cy="153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with strong to acceptable financial metrics with at least satisfactory capacity to meet financial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experiencing potential weakness in financial metrics and repayment prospects resulting in increased monitoring.</w:t>
      </w:r>
    </w:p>
    <w:p>
      <w:pPr>
        <w:spacing w:after="0" w:line="57" w:lineRule="exact"/>
        <w:rPr>
          <w:sz w:val="20"/>
          <w:szCs w:val="20"/>
          <w:color w:val="auto"/>
        </w:rPr>
      </w:pPr>
    </w:p>
    <w:p>
      <w:pPr>
        <w:ind w:left="160" w:right="520" w:hanging="160"/>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-255270</wp:posOffset>
            </wp:positionV>
            <wp:extent cx="7132955" cy="255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255905"/>
                    </a:xfrm>
                    <a:prstGeom prst="rect">
                      <a:avLst/>
                    </a:prstGeom>
                    <a:noFill/>
                  </pic:spPr>
                </pic:pic>
              </a:graphicData>
            </a:graphic>
          </wp:anchor>
        </w:drawing>
      </w:r>
    </w:p>
    <w:p>
      <w:pPr>
        <w:ind w:left="160" w:right="760" w:hanging="160"/>
        <w:spacing w:after="0" w:line="242"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80"/>
            <w:col w:w="10120"/>
          </w:cols>
          <w:pgMar w:left="320" w:top="125" w:right="339" w:bottom="1440" w:gutter="0" w:footer="0" w:header="0"/>
          <w:type w:val="continuous"/>
        </w:sectPr>
      </w:pPr>
    </w:p>
    <w:p>
      <w:pPr>
        <w:spacing w:after="0" w:line="120"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Dealers with III and IV risk ratings are subject to additional monitoring and restrictions on funding, including suspension of lines of credit and liquidation of assets. The following tables summarize the credit risk profile by dealer risk rating of commercial finance receivables at June 30, 2023 and December 31,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5"/>
          </w:tcPr>
          <w:p>
            <w:pPr>
              <w:ind w:left="60"/>
              <w:spacing w:after="0"/>
              <w:rPr>
                <w:sz w:val="20"/>
                <w:szCs w:val="20"/>
                <w:color w:val="auto"/>
              </w:rPr>
            </w:pPr>
            <w:r>
              <w:rPr>
                <w:rFonts w:ascii="Arial" w:cs="Arial" w:eastAsia="Arial" w:hAnsi="Arial"/>
                <w:sz w:val="14"/>
                <w:szCs w:val="14"/>
                <w:b w:val="1"/>
                <w:bCs w:val="1"/>
                <w:color w:val="auto"/>
                <w:w w:val="94"/>
              </w:rPr>
              <w:t>Year of Origination(a)</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right"/>
              <w:ind w:right="544"/>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Revolving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Prior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97.6 %</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IV</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1"/>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gridSpan w:val="18"/>
          </w:tcPr>
          <w:p>
            <w:pPr>
              <w:spacing w:after="0"/>
              <w:rPr>
                <w:sz w:val="20"/>
                <w:szCs w:val="20"/>
                <w:color w:val="auto"/>
              </w:rPr>
            </w:pPr>
            <w:r>
              <w:rPr>
                <w:rFonts w:ascii="Arial" w:cs="Arial" w:eastAsia="Arial" w:hAnsi="Arial"/>
                <w:sz w:val="16"/>
                <w:szCs w:val="16"/>
                <w:color w:val="auto"/>
                <w:w w:val="93"/>
              </w:rPr>
              <w:t>(a)  Floorplan advances comprise 95% of the total revolving balance. Dealer term loans are presented by year of origination.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3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4"/>
              </w:rPr>
              <w:t>Year of Origination(a)</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94"/>
        </w:trPr>
        <w:tc>
          <w:tcPr>
            <w:tcW w:w="30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Revolving</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Prior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98.2 %</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IV</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1"/>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Floorplan advances comprise 97% of the total revolving balance. Dealer term loans are presented by year of origination.</w:t>
      </w:r>
    </w:p>
    <w:p>
      <w:pPr>
        <w:spacing w:after="0" w:line="237"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r>
      <w:tr>
        <w:trPr>
          <w:trHeight w:val="228"/>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Balance Sheets(a)</w:t>
            </w:r>
          </w:p>
        </w:tc>
        <w:tc>
          <w:tcPr>
            <w:tcW w:w="24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Commercial finance receivables, net due from GM consolidated dealers</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1"/>
                <w:szCs w:val="2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Receivables from Cruise</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Subvention receivable(b)</w:t>
            </w:r>
          </w:p>
        </w:tc>
        <w:tc>
          <w:tcPr>
            <w:tcW w:w="2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Commercial loan funding payable</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r>
      <w:tr>
        <w:trPr>
          <w:trHeight w:val="89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460" w:type="dxa"/>
            <w:vAlign w:val="bottom"/>
          </w:tcPr>
          <w:p>
            <w:pPr>
              <w:jc w:val="right"/>
              <w:ind w:right="201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7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4"/>
          </w:tcPr>
          <w:p>
            <w:pPr>
              <w:jc w:val="right"/>
              <w:ind w:right="1036"/>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4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79"/>
        </w:trPr>
        <w:tc>
          <w:tcPr>
            <w:tcW w:w="4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 2022</w:t>
            </w:r>
          </w:p>
        </w:tc>
      </w:tr>
      <w:tr>
        <w:trPr>
          <w:trHeight w:val="224"/>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Statements of Income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8"/>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subvention earned on finance receivables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Leased vehicle subvention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782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1,047</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3"/>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11" w:lineRule="exact"/>
        <w:rPr>
          <w:rFonts w:ascii="Arial" w:cs="Arial" w:eastAsia="Arial" w:hAnsi="Arial"/>
          <w:sz w:val="16"/>
          <w:szCs w:val="16"/>
          <w:color w:val="auto"/>
        </w:rPr>
      </w:pPr>
    </w:p>
    <w:p>
      <w:pPr>
        <w:ind w:left="340" w:hanging="333"/>
        <w:spacing w:after="0" w:line="268"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Automotive segments made cash payments to GM Financial for subvention of $915 million and $561 million in the three months ended June 30, 2023 and 2022 and $1.7 billion and $1.0 billion in the six months ended June 30, 2023 and 2022.</w:t>
      </w:r>
    </w:p>
    <w:p>
      <w:pPr>
        <w:spacing w:after="0" w:line="212"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GM Financial's Board of Directors declared and paid dividends of $450 million and $750 million on its common stock in the three months ended June 30, 2023 and 2022 and $900 million and $750 million in the six months ended June 30, 2023 and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5"/>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productive material, supplies and work in process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4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Equipment on Operating Leases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7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820" w:type="dxa"/>
            <w:vAlign w:val="bottom"/>
          </w:tcPr>
          <w:p>
            <w:pPr>
              <w:ind w:left="160"/>
              <w:spacing w:after="0"/>
              <w:rPr>
                <w:sz w:val="20"/>
                <w:szCs w:val="20"/>
                <w:color w:val="auto"/>
              </w:rPr>
            </w:pPr>
            <w:r>
              <w:rPr>
                <w:rFonts w:ascii="Arial" w:cs="Arial" w:eastAsia="Arial" w:hAnsi="Arial"/>
                <w:sz w:val="18"/>
                <w:szCs w:val="18"/>
                <w:color w:val="auto"/>
              </w:rPr>
              <w:t>Equipment on operating leases consists of leases to retail customers of GM Financial.</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5"/>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0" w:type="dxa"/>
            <w:vAlign w:val="bottom"/>
          </w:tcPr>
          <w:p>
            <w:pPr>
              <w:spacing w:after="0"/>
              <w:rPr>
                <w:sz w:val="1"/>
                <w:szCs w:val="1"/>
                <w:color w:val="auto"/>
              </w:rPr>
            </w:pPr>
          </w:p>
        </w:tc>
      </w:tr>
      <w:tr>
        <w:trPr>
          <w:trHeight w:val="24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estimated residual value of our leased assets at the end of the lease term was $23.8 billion and $24.7 billion at June 30, 2023 and December 31, 2022.</w:t>
      </w:r>
    </w:p>
    <w:p>
      <w:pPr>
        <w:spacing w:after="0" w:line="25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Depreciation expense related to Equipment on operating leases, net was $1.2 billion in the three months ended June 30, 2023 and 2022 and $2.5 billion and $2.4 billion in the six months ended June 30, 2023 and 2022.</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00" w:type="dxa"/>
            <w:vAlign w:val="bottom"/>
            <w:gridSpan w:val="7"/>
          </w:tcPr>
          <w:p>
            <w:pPr>
              <w:jc w:val="right"/>
              <w:ind w:right="399"/>
              <w:spacing w:after="0"/>
              <w:rPr>
                <w:sz w:val="20"/>
                <w:szCs w:val="20"/>
                <w:color w:val="auto"/>
              </w:rPr>
            </w:pPr>
            <w:r>
              <w:rPr>
                <w:rFonts w:ascii="Arial" w:cs="Arial" w:eastAsia="Arial" w:hAnsi="Arial"/>
                <w:sz w:val="14"/>
                <w:szCs w:val="14"/>
                <w:b w:val="1"/>
                <w:bCs w:val="1"/>
                <w:color w:val="auto"/>
                <w:w w:val="90"/>
              </w:rPr>
              <w:t>Year Ending December 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3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28"/>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receipts under operating 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w:t>
            </w:r>
          </w:p>
        </w:tc>
      </w:tr>
      <w:tr>
        <w:trPr>
          <w:trHeight w:val="901"/>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6"/>
        </w:trPr>
        <w:tc>
          <w:tcPr>
            <w:tcW w:w="3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146"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5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0"/>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8"/>
              </w:rPr>
              <w:t>June 30, 2022</w:t>
            </w:r>
          </w:p>
        </w:tc>
      </w:tr>
      <w:tr>
        <w:trPr>
          <w:trHeight w:val="23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equity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795"/>
              <w:spacing w:after="0"/>
              <w:rPr>
                <w:sz w:val="20"/>
                <w:szCs w:val="20"/>
                <w:color w:val="auto"/>
              </w:rPr>
            </w:pPr>
            <w:r>
              <w:rPr>
                <w:rFonts w:ascii="Arial" w:cs="Arial" w:eastAsia="Arial" w:hAnsi="Arial"/>
                <w:sz w:val="18"/>
                <w:szCs w:val="18"/>
                <w:color w:val="auto"/>
                <w:w w:val="93"/>
              </w:rPr>
              <w:t>(87)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joint ventures equity income (loss)(a)</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89"/>
              </w:rPr>
              <w:t>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795"/>
              <w:spacing w:after="0"/>
              <w:rPr>
                <w:sz w:val="20"/>
                <w:szCs w:val="20"/>
                <w:color w:val="auto"/>
              </w:rPr>
            </w:pPr>
            <w:r>
              <w:rPr>
                <w:rFonts w:ascii="Arial" w:cs="Arial" w:eastAsia="Arial" w:hAnsi="Arial"/>
                <w:sz w:val="18"/>
                <w:szCs w:val="18"/>
                <w:color w:val="auto"/>
                <w:w w:val="93"/>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jc w:val="both"/>
        <w:ind w:left="340" w:hanging="333"/>
        <w:spacing w:after="0" w:line="270"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Equity earnings related to Ultium Cells Holdings LLC are presented in Automotive and other cost of sales as this entity is integral to the operations of our business by providing battery cells for our electric vehicles (EVs). In the three and six months ended June 30, 2023, equity earnings related to Ultium Cells Holdings LLC were insignificant.</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836"/>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5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June 30,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June 30, 2022</w:t>
            </w:r>
          </w:p>
        </w:tc>
      </w:tr>
      <w:tr>
        <w:trPr>
          <w:trHeight w:val="215"/>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Automotive China JVs' 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298</w:t>
            </w:r>
          </w:p>
        </w:tc>
      </w:tr>
    </w:tbl>
    <w:p>
      <w:pPr>
        <w:spacing w:after="0" w:line="186"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Dividends declared but not paid from our nonconsolidated affiliates were $265 million and an insignificant amount at June 30, 2023 and December 31, 2022. Dividends received from our nonconsolidated affiliates were $400 million and $413 million in the three and six months ended June 30, 2023 and insignificant in the three and six months ended June 30, 2022. Undistributed earnings from our nonconsolidated affiliates were $1.7 billion and $1.9 billion at June 30, 2023 and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Variable Interest Entities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GM Financial</w:t>
      </w:r>
    </w:p>
    <w:p>
      <w:pPr>
        <w:spacing w:after="0" w:line="119" w:lineRule="exact"/>
        <w:rPr>
          <w:sz w:val="20"/>
          <w:szCs w:val="20"/>
          <w:color w:val="auto"/>
        </w:rPr>
      </w:pPr>
    </w:p>
    <w:p>
      <w:pPr>
        <w:jc w:val="both"/>
        <w:ind w:firstLine="161"/>
        <w:spacing w:after="0" w:line="287"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2022</w:t>
            </w:r>
          </w:p>
        </w:tc>
      </w:tr>
      <w:tr>
        <w:trPr>
          <w:trHeight w:val="241"/>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 current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Restricted cash – non-current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 – current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w:t>
            </w:r>
          </w:p>
        </w:tc>
      </w:tr>
      <w:tr>
        <w:trPr>
          <w:trHeight w:val="236"/>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receivables, net of fees – non-current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19,319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18,748</w:t>
            </w:r>
          </w:p>
        </w:tc>
      </w:tr>
      <w:tr>
        <w:trPr>
          <w:trHeight w:val="23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18,456</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19,363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21,643</w:t>
            </w:r>
          </w:p>
        </w:tc>
      </w:tr>
      <w:tr>
        <w:trPr>
          <w:trHeight w:val="24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20,545</w:t>
            </w:r>
          </w:p>
        </w:tc>
      </w:tr>
    </w:tbl>
    <w:p>
      <w:pPr>
        <w:spacing w:after="0" w:line="308"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Automotive</w:t>
      </w:r>
    </w:p>
    <w:p>
      <w:pPr>
        <w:spacing w:after="0" w:line="119"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$2.2 billion and $1.6 billion and liabilities were insignificant related to our nonconsolidated VIEs at June 30, 2023 and December 31, 2022. Our maximum exposure to loss as a result of our involvement with these VIEs was approximately $3.4 billion and $3.3 billion, inclusive of approximately $1.0 billion and $1.4 billion in committed capital contributions to Ultium Cells Holdings LLC, at June 30, 2023 and December 31, 2022. Our maximum exposure to loss, and required capital contributions, could vary depending on Ultium Cells Holdings LLC's requirements and access to capital. We currently lack the power through voting or similar rights to direct the activities of these entities that most significantly affect their economic performance.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 2022</w:t>
            </w:r>
          </w:p>
        </w:tc>
      </w:tr>
      <w:tr>
        <w:trPr>
          <w:trHeight w:val="194"/>
        </w:trPr>
        <w:tc>
          <w:tcPr>
            <w:tcW w:w="5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Carrying Amount</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Carrying Amount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w:t>
            </w: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Unsecured debt(a)</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15,804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15,260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16,323</w:t>
            </w:r>
          </w:p>
        </w:tc>
      </w:tr>
      <w:tr>
        <w:trPr>
          <w:trHeight w:val="23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381</w:t>
            </w:r>
          </w:p>
        </w:tc>
      </w:tr>
      <w:tr>
        <w:trPr>
          <w:trHeight w:val="222"/>
        </w:trPr>
        <w:tc>
          <w:tcPr>
            <w:tcW w:w="5040" w:type="dxa"/>
            <w:vAlign w:val="bottom"/>
          </w:tcPr>
          <w:p>
            <w:pPr>
              <w:ind w:left="20"/>
              <w:spacing w:after="0"/>
              <w:rPr>
                <w:sz w:val="20"/>
                <w:szCs w:val="20"/>
                <w:color w:val="auto"/>
              </w:rPr>
            </w:pPr>
            <w:r>
              <w:rPr>
                <w:rFonts w:ascii="Arial" w:cs="Arial" w:eastAsia="Arial" w:hAnsi="Arial"/>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15,888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16,828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rPr>
              <w:t>Fair value utilizing Level 1 inputs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14,806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15,971</w:t>
            </w:r>
          </w:p>
        </w:tc>
      </w:tr>
      <w:tr>
        <w:trPr>
          <w:trHeight w:val="23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857</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13,549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15,095</w:t>
            </w:r>
          </w:p>
        </w:tc>
      </w:tr>
      <w:tr>
        <w:trPr>
          <w:trHeight w:val="236"/>
        </w:trPr>
        <w:tc>
          <w:tcPr>
            <w:tcW w:w="5040" w:type="dxa"/>
            <w:vAlign w:val="bottom"/>
          </w:tcPr>
          <w:p>
            <w:pPr>
              <w:ind w:left="20"/>
              <w:spacing w:after="0"/>
              <w:rPr>
                <w:sz w:val="20"/>
                <w:szCs w:val="20"/>
                <w:color w:val="auto"/>
              </w:rPr>
            </w:pPr>
            <w:r>
              <w:rPr>
                <w:rFonts w:ascii="Arial" w:cs="Arial" w:eastAsia="Arial" w:hAnsi="Arial"/>
                <w:sz w:val="18"/>
                <w:szCs w:val="18"/>
                <w:color w:val="auto"/>
                <w:w w:val="96"/>
              </w:rPr>
              <w:t>Weighted-average interest rate on outstanding short-term debt(d)</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3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Weighted-average interest rate on outstanding long-term debt(d)</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3"/>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consists of senior notes.</w:t>
      </w:r>
    </w:p>
    <w:p>
      <w:pPr>
        <w:spacing w:after="0" w:line="8" w:lineRule="exact"/>
        <w:rPr>
          <w:rFonts w:ascii="Arial" w:cs="Arial" w:eastAsia="Arial" w:hAnsi="Arial"/>
          <w:sz w:val="16"/>
          <w:szCs w:val="16"/>
          <w:color w:val="auto"/>
        </w:rPr>
      </w:pPr>
    </w:p>
    <w:p>
      <w:pPr>
        <w:ind w:left="340" w:hanging="333"/>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$540 million and $525 million at June 30, 2023 and December 31, 2022.</w:t>
      </w:r>
    </w:p>
    <w:p>
      <w:pPr>
        <w:spacing w:after="0" w:line="4" w:lineRule="exact"/>
        <w:rPr>
          <w:rFonts w:ascii="Arial" w:cs="Arial" w:eastAsia="Arial" w:hAnsi="Arial"/>
          <w:sz w:val="16"/>
          <w:szCs w:val="16"/>
          <w:color w:val="auto"/>
        </w:rPr>
      </w:pPr>
    </w:p>
    <w:p>
      <w:pPr>
        <w:ind w:left="340" w:hanging="333"/>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our 364-day, $2.0 billion facility allocated for exclusive use by GM Financial.</w:t>
      </w:r>
    </w:p>
    <w:p>
      <w:pPr>
        <w:spacing w:after="0" w:line="7" w:lineRule="exact"/>
        <w:rPr>
          <w:rFonts w:ascii="Arial" w:cs="Arial" w:eastAsia="Arial" w:hAnsi="Arial"/>
          <w:sz w:val="16"/>
          <w:szCs w:val="16"/>
          <w:color w:val="auto"/>
        </w:rPr>
      </w:pPr>
    </w:p>
    <w:p>
      <w:pPr>
        <w:ind w:left="340" w:hanging="333"/>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March 2023, we redeemed our $1.5 billion, 4.875% senior unsecured notes with a maturity date of October 2023 and recorded an insignificant loss.</w:t>
      </w:r>
    </w:p>
    <w:p>
      <w:pPr>
        <w:spacing w:after="0" w:line="273"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Also, in March 2023, we renewed and reduced the total borrowing capacity of our five-year, $11.2 billion facility to $10.0 billion, which now matures March 31, 2028. We also renewed and reduced the total borrowing capacity of our three-year, $4.3 billion facility to $4.1 billion, which now matures March 31, 2026, and renewed our 364-day, $2.0 billion revolving credit facility allocated for the exclusive use of GM Financial, which now matures March 30, 2024. The renewed credit facilities are based on Term Secured Overnight Financing Rate (Term SOFR) whereas the previous credit facilities were based on the London Interbank Offered Rate (LIBOR).</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December 31, 2022</w:t>
            </w:r>
          </w:p>
        </w:tc>
      </w:tr>
      <w:tr>
        <w:trPr>
          <w:trHeight w:val="194"/>
        </w:trPr>
        <w:tc>
          <w:tcPr>
            <w:tcW w:w="5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Carrying Amount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Carrying 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41,467</w:t>
            </w:r>
          </w:p>
        </w:tc>
      </w:tr>
      <w:tr>
        <w:trPr>
          <w:trHeight w:val="24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debt</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52,270</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2,192</w:t>
            </w:r>
          </w:p>
        </w:tc>
      </w:tr>
    </w:tbl>
    <w:p>
      <w:pPr>
        <w:spacing w:after="0" w:line="320"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assets. Refer to Note 8 to our condensed consolidated financial statements for additional information on GM Financial's involvement with VIEs. In the six months ended June 30, 2023, GM Financial renewed revolving credit facilities with total borrowing capacity of $10.6 billion and issued $12.6 billion in aggregate principal amount of securitization notes payable with an initial weighted-average interest rate of 5.34% and maturity dates ranging from 2027 to 2035.</w:t>
      </w:r>
    </w:p>
    <w:p>
      <w:pPr>
        <w:spacing w:after="0" w:line="217"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Unsecured debt consists of senior notes, credit facilities and other unsecured debt. In the six months ended June 30, 2023, GM Financial issued $8.3 billion in aggregate principal amount of senior notes with an initial weighted-average interest rate of 5.51% and maturity dates ranging from 2026 to 2033.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Derivatives not designated as hedges(a)</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currency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derivative financial instruments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9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3"/>
        </w:trPr>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42"/>
        </w:trPr>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-485775</wp:posOffset>
            </wp:positionV>
            <wp:extent cx="7115810" cy="153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810" cy="153670"/>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-187325</wp:posOffset>
            </wp:positionV>
            <wp:extent cx="7115810" cy="170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810" cy="170815"/>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6080" w:space="720"/>
            <w:col w:w="444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55"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June 30, 2023 and December 31, 2022 and the gains/losses included in our condensed consolidated income statements for the three and six months ended June 30, 2023 and 2022 were insignificant, unless otherwise noted.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December 31, 2022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Pr>
          <w:p>
            <w:pPr>
              <w:spacing w:after="0"/>
              <w:rPr>
                <w:sz w:val="12"/>
                <w:szCs w:val="12"/>
                <w:color w:val="auto"/>
              </w:rPr>
            </w:pPr>
          </w:p>
        </w:tc>
        <w:tc>
          <w:tcPr>
            <w:tcW w:w="940" w:type="dxa"/>
            <w:vAlign w:val="bottom"/>
          </w:tcPr>
          <w:p>
            <w:pPr>
              <w:jc w:val="right"/>
              <w:ind w:right="36"/>
              <w:spacing w:after="0" w:line="139" w:lineRule="exact"/>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Pr>
          <w:p>
            <w:pPr>
              <w:spacing w:after="0"/>
              <w:rPr>
                <w:sz w:val="12"/>
                <w:szCs w:val="12"/>
                <w:color w:val="auto"/>
              </w:rPr>
            </w:pPr>
          </w:p>
        </w:tc>
        <w:tc>
          <w:tcPr>
            <w:tcW w:w="92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w w:val="99"/>
              </w:rPr>
              <w:t>Fair Value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56"/>
              <w:spacing w:after="0" w:line="13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Assets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56"/>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23,528</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swaps(b)</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5"/>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4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 financial instruments(c)</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jc w:val="both"/>
        <w:ind w:left="340" w:hanging="333"/>
        <w:spacing w:after="0" w:line="25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gains/losses included in our condensed consolidated income statements and statements of comprehensive income for the three and six months ended June 30, 2023 and 2022 were insignificant, unless otherwise noted. Amounts accrued for interest payments in a net receivable position are included in Other assets. Amounts accrued for interest payments in a net payable position are included in Other liabilities.</w:t>
      </w:r>
    </w:p>
    <w:p>
      <w:pPr>
        <w:jc w:val="both"/>
        <w:ind w:left="340" w:hanging="333"/>
        <w:spacing w:after="0" w:line="25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foreign currency cash flow hedges recognized in Accumulated other comprehensive loss in the consolidated statements of comprehensive income includes an insignificant gain and a $392 million loss for the three months ended June 30, 2023 and 2022, and an insignificant gain and a $449 million loss for the six months ended June 30, 2023 and 2022. The effect of foreign currency cash flow hedges reclassified from Accumulated other comprehensive loss in the consolidated statements of comprehensive income into income includes an insignificant gain and a $408 million loss for the three months ended June 30, 2023 and 2022 and an insignificant gain and a $557 million loss for the six months ended June 30, 2023 and 2022.</w:t>
      </w:r>
    </w:p>
    <w:p>
      <w:pPr>
        <w:spacing w:after="0" w:line="1" w:lineRule="exact"/>
        <w:rPr>
          <w:rFonts w:ascii="Arial" w:cs="Arial" w:eastAsia="Arial" w:hAnsi="Arial"/>
          <w:sz w:val="16"/>
          <w:szCs w:val="16"/>
          <w:color w:val="auto"/>
        </w:rPr>
      </w:pPr>
    </w:p>
    <w:p>
      <w:pPr>
        <w:ind w:left="340" w:hanging="333"/>
        <w:spacing w:after="0" w:line="307"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GM Financial held $678 million and $553 million of collateral from counterparties available for netting against GM Financial's asset positions and posted $1.4 billion and $1.5 billion of collateral to counterparties available for netting against GM Financial's liability positions at June 30, 2023 and December 31, 2022.</w:t>
      </w:r>
    </w:p>
    <w:p>
      <w:pPr>
        <w:spacing w:after="0" w:line="172"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97"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20" w:type="dxa"/>
            <w:vAlign w:val="bottom"/>
            <w:gridSpan w:val="4"/>
          </w:tcPr>
          <w:p>
            <w:pPr>
              <w:ind w:left="118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304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114"/>
        </w:trPr>
        <w:tc>
          <w:tcPr>
            <w:tcW w:w="3040" w:type="dxa"/>
            <w:vAlign w:val="bottom"/>
          </w:tcPr>
          <w:p>
            <w:pPr>
              <w:spacing w:after="0"/>
              <w:rPr>
                <w:sz w:val="9"/>
                <w:szCs w:val="9"/>
                <w:color w:val="auto"/>
              </w:rPr>
            </w:pPr>
          </w:p>
        </w:tc>
        <w:tc>
          <w:tcPr>
            <w:tcW w:w="1760" w:type="dxa"/>
            <w:vAlign w:val="bottom"/>
            <w:gridSpan w:val="2"/>
          </w:tcPr>
          <w:p>
            <w:pPr>
              <w:jc w:val="right"/>
              <w:ind w:right="39"/>
              <w:spacing w:after="0" w:line="114" w:lineRule="exact"/>
              <w:rPr>
                <w:sz w:val="20"/>
                <w:szCs w:val="20"/>
                <w:color w:val="auto"/>
              </w:rPr>
            </w:pPr>
            <w:r>
              <w:rPr>
                <w:rFonts w:ascii="Arial" w:cs="Arial" w:eastAsia="Arial" w:hAnsi="Arial"/>
                <w:sz w:val="13"/>
                <w:szCs w:val="13"/>
                <w:b w:val="1"/>
                <w:bCs w:val="1"/>
                <w:color w:val="auto"/>
                <w:w w:val="93"/>
              </w:rPr>
              <w:t>Carrying Amount of Hedged</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jc w:val="center"/>
              <w:ind w:right="61"/>
              <w:spacing w:after="0" w:line="114" w:lineRule="exact"/>
              <w:rPr>
                <w:sz w:val="20"/>
                <w:szCs w:val="20"/>
                <w:color w:val="auto"/>
              </w:rPr>
            </w:pPr>
            <w:r>
              <w:rPr>
                <w:rFonts w:ascii="Arial" w:cs="Arial" w:eastAsia="Arial" w:hAnsi="Arial"/>
                <w:sz w:val="13"/>
                <w:szCs w:val="13"/>
                <w:b w:val="1"/>
                <w:bCs w:val="1"/>
                <w:color w:val="auto"/>
                <w:w w:val="89"/>
              </w:rPr>
              <w:t>Cumulative Amount of Fair Value</w:t>
            </w:r>
          </w:p>
        </w:tc>
        <w:tc>
          <w:tcPr>
            <w:tcW w:w="120" w:type="dxa"/>
            <w:vAlign w:val="bottom"/>
          </w:tcPr>
          <w:p>
            <w:pPr>
              <w:spacing w:after="0"/>
              <w:rPr>
                <w:sz w:val="9"/>
                <w:szCs w:val="9"/>
                <w:color w:val="auto"/>
              </w:rPr>
            </w:pPr>
          </w:p>
        </w:tc>
        <w:tc>
          <w:tcPr>
            <w:tcW w:w="1720" w:type="dxa"/>
            <w:vAlign w:val="bottom"/>
            <w:gridSpan w:val="2"/>
          </w:tcPr>
          <w:p>
            <w:pPr>
              <w:jc w:val="right"/>
              <w:ind w:right="19"/>
              <w:spacing w:after="0" w:line="114" w:lineRule="exact"/>
              <w:rPr>
                <w:sz w:val="20"/>
                <w:szCs w:val="20"/>
                <w:color w:val="auto"/>
              </w:rPr>
            </w:pPr>
            <w:r>
              <w:rPr>
                <w:rFonts w:ascii="Arial" w:cs="Arial" w:eastAsia="Arial" w:hAnsi="Arial"/>
                <w:sz w:val="13"/>
                <w:szCs w:val="13"/>
                <w:b w:val="1"/>
                <w:bCs w:val="1"/>
                <w:color w:val="auto"/>
                <w:w w:val="92"/>
              </w:rPr>
              <w:t>Carrying Amount of Hedged</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40" w:type="dxa"/>
            <w:vAlign w:val="bottom"/>
          </w:tcPr>
          <w:p>
            <w:pPr>
              <w:jc w:val="right"/>
              <w:ind w:right="101"/>
              <w:spacing w:after="0" w:line="114"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68"/>
        </w:trPr>
        <w:tc>
          <w:tcPr>
            <w:tcW w:w="30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b w:val="1"/>
                <w:bCs w:val="1"/>
                <w:color w:val="auto"/>
              </w:rPr>
              <w:t>Items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6"/>
              </w:rPr>
              <w:t>Hedging Adjustments(a)</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3"/>
                <w:szCs w:val="13"/>
                <w:b w:val="1"/>
                <w:bCs w:val="1"/>
                <w:color w:val="auto"/>
              </w:rPr>
              <w:t>Items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Hedging Adjustments(a)</w:t>
            </w:r>
          </w:p>
        </w:tc>
      </w:tr>
      <w:tr>
        <w:trPr>
          <w:trHeight w:val="228"/>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unsecured debt</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99"/>
              </w:rPr>
              <w:t>(13)</w:t>
            </w:r>
          </w:p>
        </w:tc>
        <w:tc>
          <w:tcPr>
            <w:tcW w:w="52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w:t>
            </w:r>
          </w:p>
        </w:tc>
      </w:tr>
      <w:tr>
        <w:trPr>
          <w:trHeight w:val="242"/>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unsecured debt</w:t>
            </w: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779</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ind w:left="1700"/>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781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7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$461 million and an insignificant amount of unamortized losses remaining on hedged items for which hedge accounting has been discontinued at June 30, 2023 and December 31,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Product Warranty and Related Liabilities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Six Months Ended</w:t>
            </w:r>
          </w:p>
        </w:tc>
      </w:tr>
      <w:tr>
        <w:trPr>
          <w:trHeight w:val="194"/>
        </w:trPr>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June 30, 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June 30, 2022</w:t>
            </w:r>
          </w:p>
        </w:tc>
      </w:tr>
      <w:tr>
        <w:trPr>
          <w:trHeight w:val="222"/>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Product Warranty and Related Liabilities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5"/>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w:t>
            </w:r>
          </w:p>
        </w:tc>
      </w:tr>
      <w:tr>
        <w:trPr>
          <w:trHeight w:val="228"/>
        </w:trPr>
        <w:tc>
          <w:tcPr>
            <w:tcW w:w="5400" w:type="dxa"/>
            <w:vAlign w:val="bottom"/>
          </w:tcPr>
          <w:p>
            <w:pPr>
              <w:ind w:left="20"/>
              <w:spacing w:after="0"/>
              <w:rPr>
                <w:sz w:val="20"/>
                <w:szCs w:val="20"/>
                <w:color w:val="auto"/>
              </w:rPr>
            </w:pPr>
            <w:r>
              <w:rPr>
                <w:rFonts w:ascii="Arial" w:cs="Arial" w:eastAsia="Arial" w:hAnsi="Arial"/>
                <w:sz w:val="18"/>
                <w:szCs w:val="18"/>
                <w:color w:val="auto"/>
              </w:rPr>
              <w:t>Warranties issued and assumed in period – recall campaigns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42"/>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product warranty</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r>
      <w:tr>
        <w:trPr>
          <w:trHeight w:val="228"/>
        </w:trPr>
        <w:tc>
          <w:tcPr>
            <w:tcW w:w="5400" w:type="dxa"/>
            <w:vAlign w:val="bottom"/>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(2,088)</w:t>
            </w:r>
          </w:p>
        </w:tc>
      </w:tr>
      <w:tr>
        <w:trPr>
          <w:trHeight w:val="228"/>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2"/>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and other</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r>
      <w:tr>
        <w:trPr>
          <w:trHeight w:val="228"/>
        </w:trPr>
        <w:tc>
          <w:tcPr>
            <w:tcW w:w="5400" w:type="dxa"/>
            <w:vAlign w:val="bottom"/>
          </w:tcPr>
          <w:p>
            <w:pPr>
              <w:ind w:left="20"/>
              <w:spacing w:after="0"/>
              <w:rPr>
                <w:sz w:val="20"/>
                <w:szCs w:val="20"/>
                <w:color w:val="auto"/>
              </w:rPr>
            </w:pPr>
            <w:r>
              <w:rPr>
                <w:rFonts w:ascii="Arial" w:cs="Arial" w:eastAsia="Arial" w:hAnsi="Arial"/>
                <w:sz w:val="18"/>
                <w:szCs w:val="18"/>
                <w:color w:val="auto"/>
              </w:rPr>
              <w:t>Less: Supplier recoveries balance at end of period(a)</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r>
      <w:tr>
        <w:trPr>
          <w:trHeight w:val="255"/>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net of supplier recoveries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current portion of supplier recoveries is recorded in Accounts and notes receivable, net of allowance and the non-current portion is recorded in Other assets.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5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June 30, 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June 30, 2022</w:t>
            </w:r>
          </w:p>
        </w:tc>
      </w:tr>
      <w:tr>
        <w:trPr>
          <w:trHeight w:val="215"/>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Product Warranty Expense, Net of Recoveries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2"/>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49"/>
        </w:trPr>
        <w:tc>
          <w:tcPr>
            <w:tcW w:w="5400" w:type="dxa"/>
            <w:vAlign w:val="bottom"/>
          </w:tcPr>
          <w:p>
            <w:pPr>
              <w:ind w:left="20"/>
              <w:spacing w:after="0"/>
              <w:rPr>
                <w:sz w:val="20"/>
                <w:szCs w:val="20"/>
                <w:color w:val="auto"/>
              </w:rPr>
            </w:pPr>
            <w:r>
              <w:rPr>
                <w:rFonts w:ascii="Arial" w:cs="Arial" w:eastAsia="Arial" w:hAnsi="Arial"/>
                <w:sz w:val="18"/>
                <w:szCs w:val="18"/>
                <w:color w:val="auto"/>
              </w:rPr>
              <w:t>Supplier recoveries accrued in period</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5"/>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and other</w:t>
            </w: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5400" w:type="dxa"/>
            <w:vAlign w:val="bottom"/>
          </w:tcPr>
          <w:p>
            <w:pPr>
              <w:ind w:left="20"/>
              <w:spacing w:after="0"/>
              <w:rPr>
                <w:sz w:val="20"/>
                <w:szCs w:val="20"/>
                <w:color w:val="auto"/>
              </w:rPr>
            </w:pPr>
            <w:r>
              <w:rPr>
                <w:rFonts w:ascii="Arial" w:cs="Arial" w:eastAsia="Arial" w:hAnsi="Arial"/>
                <w:sz w:val="18"/>
                <w:szCs w:val="18"/>
                <w:color w:val="auto"/>
              </w:rPr>
              <w:t>Warranty expense, net of supplier recoveries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42" w:lineRule="auto"/>
        <w:rPr>
          <w:sz w:val="20"/>
          <w:szCs w:val="20"/>
          <w:color w:val="auto"/>
        </w:rPr>
      </w:pPr>
      <w:r>
        <w:rPr>
          <w:rFonts w:ascii="Arial" w:cs="Arial" w:eastAsia="Arial" w:hAnsi="Arial"/>
          <w:sz w:val="18"/>
          <w:szCs w:val="18"/>
          <w:color w:val="auto"/>
        </w:rPr>
        <w:t>In the three months ended June 30, 2023, we recorded a charge to supplier recoveries of $792 million related to a settlement for Chevrolet Bolt recall costs. Refer to Note 13 to our condensed consolidated financial statements for more details on the Chevrolet Bolt recall and the associated supplier recovery. For losses that can be estimated, we estimate our reasonably possible loss in excess of amounts accrued for recall campaigns to be insignificant at June 30, 2023.</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Pensions and Other Postretirement Benefits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8"/>
          </w:tcPr>
          <w:p>
            <w:pPr>
              <w:jc w:val="center"/>
              <w:ind w:left="16"/>
              <w:spacing w:after="0"/>
              <w:rPr>
                <w:sz w:val="20"/>
                <w:szCs w:val="20"/>
                <w:color w:val="auto"/>
              </w:rPr>
            </w:pPr>
            <w:r>
              <w:rPr>
                <w:rFonts w:ascii="Arial" w:cs="Arial" w:eastAsia="Arial" w:hAnsi="Arial"/>
                <w:sz w:val="14"/>
                <w:szCs w:val="14"/>
                <w:b w:val="1"/>
                <w:bCs w:val="1"/>
                <w:color w:val="auto"/>
                <w:w w:val="92"/>
              </w:rPr>
              <w:t>Three Months Ended June 30, 2023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Three Months Ended June 30, 2022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5"/>
          </w:tcPr>
          <w:p>
            <w:pPr>
              <w:jc w:val="right"/>
              <w:ind w:right="51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9"/>
                <w:szCs w:val="19"/>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4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Non-U.S.</w:t>
            </w:r>
          </w:p>
        </w:tc>
        <w:tc>
          <w:tcPr>
            <w:tcW w:w="10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Non-U.S.</w:t>
            </w:r>
          </w:p>
        </w:tc>
        <w:tc>
          <w:tcPr>
            <w:tcW w:w="100" w:type="dxa"/>
            <w:vAlign w:val="bottom"/>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center"/>
              <w:ind w:left="225"/>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ind w:left="261"/>
              <w:spacing w:after="0"/>
              <w:rPr>
                <w:sz w:val="20"/>
                <w:szCs w:val="20"/>
                <w:color w:val="auto"/>
              </w:rPr>
            </w:pPr>
            <w:r>
              <w:rPr>
                <w:rFonts w:ascii="Arial" w:cs="Arial" w:eastAsia="Arial" w:hAnsi="Arial"/>
                <w:sz w:val="14"/>
                <w:szCs w:val="14"/>
                <w:b w:val="1"/>
                <w:bCs w:val="1"/>
                <w:color w:val="auto"/>
                <w:w w:val="85"/>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2"/>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52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0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2"/>
        </w:trPr>
        <w:tc>
          <w:tcPr>
            <w:tcW w:w="4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center"/>
              <w:ind w:left="16"/>
              <w:spacing w:after="0"/>
              <w:rPr>
                <w:sz w:val="20"/>
                <w:szCs w:val="20"/>
                <w:color w:val="auto"/>
              </w:rPr>
            </w:pPr>
            <w:r>
              <w:rPr>
                <w:rFonts w:ascii="Arial" w:cs="Arial" w:eastAsia="Arial" w:hAnsi="Arial"/>
                <w:sz w:val="14"/>
                <w:szCs w:val="14"/>
                <w:b w:val="1"/>
                <w:bCs w:val="1"/>
                <w:color w:val="auto"/>
                <w:w w:val="92"/>
              </w:rPr>
              <w:t>Six Months Ended June 30, 2023</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Six Months Ended June 30, 2022</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5"/>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58"/>
        </w:trPr>
        <w:tc>
          <w:tcPr>
            <w:tcW w:w="4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jc w:val="center"/>
              <w:ind w:left="245"/>
              <w:spacing w:after="0"/>
              <w:rPr>
                <w:sz w:val="20"/>
                <w:szCs w:val="20"/>
                <w:color w:val="auto"/>
              </w:rPr>
            </w:pPr>
            <w:r>
              <w:rPr>
                <w:rFonts w:ascii="Arial" w:cs="Arial" w:eastAsia="Arial" w:hAnsi="Arial"/>
                <w:sz w:val="14"/>
                <w:szCs w:val="14"/>
                <w:b w:val="1"/>
                <w:bCs w:val="1"/>
                <w:color w:val="auto"/>
                <w:w w:val="85"/>
              </w:rPr>
              <w:t>Plans</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jc w:val="center"/>
              <w:ind w:left="281"/>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0" w:type="dxa"/>
            <w:vAlign w:val="bottom"/>
            <w:gridSpan w:val="3"/>
            <w:shd w:val="clear" w:color="auto" w:fill="CCEEFF"/>
          </w:tcPr>
          <w:p>
            <w:pPr>
              <w:jc w:val="right"/>
              <w:ind w:right="50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50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gridSpan w:val="2"/>
          </w:tcPr>
          <w:p>
            <w:pPr>
              <w:spacing w:after="0"/>
              <w:rPr>
                <w:sz w:val="19"/>
                <w:szCs w:val="19"/>
                <w:color w:val="auto"/>
              </w:rPr>
            </w:pPr>
          </w:p>
        </w:tc>
        <w:tc>
          <w:tcPr>
            <w:tcW w:w="680" w:type="dxa"/>
            <w:vAlign w:val="bottom"/>
            <w:tcBorders>
              <w:bottom w:val="single" w:sz="8" w:color="auto"/>
            </w:tcBorders>
          </w:tcPr>
          <w:p>
            <w:pPr>
              <w:jc w:val="right"/>
              <w:ind w:right="50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0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$86 million and $376 million in the three months ended June 30, 2023 and 2022 and $172 million and $752 million in the six months ended June 30, 2023 and 2022 are presented in Interest income and other non-operating income, net.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Litigation-Related Liability and Tax Administrative Matters </w:t>
      </w:r>
      <w:r>
        <w:rPr>
          <w:rFonts w:ascii="Arial" w:cs="Arial" w:eastAsia="Arial" w:hAnsi="Arial"/>
          <w:sz w:val="16"/>
          <w:szCs w:val="16"/>
          <w:color w:val="auto"/>
        </w:rPr>
        <w:t>In the normal course of our business, we are named from time to time as a defendant in</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June 30, 2023 and December 31, 2022, we had accruals of $1.0 billion and $1.1 billion in Accrued liabilities and Other liabilities. In many matters, it is inherently difficult to determine whether a loss is probable or reasonably possible or to estimate the size or range of the possible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194"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b w:val="1"/>
          <w:bCs w:val="1"/>
          <w:i w:val="1"/>
          <w:iCs w:val="1"/>
          <w:color w:val="auto"/>
        </w:rPr>
        <w:t xml:space="preserve">GM Korea Subcontract Workers Litigation </w:t>
      </w:r>
      <w:r>
        <w:rPr>
          <w:rFonts w:ascii="Arial" w:cs="Arial" w:eastAsia="Arial" w:hAnsi="Arial"/>
          <w:sz w:val="17"/>
          <w:szCs w:val="17"/>
          <w:color w:val="auto"/>
        </w:rPr>
        <w:t>GM Korea Company (GM Korea) is party to litigation with current and former subcontract workers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Since June 2020, the Seoul High Court (an intermediate-level appellate court) ruled against GM Korea in eight subcontract worker cases. Although GM Korea has appealed these decisions to the Supreme Court of the Republic of Korea, GM Korea has since hired certain of its subcontract workers as full-time employees. At June 30, 2023, our accrual covering certain asserted claims and claims that we believe are probable of assertion and for which liability is probable was approximately $194 million. We estimate the reasonably possible loss in excess of amounts accrued for other current subcontract workers who may assert similar claims to be approximately $94 million at June 30, 2023. We are currently unable to estimate any reasonably possible material loss or range of loss that may result from additional claims that may be asserted by former subcontract workers.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76"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b w:val="1"/>
          <w:bCs w:val="1"/>
          <w:i w:val="1"/>
          <w:iCs w:val="1"/>
          <w:color w:val="auto"/>
        </w:rPr>
        <w:t xml:space="preserve">Other Litigation-Related Liability and Tax Administrative Matters </w:t>
      </w:r>
      <w:r>
        <w:rPr>
          <w:rFonts w:ascii="Arial" w:cs="Arial" w:eastAsia="Arial" w:hAnsi="Arial"/>
          <w:sz w:val="17"/>
          <w:szCs w:val="17"/>
          <w:color w:val="auto"/>
        </w:rPr>
        <w:t>Various other legal actions, including class actions, governmental investigations,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09" w:lineRule="exact"/>
        <w:rPr>
          <w:sz w:val="20"/>
          <w:szCs w:val="20"/>
          <w:color w:val="auto"/>
        </w:rPr>
      </w:pPr>
    </w:p>
    <w:p>
      <w:pPr>
        <w:jc w:val="both"/>
        <w:ind w:firstLine="161"/>
        <w:spacing w:after="0" w:line="295" w:lineRule="auto"/>
        <w:rPr>
          <w:sz w:val="20"/>
          <w:szCs w:val="20"/>
          <w:color w:val="auto"/>
        </w:rPr>
      </w:pPr>
      <w:r>
        <w:rPr>
          <w:rFonts w:ascii="Arial" w:cs="Arial" w:eastAsia="Arial" w:hAnsi="Arial"/>
          <w:sz w:val="16"/>
          <w:szCs w:val="16"/>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state and foreign emission standards. In July 2023, the putative class actions pending in the U.S. were dismissed with prejudice and judgement entered in favor of GM, and plaintiffs appealed the dismissal.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186"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There are several putative class actions and two certified class actions pending against GM in federal courts in the U.S. alleging that various 2011-2014 model year vehicles are defective because they excessively consume oil. While many of these proceedings have been dismissed or have been settled for insignificant amounts, several remain outstanding, and in October 2022, we received an adverse jury verdict in the certified class action proceeding involving three states. We do not believe that the verdict is supported by the evidence and plan to appeal, if necessary. We are currently unable to estimate any reasonably possible material loss or range of loss that may result from the putative class action proceedings and have previously accrued an immaterial amount related to one of the certified class action proceedings.</w:t>
      </w:r>
    </w:p>
    <w:p>
      <w:pPr>
        <w:spacing w:after="0" w:line="217"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There is one putative class action and one certified class action pending against GM in federal court in the U.S. alleging that various 2015-2022 model year vehicles are defective because they are equipped with faulty 8-speed transmissions. In March 2023, the judge overseeing the class action concerning 2015-2019 model year vehicles certified 26 state subclasses. The putative class action concerning 2020-2022 model year vehicles is pending in front of a different judge that has not yet addressed class certification. We have similar cases pending in Canada concerning these vehicles. We are currently unable to estimate any reasonably possible material loss or range of loss that may result from these proceedings.</w:t>
      </w:r>
    </w:p>
    <w:p>
      <w:pPr>
        <w:spacing w:after="0" w:line="201"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There is a class action pending against GM in federal court in the U.S., and a putative class action in provincial court in Canada, alleging that 2011-2016 model year Duramax Diesel Chevrolet Silverado and GMC Sierra vehicles are equipped with defective fuel pumps that are prone to failure. In March 2023, the federal court certified seven state subclasses. We are currently unable to estimate any reasonably possible material loss or range of loss that may result from these proceedings.</w:t>
      </w:r>
    </w:p>
    <w:p>
      <w:pPr>
        <w:spacing w:after="0" w:line="21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9"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are currently in discussions with the Environmental Protection Agency (EPA) regarding potential adjustments to our balance of greenhouse gas (GHG) credits. Based on progress made in these discussions, in the three months ended June 30, 2023, we accrued $150 million. Through June 30, 2023, the total costs expensed in connection with these matters were $311 million. We are currently unable to provide an estimate of the loss in excess of amounts incurred, but such loss may be material.</w:t>
      </w:r>
    </w:p>
    <w:p>
      <w:pPr>
        <w:spacing w:after="0" w:line="21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Indirect tax-related matters are being evaluated globally pertaining to value added taxes, customs, duties, sales, property taxes and other non-income tax-related tax exposures. Certain administrative proceedings are indirect tax-related and may require that we deposit funds in escrow or provide an alternative form of security. For indirect tax-related matters, we estimate our reasonably possible loss in excess of amounts accrued to be up to approximately $1.6 billion at June 30, 2023.</w:t>
      </w:r>
    </w:p>
    <w:p>
      <w:pPr>
        <w:spacing w:after="0" w:line="20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November 2020, the National Highway Traffic Safety Administration (NHTSA) directed that we replace the Takata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(Takata) airbag inflators in our GMT900 vehicles, which are full-size pickup trucks and sport utility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vehicles (SUVs), and we did not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and we believe the currently accrued amount remains reasonable.</w:t>
      </w:r>
    </w:p>
    <w:p>
      <w:pPr>
        <w:spacing w:after="0" w:line="174"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74"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There are several putative class actions that have been filed against GM, including in the federal courts in the U.S., in the Provincial Courts in Canada, and in Mexico, arising out of allegations that airbag inflators manufactured by Takata are defective. In March 2023, a federal court overseeing a putative class action against GM issued a final judgment in favor of GM on all claims in eight states at issue in that proceeding; claims relating to other states remain pending. At this stage of these proceedings, we are unable to provide an estimate of the amounts or range of reasonably possible material loss.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ARC Matters </w:t>
      </w:r>
      <w:r>
        <w:rPr>
          <w:rFonts w:ascii="Arial" w:cs="Arial" w:eastAsia="Arial" w:hAnsi="Arial"/>
          <w:sz w:val="17"/>
          <w:szCs w:val="17"/>
          <w:color w:val="auto"/>
        </w:rPr>
        <w:t>In May 2023, we initiated a voluntary recall covering nearly one million 2014-2017 model year Buick Enclave, Chevrolet Traverse, and</w:t>
      </w:r>
      <w:r>
        <w:rPr>
          <w:rFonts w:ascii="Arial" w:cs="Arial" w:eastAsia="Arial" w:hAnsi="Arial"/>
          <w:sz w:val="17"/>
          <w:szCs w:val="17"/>
          <w:b w:val="1"/>
          <w:bCs w:val="1"/>
          <w:color w:val="auto"/>
        </w:rPr>
        <w:t xml:space="preserve"> </w:t>
      </w:r>
      <w:r>
        <w:rPr>
          <w:rFonts w:ascii="Arial" w:cs="Arial" w:eastAsia="Arial" w:hAnsi="Arial"/>
          <w:sz w:val="17"/>
          <w:szCs w:val="17"/>
          <w:color w:val="auto"/>
        </w:rPr>
        <w:t>GMC Acadia SUVs equipped with driver front airbag inflators manufactured by ARC Automotive, Inc. (ARC), and accrued an immaterial amount for the expected costs of the recall. As part of its ongoing investigation into ARC airbag inflators, NHTSA has issued a recall request letter to ARC, in which the agency (a) tentatively concluded that a defect related to motor vehicle safety exists in 67 million frontal driver and passenger air bag inflators manufactured by ARC and supplied to a number of automakers, including GM, and (b) demanded that ARC issue a recall notice for these inflators. ARC has disputed the recall request, asserting that no identified defect trend exists in the inflators and that any problems are related to isolated manufacturing issues.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0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Chevrolet Bolt Recall </w:t>
      </w:r>
      <w:r>
        <w:rPr>
          <w:rFonts w:ascii="Arial" w:cs="Arial" w:eastAsia="Arial" w:hAnsi="Arial"/>
          <w:sz w:val="16"/>
          <w:szCs w:val="16"/>
          <w:color w:val="auto"/>
        </w:rPr>
        <w:t>In July 2021, we initiated a voluntary recall for certain 2017-2019 model year Chevrolet Bolt EVs due to the risk that two</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defects present in the same battery cell could cause a high voltage battery fire in certain of these vehicles. Accordingly, in the three months ended June 30, 2021, we recorded a warranty accrual of $812 million. After further investigation into the manufacturing processes at our battery supplier, LG Energy Solution (LGES), and disassembling battery packs, we determined that the risk of battery cell defects was not confined to the initial recall population. As a result, in August 2021, we expanded the recall to include all 2017-2022 model year Chevrolet Bolt EV and Electric Utility Vehicles (EUVs) and recorded an additional warranty accrual of $1.2 billion in the three months ended September 30, 2021. In October 2021, we reached an agreement with LG Electronics, Inc. (LGE), under which LGE agreed to reimburse GM for costs and expenses associated with the recall. As a result, in the three months ended September 30, 2021, we recognized a receivable of $1.9 billion, which substantially offset the warranty charges we recognized in connection with the recall. In the three months ended June 30, 2023, we recorded a charge of $792 million to reflect a settlement agreement with LGES and LGE (collectively, LG) whereby the parties agreed to reduce the amount of recall costs and expenses for which LG would reimburse GM. The commercial negotiations with LG also resolved other commercial matters associated with our Ultium Cells Holdings LLC joint venture with LGES. These charges reflect our current best estimate for the cost of the recall remedy, which includes non-traditional recall remedies provided by GM to enhance customer satisfaction. The actual costs of the recall could be materially higher or lower. For 2017-2019 model year vehicles, the recall remedy will be to replace the high voltage battery modules in these vehicles with new modules. For approximately half of the 2020-2022 model year vehicles, recently developed battery diagnostic software will be the recall remedy, with the remainder receiving new high voltage battery modules.</w:t>
      </w:r>
    </w:p>
    <w:p>
      <w:pPr>
        <w:spacing w:after="0" w:line="193"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addition, putative class actions have been filed against GM in federal courts in the U.S. and in the Provincial Courts in Canada alleging that the batteries contained in the Bolt EVs and EUVs included in the recall population are defective. GM has reached an agreement in principle to settle the U.S. class actions for an immaterial amount.</w:t>
      </w:r>
    </w:p>
    <w:p>
      <w:pPr>
        <w:spacing w:after="0" w:line="20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Opel/Vauxhall Sale </w:t>
      </w:r>
      <w:r>
        <w:rPr>
          <w:rFonts w:ascii="Arial" w:cs="Arial" w:eastAsia="Arial" w:hAnsi="Arial"/>
          <w:sz w:val="18"/>
          <w:szCs w:val="18"/>
          <w:color w:val="auto"/>
        </w:rPr>
        <w:t>In 2017, we sold the Opel and Vauxhall businesses and certain other assets in Europe (the Opel/Vauxhall Business) to PSA Group, now</w:t>
      </w:r>
      <w:r>
        <w:rPr>
          <w:rFonts w:ascii="Arial" w:cs="Arial" w:eastAsia="Arial" w:hAnsi="Arial"/>
          <w:sz w:val="18"/>
          <w:szCs w:val="18"/>
          <w:b w:val="1"/>
          <w:bCs w:val="1"/>
          <w:color w:val="auto"/>
        </w:rPr>
        <w:t xml:space="preserve"> </w:t>
      </w:r>
      <w:r>
        <w:rPr>
          <w:rFonts w:ascii="Arial" w:cs="Arial" w:eastAsia="Arial" w:hAnsi="Arial"/>
          <w:sz w:val="18"/>
          <w:szCs w:val="18"/>
          <w:color w:val="auto"/>
        </w:rPr>
        <w:t>Stellantis N.V. (Stellantis), under a Master Agreement (the Agreement). We also sold the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19"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Currently, various consumer lawsuits have been filed against the Seller and Stellantis in Germany, the United Kingdom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We recorded liabilities of $590 million and $561 million in Accrued liabilities and Other liabilities at June 30, 2023 and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2022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2023 to 2028,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$3.4 billion and $3.1 billion for these guarantees at June 30, 2023 and December 31, 2022, the majority of which relates to the indemnification agreements.</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9"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Supplier Finance Programs </w:t>
      </w:r>
      <w:r>
        <w:rPr>
          <w:rFonts w:ascii="Arial" w:cs="Arial" w:eastAsia="Arial" w:hAnsi="Arial"/>
          <w:sz w:val="18"/>
          <w:szCs w:val="18"/>
          <w:color w:val="auto"/>
        </w:rPr>
        <w:t>Third-party finance providers offer certain suppliers the option for payment in advance of their invoice due date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are $1.1 billion and $852 million at June 30, 2023 and December 31, 2022, which are recorded in Accounts payable (principally trade).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1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three months ended June 30, 2023 and June 30, 2022, Income tax expense of $522 million and $490 million was primarily due to tax expense attributable to entities included in our effective tax rate calculation.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six months ended June 30, 2023, Income tax expense of $950 million was primarily due to tax expense attributable to entities included in our effective tax rate calculation. In the six months ended June 30, 2022, Income tax expense of $462 million was primarily due to tax expense attributable to entities included in our effective tax rate calculation, partially offset by the release of a valuation allowance against certain Cruise deferred tax assets that were considered realizable due to the reconsolidation of Cruise for U.S. tax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Initiatives</w:t>
      </w:r>
    </w:p>
    <w:p>
      <w:pPr>
        <w:spacing w:after="0" w:line="119"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7"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Six Months Ended</w:t>
            </w:r>
          </w:p>
        </w:tc>
      </w:tr>
      <w:tr>
        <w:trPr>
          <w:trHeight w:val="194"/>
        </w:trPr>
        <w:tc>
          <w:tcPr>
            <w:tcW w:w="5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30, 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30, 2022</w:t>
            </w: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In the three and six months ended June 30, 2023, restructuring and other initiatives included strategic activities in GMNA related to Buick dealerships. We recorded charges of $246 million and $345 million in the three and six months ended June 30, 2023, which are included in the table above, and incurred $355 million in net cash outflows resulting from these dealer restructurings in the six months ended June 30, 2023, in addition to the charges of $511 million and net cash outflows of $120 million in the year ended December 31, 2022. The remaining $381 million is expected to be paid by the end of 2023.</w:t>
      </w:r>
    </w:p>
    <w:p>
      <w:pPr>
        <w:spacing w:after="0" w:line="182"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Additionally, on March 9, 2023, we announced a voluntary separation program (VSP) to accelerate attrition related to the cost reduction program announced in January 2023. We recorded charges in GMNA of $875 million in the six months ended June 30, 2023, primarily related to employee separation charges, which are reflected in the table above. We incurred $229 million of cash outflows resulting from the VSP in the six months ended June 30, 2023. We expect remaining cash outflows related to these activities of approximately $650 million to be substantially complete by the end of 2023.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 and Noncontrolling Interests</w:t>
      </w:r>
    </w:p>
    <w:p>
      <w:pPr>
        <w:spacing w:after="0" w:line="11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no shares of preferred stock issued and outstanding at June 30, 2023 and December 31, 2022. We had 1.4 billion shares of common stock issued and outstanding at June 30, 2023 and December 31, 2022.</w:t>
      </w:r>
    </w:p>
    <w:p>
      <w:pPr>
        <w:spacing w:after="0" w:line="209"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Holders of our common stock are entitled to dividends at the sole discretion of our Board of Directors. Our total dividends paid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were $124 million and $250 million for the three and six months ended June 30, 2023. Dividends were not declared or paid on our common stock for the three and six months ended June 30, 2022.</w:t>
      </w:r>
    </w:p>
    <w:p>
      <w:pPr>
        <w:spacing w:after="0" w:line="223" w:lineRule="exact"/>
        <w:rPr>
          <w:sz w:val="20"/>
          <w:szCs w:val="20"/>
          <w:color w:val="auto"/>
        </w:rPr>
      </w:pPr>
    </w:p>
    <w:p>
      <w:pPr>
        <w:jc w:val="both"/>
        <w:ind w:firstLine="161"/>
        <w:spacing w:after="0" w:line="247" w:lineRule="auto"/>
        <w:rPr>
          <w:sz w:val="20"/>
          <w:szCs w:val="20"/>
          <w:color w:val="auto"/>
        </w:rPr>
      </w:pPr>
      <w:r>
        <w:rPr>
          <w:rFonts w:ascii="Arial" w:cs="Arial" w:eastAsia="Arial" w:hAnsi="Arial"/>
          <w:sz w:val="18"/>
          <w:szCs w:val="18"/>
          <w:color w:val="auto"/>
        </w:rPr>
        <w:t>In August 2022, our Board of Directors increased the capacity under our previously announced common stock repurchase program to $5.0 billion from the $3.3 billion that remained under the program as of June 30, 2022. In the six months ended June 30, 2023, we purchased 24 million shares of our outstanding common stock for $869 million as part of the program. We did not purchase shares of our outstanding common stock in the six months ended June 30, 2022.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b w:val="1"/>
          <w:bCs w:val="1"/>
          <w:i w:val="1"/>
          <w:iCs w:val="1"/>
          <w:color w:val="auto"/>
        </w:rPr>
        <w:t xml:space="preserve">Cruise Preferred Shares </w:t>
      </w:r>
      <w:r>
        <w:rPr>
          <w:rFonts w:ascii="Arial" w:cs="Arial" w:eastAsia="Arial" w:hAnsi="Arial"/>
          <w:sz w:val="18"/>
          <w:szCs w:val="18"/>
          <w:color w:val="auto"/>
        </w:rPr>
        <w:t>In March 2022, under the Share Purchase Agreement, we acquired SoftBank Vision Fund (AIV M2) L.P.'s (together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SoftBank) Cruise Class A-1, Class F and Class G Preferred Shares for $2.1 billion and made an additional $1.35 billion investment in Cruise in place of SoftBank. SoftBank no longer has an ownership interest in or has any rights with respect to Cruise.</w:t>
      </w:r>
    </w:p>
    <w:p>
      <w:pPr>
        <w:spacing w:after="0" w:line="203" w:lineRule="exact"/>
        <w:rPr>
          <w:sz w:val="20"/>
          <w:szCs w:val="20"/>
          <w:color w:val="auto"/>
        </w:rPr>
      </w:pPr>
    </w:p>
    <w:p>
      <w:pPr>
        <w:jc w:val="both"/>
        <w:ind w:firstLine="161"/>
        <w:spacing w:after="0" w:line="270" w:lineRule="auto"/>
        <w:rPr>
          <w:sz w:val="20"/>
          <w:szCs w:val="20"/>
          <w:color w:val="auto"/>
        </w:rPr>
      </w:pPr>
      <w:r>
        <w:rPr>
          <w:rFonts w:ascii="Arial" w:cs="Arial" w:eastAsia="Arial" w:hAnsi="Arial"/>
          <w:sz w:val="17"/>
          <w:szCs w:val="17"/>
          <w:b w:val="1"/>
          <w:bCs w:val="1"/>
          <w:i w:val="1"/>
          <w:iCs w:val="1"/>
          <w:color w:val="auto"/>
        </w:rPr>
        <w:t xml:space="preserve">Cruise Common Shares </w:t>
      </w:r>
      <w:r>
        <w:rPr>
          <w:rFonts w:ascii="Arial" w:cs="Arial" w:eastAsia="Arial" w:hAnsi="Arial"/>
          <w:sz w:val="17"/>
          <w:szCs w:val="17"/>
          <w:color w:val="auto"/>
        </w:rPr>
        <w:t>During the three and six months ended June 30, 2023, GM Cruise Holdings LLC (Cruise Holdings) issued $79 million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$174 million of Class B Common Shares to net settle vested awards under Cruise's 2018 Employee Incentive Plan and issued $44 million and $100 million of Class B Common Shares to fund the payment of statutory tax withholding obligations resulting from the settlement or exercise of vested awards. Also, GM conducted quarterly tender offers and paid $61 million and $136 million in cash to purchase tendered Cruise Class B Common Shares during the three and six months ended June 30, 2023. The Class B Common Shares are classified as noncontrolling interests in our condensed consolidated financial statements except for certain shares that are liability classified that have a recorded value of approximately $75 million and $60 million at June 30, 2023 and December 31, 2022. Refer to Note 18 for additional information on Cruise stock incentive awards.</w:t>
      </w:r>
    </w:p>
    <w:p>
      <w:pPr>
        <w:spacing w:after="0" w:line="20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During the three months ended June 30, 2023 and 2022, the effect on the equity attributable to us for changes in our ownership interest in Cruise was insignificant. For the six months ended June 30, 2023 and 2022, net income attributable to shareholders and transfers to the noncontrolling interest in Cruise and other subsidiaries was $4.9 billion and $3.8 billion, which in 2022 included a $909 million decrease in retained earnings due to the redemption of Cruise preferred shares.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8"/>
              </w:rPr>
              <w:t>June 30, 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June 30,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June 30, 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June 30, 2022</w:t>
            </w:r>
          </w:p>
        </w:tc>
        <w:tc>
          <w:tcPr>
            <w:tcW w:w="0" w:type="dxa"/>
            <w:vAlign w:val="bottom"/>
          </w:tcPr>
          <w:p>
            <w:pPr>
              <w:spacing w:after="0"/>
              <w:rPr>
                <w:sz w:val="1"/>
                <w:szCs w:val="1"/>
                <w:color w:val="auto"/>
              </w:rPr>
            </w:pPr>
          </w:p>
        </w:tc>
      </w:tr>
      <w:tr>
        <w:trPr>
          <w:trHeight w:val="222"/>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5" w:lineRule="exact"/>
              <w:rPr>
                <w:sz w:val="20"/>
                <w:szCs w:val="20"/>
                <w:color w:val="auto"/>
              </w:rPr>
            </w:pPr>
            <w:r>
              <w:rPr>
                <w:rFonts w:ascii="Arial" w:cs="Arial" w:eastAsia="Arial" w:hAnsi="Arial"/>
                <w:sz w:val="18"/>
                <w:szCs w:val="18"/>
                <w:color w:val="auto"/>
                <w:w w:val="91"/>
              </w:rPr>
              <w:t>Other comprehensive income (loss) and noncontrolling interests, net of</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8"/>
        </w:trPr>
        <w:tc>
          <w:tcPr>
            <w:tcW w:w="5200" w:type="dxa"/>
            <w:vAlign w:val="bottom"/>
          </w:tcPr>
          <w:p>
            <w:pPr>
              <w:ind w:left="180"/>
              <w:spacing w:after="0"/>
              <w:rPr>
                <w:sz w:val="20"/>
                <w:szCs w:val="20"/>
                <w:color w:val="auto"/>
              </w:rPr>
            </w:pPr>
            <w:r>
              <w:rPr>
                <w:rFonts w:ascii="Arial" w:cs="Arial" w:eastAsia="Arial" w:hAnsi="Arial"/>
                <w:sz w:val="18"/>
                <w:szCs w:val="18"/>
                <w:color w:val="auto"/>
              </w:rPr>
              <w:t>reclassification adjustment and tax(a)(b)</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187"/>
        </w:trPr>
        <w:tc>
          <w:tcPr>
            <w:tcW w:w="5200" w:type="dxa"/>
            <w:vAlign w:val="bottom"/>
          </w:tcPr>
          <w:p>
            <w:pPr>
              <w:ind w:left="20"/>
              <w:spacing w:after="0" w:line="188" w:lineRule="exact"/>
              <w:rPr>
                <w:sz w:val="20"/>
                <w:szCs w:val="20"/>
                <w:color w:val="auto"/>
              </w:rPr>
            </w:pPr>
            <w:r>
              <w:rPr>
                <w:rFonts w:ascii="Arial" w:cs="Arial" w:eastAsia="Arial" w:hAnsi="Arial"/>
                <w:sz w:val="18"/>
                <w:szCs w:val="18"/>
                <w:color w:val="auto"/>
                <w:w w:val="91"/>
              </w:rPr>
              <w:t>Other comprehensive income (loss) before reclassification adjustment,</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Arial" w:cs="Arial" w:eastAsia="Arial" w:hAnsi="Arial"/>
                <w:sz w:val="18"/>
                <w:szCs w:val="18"/>
                <w:color w:val="auto"/>
              </w:rPr>
              <w:t>net of tax(b)</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 net of tax(b)</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tax(b)</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adjustments were insignificant in the three and six months ended June 30, 2023 and 2022.</w:t>
      </w:r>
    </w:p>
    <w:p>
      <w:pPr>
        <w:spacing w:after="0" w:line="4" w:lineRule="exact"/>
        <w:rPr>
          <w:rFonts w:ascii="Arial" w:cs="Arial" w:eastAsia="Arial" w:hAnsi="Arial"/>
          <w:sz w:val="16"/>
          <w:szCs w:val="16"/>
          <w:color w:val="auto"/>
        </w:rPr>
      </w:pPr>
    </w:p>
    <w:p>
      <w:pPr>
        <w:ind w:left="340" w:hanging="333"/>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six months ended June 30, 2023 and 2022.</w:t>
      </w:r>
    </w:p>
    <w:p>
      <w:pPr>
        <w:spacing w:after="0" w:line="7" w:lineRule="exact"/>
        <w:rPr>
          <w:rFonts w:ascii="Arial" w:cs="Arial" w:eastAsia="Arial" w:hAnsi="Arial"/>
          <w:sz w:val="16"/>
          <w:szCs w:val="16"/>
          <w:color w:val="auto"/>
        </w:rPr>
      </w:pPr>
    </w:p>
    <w:p>
      <w:pPr>
        <w:ind w:left="340" w:hanging="333"/>
        <w:spacing w:after="0" w:line="268"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Note 2. Significant Accounting Policies of our 2022 Form 10-K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94"/>
        </w:trPr>
        <w:tc>
          <w:tcPr>
            <w:tcW w:w="5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June 30, 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June 30, 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June 30, 2023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June 30, 2022</w:t>
            </w:r>
          </w:p>
        </w:tc>
      </w:tr>
      <w:tr>
        <w:trPr>
          <w:trHeight w:val="222"/>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r>
      <w:tr>
        <w:trPr>
          <w:trHeight w:val="228"/>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cumulative dividends on subsidiary preferred stock(a)</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r>
      <w:tr>
        <w:trPr>
          <w:trHeight w:val="24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42"/>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107"/>
        </w:trPr>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8"/>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8"/>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2"/>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107"/>
        </w:trPr>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8"/>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28"/>
        </w:trPr>
        <w:tc>
          <w:tcPr>
            <w:tcW w:w="5840" w:type="dxa"/>
            <w:vAlign w:val="bottom"/>
          </w:tcPr>
          <w:p>
            <w:pPr>
              <w:ind w:left="20"/>
              <w:spacing w:after="0"/>
              <w:rPr>
                <w:sz w:val="20"/>
                <w:szCs w:val="20"/>
                <w:color w:val="auto"/>
              </w:rPr>
            </w:pPr>
            <w:r>
              <w:rPr>
                <w:rFonts w:ascii="Arial" w:cs="Arial" w:eastAsia="Arial" w:hAnsi="Arial"/>
                <w:sz w:val="18"/>
                <w:szCs w:val="18"/>
                <w:color w:val="auto"/>
              </w:rPr>
              <w:t>Dilutive effect of awards under stock incentive plans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6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28"/>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Potentially dilutive securities(b)</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 $909 million deemed dividend related to the redemption of Cruise preferred shares from SoftBank in the six months ended June 30, 2022.</w:t>
      </w:r>
    </w:p>
    <w:p>
      <w:pPr>
        <w:spacing w:after="0" w:line="7" w:lineRule="exact"/>
        <w:rPr>
          <w:rFonts w:ascii="Arial" w:cs="Arial" w:eastAsia="Arial" w:hAnsi="Arial"/>
          <w:sz w:val="16"/>
          <w:szCs w:val="16"/>
          <w:color w:val="auto"/>
        </w:rPr>
      </w:pPr>
    </w:p>
    <w:p>
      <w:pPr>
        <w:jc w:val="both"/>
        <w:ind w:left="340" w:hanging="333"/>
        <w:spacing w:after="0" w:line="25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Restricted Stock Units (RSUs) and Performance Stock Units (PSUs) at June 30, 2023 and outstanding stock options and RSUs at June 30, 2022, were excluded from the computation of diluted earnings per share (EPS) because the securities would have had an antidilutive effect.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 Incentive Plans</w:t>
      </w:r>
    </w:p>
    <w:p>
      <w:pPr>
        <w:spacing w:after="0" w:line="254"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b w:val="1"/>
          <w:bCs w:val="1"/>
          <w:i w:val="1"/>
          <w:iCs w:val="1"/>
          <w:color w:val="auto"/>
        </w:rPr>
        <w:t xml:space="preserve">Cruise Stock Incentive Awards </w:t>
      </w:r>
      <w:r>
        <w:rPr>
          <w:rFonts w:ascii="Arial" w:cs="Arial" w:eastAsia="Arial" w:hAnsi="Arial"/>
          <w:sz w:val="16"/>
          <w:szCs w:val="16"/>
          <w:color w:val="auto"/>
        </w:rPr>
        <w:t>In March 2022, Cruise modified its RSUs that settle in Cruise common stock to remove the liquidity vesting condition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that all granted RSU awards vest solely upon satisfactions of a service condition. Total compensation expense related to Cruise Holdings' share-based awards was $174 million and $158 million in the three months ended June 30, 2023 and 2022 and $277 million and $1.3 billion in the six months ended June 30, 2023 and 2022. Compensation expense for the six months ended June 30, 2022, when excluding the compensation expense for the three months ended June 30, 2022, primarily represents the impact of the modification to outstanding awards. GM conducted quarterly tender offers and paid $136 million and $202 million in cash to purchase tendered Cruise Class B Common Shares during the six months ended June 30, 2023 and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Reporting</w:t>
      </w:r>
    </w:p>
    <w:p>
      <w:pPr>
        <w:spacing w:after="0" w:line="254"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We analyze the results of our business through the following reportable segments: GMNA, GMI, Cruise and GM Financial. The chief operating decision-maker evaluates the operating results and performance of our automotive segments and Cruise through earnings before interest and income taxes (EBIT)-adjusted, which is presented net of noncontrolling interests. The chief operating decision-maker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09"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09"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AV technology, and includes AV-related engineering and other costs. We provide automotive financing services through our GM Financial segment.</w:t>
      </w:r>
    </w:p>
    <w:p>
      <w:pPr>
        <w:spacing w:after="0" w:line="201"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Our automotive interest income and interest expense, legacy costs from the Opel/Vauxhall Business (primarily pension costs), corporate expenditures and certain nonsegment specific revenues and expenses are recorded centrally in Corporate. Corporate assets primarily consist of cash and cash equivalents, marketable debt securities and intersegment balances. All intersegment balances and transactions have been eliminated in consolidation.</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10"/>
          </w:tcPr>
          <w:p>
            <w:pPr>
              <w:jc w:val="right"/>
              <w:ind w:right="397"/>
              <w:spacing w:after="0"/>
              <w:rPr>
                <w:sz w:val="20"/>
                <w:szCs w:val="20"/>
                <w:color w:val="auto"/>
              </w:rPr>
            </w:pPr>
            <w:r>
              <w:rPr>
                <w:rFonts w:ascii="Arial" w:cs="Arial" w:eastAsia="Arial" w:hAnsi="Arial"/>
                <w:sz w:val="13"/>
                <w:szCs w:val="13"/>
                <w:b w:val="1"/>
                <w:bCs w:val="1"/>
                <w:color w:val="auto"/>
              </w:rPr>
              <w:t>At and For the Three Months Ended June 30, 2023</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37"/>
              <w:spacing w:after="0" w:line="130"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217"/>
              <w:spacing w:after="0" w:line="130" w:lineRule="exact"/>
              <w:rPr>
                <w:sz w:val="20"/>
                <w:szCs w:val="20"/>
                <w:color w:val="auto"/>
              </w:rPr>
            </w:pPr>
            <w:r>
              <w:rPr>
                <w:rFonts w:ascii="Arial" w:cs="Arial" w:eastAsia="Arial" w:hAnsi="Arial"/>
                <w:sz w:val="13"/>
                <w:szCs w:val="13"/>
                <w:b w:val="1"/>
                <w:bCs w:val="1"/>
                <w:color w:val="auto"/>
              </w:rPr>
              <w:t>GM</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GMI</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Corporate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8"/>
              </w:rPr>
              <w:t>Cruise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4"/>
              </w:rPr>
              <w:t>Eliminations/Reclassifications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44,746</w:t>
            </w:r>
          </w:p>
        </w:tc>
        <w:tc>
          <w:tcPr>
            <w:tcW w:w="0" w:type="dxa"/>
            <w:vAlign w:val="bottom"/>
          </w:tcPr>
          <w:p>
            <w:pPr>
              <w:spacing w:after="0"/>
              <w:rPr>
                <w:sz w:val="1"/>
                <w:szCs w:val="1"/>
                <w:color w:val="auto"/>
              </w:rPr>
            </w:pPr>
          </w:p>
        </w:tc>
      </w:tr>
      <w:tr>
        <w:trPr>
          <w:trHeight w:val="134"/>
        </w:trPr>
        <w:tc>
          <w:tcPr>
            <w:tcW w:w="2480" w:type="dxa"/>
            <w:vAlign w:val="bottom"/>
          </w:tcPr>
          <w:p>
            <w:pPr>
              <w:ind w:left="20"/>
              <w:spacing w:after="0" w:line="134" w:lineRule="exact"/>
              <w:rPr>
                <w:sz w:val="20"/>
                <w:szCs w:val="20"/>
                <w:color w:val="auto"/>
              </w:rPr>
            </w:pPr>
            <w:r>
              <w:rPr>
                <w:rFonts w:ascii="Arial" w:cs="Arial" w:eastAsia="Arial" w:hAnsi="Arial"/>
                <w:sz w:val="13"/>
                <w:szCs w:val="13"/>
                <w:color w:val="auto"/>
              </w:rPr>
              <w:t>Earnings (loss) before interest and taxes-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3,194</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236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3,083</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(611)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766</w:t>
            </w:r>
          </w:p>
        </w:tc>
        <w:tc>
          <w:tcPr>
            <w:tcW w:w="7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w:t>
            </w:r>
          </w:p>
        </w:tc>
        <w:tc>
          <w:tcPr>
            <w:tcW w:w="2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3,234</w:t>
            </w:r>
          </w:p>
        </w:tc>
        <w:tc>
          <w:tcPr>
            <w:tcW w:w="0" w:type="dxa"/>
            <w:vAlign w:val="bottom"/>
          </w:tcPr>
          <w:p>
            <w:pPr>
              <w:spacing w:after="0"/>
              <w:rPr>
                <w:sz w:val="1"/>
                <w:szCs w:val="1"/>
                <w:color w:val="auto"/>
              </w:rPr>
            </w:pPr>
          </w:p>
        </w:tc>
      </w:tr>
      <w:tr>
        <w:trPr>
          <w:trHeight w:val="184"/>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58"/>
        </w:trPr>
        <w:tc>
          <w:tcPr>
            <w:tcW w:w="248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30"/>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21"/>
        </w:trPr>
        <w:tc>
          <w:tcPr>
            <w:tcW w:w="2480" w:type="dxa"/>
            <w:vAlign w:val="bottom"/>
          </w:tcPr>
          <w:p>
            <w:pPr>
              <w:ind w:left="20"/>
              <w:spacing w:after="0" w:line="121" w:lineRule="exact"/>
              <w:rPr>
                <w:sz w:val="20"/>
                <w:szCs w:val="20"/>
                <w:color w:val="auto"/>
              </w:rPr>
            </w:pPr>
            <w:r>
              <w:rPr>
                <w:rFonts w:ascii="Arial" w:cs="Arial" w:eastAsia="Arial" w:hAnsi="Arial"/>
                <w:sz w:val="13"/>
                <w:szCs w:val="13"/>
                <w:color w:val="auto"/>
                <w:w w:val="91"/>
              </w:rPr>
              <w:t>Net income (loss) attributable to noncontrolling</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8"/>
        </w:trPr>
        <w:tc>
          <w:tcPr>
            <w:tcW w:w="248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3,029</w:t>
            </w:r>
          </w:p>
        </w:tc>
        <w:tc>
          <w:tcPr>
            <w:tcW w:w="0" w:type="dxa"/>
            <w:vAlign w:val="bottom"/>
          </w:tcPr>
          <w:p>
            <w:pPr>
              <w:spacing w:after="0"/>
              <w:rPr>
                <w:sz w:val="1"/>
                <w:szCs w:val="1"/>
                <w:color w:val="auto"/>
              </w:rPr>
            </w:pPr>
          </w:p>
        </w:tc>
      </w:tr>
      <w:tr>
        <w:trPr>
          <w:trHeight w:val="182"/>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(expense)</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w:t>
            </w: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w:t>
            </w:r>
          </w:p>
        </w:tc>
        <w:tc>
          <w:tcPr>
            <w:tcW w:w="0" w:type="dxa"/>
            <w:vAlign w:val="bottom"/>
          </w:tcPr>
          <w:p>
            <w:pPr>
              <w:spacing w:after="0"/>
              <w:rPr>
                <w:sz w:val="1"/>
                <w:szCs w:val="1"/>
                <w:color w:val="auto"/>
              </w:rPr>
            </w:pPr>
          </w:p>
        </w:tc>
      </w:tr>
      <w:tr>
        <w:trPr>
          <w:trHeight w:val="121"/>
        </w:trPr>
        <w:tc>
          <w:tcPr>
            <w:tcW w:w="2480" w:type="dxa"/>
            <w:vAlign w:val="bottom"/>
          </w:tcPr>
          <w:p>
            <w:pPr>
              <w:ind w:left="20"/>
              <w:spacing w:after="0" w:line="121" w:lineRule="exact"/>
              <w:rPr>
                <w:sz w:val="20"/>
                <w:szCs w:val="20"/>
                <w:color w:val="auto"/>
              </w:rPr>
            </w:pPr>
            <w:r>
              <w:rPr>
                <w:rFonts w:ascii="Arial" w:cs="Arial" w:eastAsia="Arial" w:hAnsi="Arial"/>
                <w:sz w:val="13"/>
                <w:szCs w:val="13"/>
                <w:color w:val="auto"/>
                <w:w w:val="91"/>
              </w:rPr>
              <w:t>Net loss (income) attributable to noncontrolling</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8"/>
        </w:trPr>
        <w:tc>
          <w:tcPr>
            <w:tcW w:w="248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Net income (loss) attributable to stockholders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2,566</w:t>
            </w:r>
          </w:p>
        </w:tc>
        <w:tc>
          <w:tcPr>
            <w:tcW w:w="0" w:type="dxa"/>
            <w:vAlign w:val="bottom"/>
          </w:tcPr>
          <w:p>
            <w:pPr>
              <w:spacing w:after="0"/>
              <w:rPr>
                <w:sz w:val="1"/>
                <w:szCs w:val="1"/>
                <w:color w:val="auto"/>
              </w:rPr>
            </w:pPr>
          </w:p>
        </w:tc>
      </w:tr>
      <w:tr>
        <w:trPr>
          <w:trHeight w:val="21"/>
        </w:trPr>
        <w:tc>
          <w:tcPr>
            <w:tcW w:w="258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8"/>
              </w:rPr>
              <w:t>Equity in net assets of nonconsolidated affiliates $</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8,397</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1,667</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10,064</w:t>
            </w:r>
          </w:p>
        </w:tc>
        <w:tc>
          <w:tcPr>
            <w:tcW w:w="0" w:type="dxa"/>
            <w:vAlign w:val="bottom"/>
          </w:tcPr>
          <w:p>
            <w:pPr>
              <w:spacing w:after="0"/>
              <w:rPr>
                <w:sz w:val="1"/>
                <w:szCs w:val="1"/>
                <w:color w:val="auto"/>
              </w:rPr>
            </w:pPr>
          </w:p>
        </w:tc>
      </w:tr>
      <w:tr>
        <w:trPr>
          <w:trHeight w:val="166"/>
        </w:trPr>
        <w:tc>
          <w:tcPr>
            <w:tcW w:w="248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2,141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724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2,869</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727</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1,354</w:t>
            </w:r>
          </w:p>
        </w:tc>
        <w:tc>
          <w:tcPr>
            <w:tcW w:w="7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4,950</w:t>
            </w:r>
          </w:p>
        </w:tc>
        <w:tc>
          <w:tcPr>
            <w:tcW w:w="0" w:type="dxa"/>
            <w:vAlign w:val="bottom"/>
          </w:tcPr>
          <w:p>
            <w:pPr>
              <w:spacing w:after="0"/>
              <w:rPr>
                <w:sz w:val="1"/>
                <w:szCs w:val="1"/>
                <w:color w:val="auto"/>
              </w:rPr>
            </w:pPr>
          </w:p>
        </w:tc>
      </w:tr>
      <w:tr>
        <w:trPr>
          <w:trHeight w:val="177"/>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150,624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24,509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44,892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3"/>
                <w:szCs w:val="13"/>
                <w:color w:val="auto"/>
                <w:w w:val="90"/>
              </w:rPr>
              <w:t>(74,453)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145,572</w:t>
            </w:r>
          </w:p>
        </w:tc>
        <w:tc>
          <w:tcPr>
            <w:tcW w:w="2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127,175</w:t>
            </w:r>
          </w:p>
        </w:tc>
        <w:tc>
          <w:tcPr>
            <w:tcW w:w="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28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275,833</w:t>
            </w:r>
          </w:p>
        </w:tc>
        <w:tc>
          <w:tcPr>
            <w:tcW w:w="0" w:type="dxa"/>
            <w:vAlign w:val="bottom"/>
          </w:tcPr>
          <w:p>
            <w:pPr>
              <w:spacing w:after="0"/>
              <w:rPr>
                <w:sz w:val="1"/>
                <w:szCs w:val="1"/>
                <w:color w:val="auto"/>
              </w:rPr>
            </w:pPr>
          </w:p>
        </w:tc>
      </w:tr>
      <w:tr>
        <w:trPr>
          <w:trHeight w:val="166"/>
        </w:trPr>
        <w:tc>
          <w:tcPr>
            <w:tcW w:w="248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1,531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1,680</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1,245</w:t>
            </w:r>
          </w:p>
        </w:tc>
        <w:tc>
          <w:tcPr>
            <w:tcW w:w="7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2,936</w:t>
            </w: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480" w:type="dxa"/>
            <w:vAlign w:val="bottom"/>
          </w:tcPr>
          <w:p>
            <w:pPr>
              <w:ind w:left="20"/>
              <w:spacing w:after="0"/>
              <w:rPr>
                <w:sz w:val="20"/>
                <w:szCs w:val="20"/>
                <w:color w:val="auto"/>
              </w:rPr>
            </w:pPr>
            <w:r>
              <w:rPr>
                <w:rFonts w:ascii="Arial" w:cs="Arial" w:eastAsia="Arial" w:hAnsi="Arial"/>
                <w:sz w:val="13"/>
                <w:szCs w:val="13"/>
                <w:color w:val="auto"/>
              </w:rPr>
              <w:t>Equity income (loss)(b)</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77</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108</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w:t>
            </w:r>
          </w:p>
        </w:tc>
        <w:tc>
          <w:tcPr>
            <w:tcW w:w="7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7" w:lineRule="exact"/>
        <w:rPr>
          <w:sz w:val="20"/>
          <w:szCs w:val="20"/>
          <w:color w:val="auto"/>
        </w:rPr>
      </w:pPr>
    </w:p>
    <w:p>
      <w:pPr>
        <w:ind w:left="280" w:hanging="273"/>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charges for strategic activities related to Buick dealerships in GMNA and the partial resolution of Korean subcontractor matters in GMI.</w:t>
      </w:r>
    </w:p>
    <w:p>
      <w:pPr>
        <w:spacing w:after="0" w:line="3" w:lineRule="exact"/>
        <w:rPr>
          <w:rFonts w:ascii="Arial" w:cs="Arial" w:eastAsia="Arial" w:hAnsi="Arial"/>
          <w:sz w:val="13"/>
          <w:szCs w:val="13"/>
          <w:color w:val="auto"/>
        </w:rPr>
      </w:pPr>
    </w:p>
    <w:p>
      <w:pPr>
        <w:ind w:left="340" w:hanging="333"/>
        <w:spacing w:after="0" w:line="250" w:lineRule="auto"/>
        <w:tabs>
          <w:tab w:leader="none" w:pos="31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are presented in Automotive and other cost of sales as this entity is integral to the operations of our business by providing battery cells for our EVs. In the three months ended June 30, 2023, equity earnings related to Ultium Cells Holdings LLC were insignificant.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10"/>
          </w:tcPr>
          <w:p>
            <w:pPr>
              <w:jc w:val="right"/>
              <w:ind w:right="397"/>
              <w:spacing w:after="0"/>
              <w:rPr>
                <w:sz w:val="20"/>
                <w:szCs w:val="20"/>
                <w:color w:val="auto"/>
              </w:rPr>
            </w:pPr>
            <w:r>
              <w:rPr>
                <w:rFonts w:ascii="Arial" w:cs="Arial" w:eastAsia="Arial" w:hAnsi="Arial"/>
                <w:sz w:val="13"/>
                <w:szCs w:val="13"/>
                <w:b w:val="1"/>
                <w:bCs w:val="1"/>
                <w:color w:val="auto"/>
              </w:rPr>
              <w:t>At and For the Three Months Ended June 30, 2022</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37"/>
              <w:spacing w:after="0" w:line="130"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217"/>
              <w:spacing w:after="0" w:line="130" w:lineRule="exact"/>
              <w:rPr>
                <w:sz w:val="20"/>
                <w:szCs w:val="20"/>
                <w:color w:val="auto"/>
              </w:rPr>
            </w:pPr>
            <w:r>
              <w:rPr>
                <w:rFonts w:ascii="Arial" w:cs="Arial" w:eastAsia="Arial" w:hAnsi="Arial"/>
                <w:sz w:val="13"/>
                <w:szCs w:val="13"/>
                <w:b w:val="1"/>
                <w:bCs w:val="1"/>
                <w:color w:val="auto"/>
              </w:rPr>
              <w:t>GM</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GMI</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Cruise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5"/>
              </w:rPr>
              <w:t>Eliminations/Reclassifications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32,614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35,759</w:t>
            </w:r>
          </w:p>
        </w:tc>
        <w:tc>
          <w:tcPr>
            <w:tcW w:w="0" w:type="dxa"/>
            <w:vAlign w:val="bottom"/>
          </w:tcPr>
          <w:p>
            <w:pPr>
              <w:spacing w:after="0"/>
              <w:rPr>
                <w:sz w:val="1"/>
                <w:szCs w:val="1"/>
                <w:color w:val="auto"/>
              </w:rPr>
            </w:pPr>
          </w:p>
        </w:tc>
      </w:tr>
      <w:tr>
        <w:trPr>
          <w:trHeight w:val="134"/>
        </w:trPr>
        <w:tc>
          <w:tcPr>
            <w:tcW w:w="2440" w:type="dxa"/>
            <w:vAlign w:val="bottom"/>
          </w:tcPr>
          <w:p>
            <w:pPr>
              <w:ind w:left="20"/>
              <w:spacing w:after="0" w:line="134"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2,299</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1,778</w:t>
            </w:r>
          </w:p>
        </w:tc>
        <w:tc>
          <w:tcPr>
            <w:tcW w:w="2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(543)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1,106</w:t>
            </w:r>
          </w:p>
        </w:tc>
        <w:tc>
          <w:tcPr>
            <w:tcW w:w="7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2,343</w:t>
            </w: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4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21"/>
        </w:trPr>
        <w:tc>
          <w:tcPr>
            <w:tcW w:w="2440" w:type="dxa"/>
            <w:vAlign w:val="bottom"/>
          </w:tcPr>
          <w:p>
            <w:pPr>
              <w:ind w:left="20"/>
              <w:spacing w:after="0" w:line="121" w:lineRule="exact"/>
              <w:rPr>
                <w:sz w:val="20"/>
                <w:szCs w:val="20"/>
                <w:color w:val="auto"/>
              </w:rPr>
            </w:pPr>
            <w:r>
              <w:rPr>
                <w:rFonts w:ascii="Arial" w:cs="Arial" w:eastAsia="Arial" w:hAnsi="Arial"/>
                <w:sz w:val="13"/>
                <w:szCs w:val="13"/>
                <w:color w:val="auto"/>
                <w:w w:val="89"/>
              </w:rPr>
              <w:t>Net income (loss) attributable to noncontrolling</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8"/>
        </w:trPr>
        <w:tc>
          <w:tcPr>
            <w:tcW w:w="244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2,132</w:t>
            </w:r>
          </w:p>
        </w:tc>
        <w:tc>
          <w:tcPr>
            <w:tcW w:w="0" w:type="dxa"/>
            <w:vAlign w:val="bottom"/>
          </w:tcPr>
          <w:p>
            <w:pPr>
              <w:spacing w:after="0"/>
              <w:rPr>
                <w:sz w:val="1"/>
                <w:szCs w:val="1"/>
                <w:color w:val="auto"/>
              </w:rPr>
            </w:pPr>
          </w:p>
        </w:tc>
      </w:tr>
      <w:tr>
        <w:trPr>
          <w:trHeight w:val="182"/>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(expense)</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1,642</w:t>
            </w:r>
          </w:p>
        </w:tc>
        <w:tc>
          <w:tcPr>
            <w:tcW w:w="0" w:type="dxa"/>
            <w:vAlign w:val="bottom"/>
          </w:tcPr>
          <w:p>
            <w:pPr>
              <w:spacing w:after="0"/>
              <w:rPr>
                <w:sz w:val="1"/>
                <w:szCs w:val="1"/>
                <w:color w:val="auto"/>
              </w:rPr>
            </w:pPr>
          </w:p>
        </w:tc>
      </w:tr>
      <w:tr>
        <w:trPr>
          <w:trHeight w:val="121"/>
        </w:trPr>
        <w:tc>
          <w:tcPr>
            <w:tcW w:w="2440" w:type="dxa"/>
            <w:vAlign w:val="bottom"/>
          </w:tcPr>
          <w:p>
            <w:pPr>
              <w:ind w:left="20"/>
              <w:spacing w:after="0" w:line="121" w:lineRule="exact"/>
              <w:rPr>
                <w:sz w:val="20"/>
                <w:szCs w:val="20"/>
                <w:color w:val="auto"/>
              </w:rPr>
            </w:pPr>
            <w:r>
              <w:rPr>
                <w:rFonts w:ascii="Arial" w:cs="Arial" w:eastAsia="Arial" w:hAnsi="Arial"/>
                <w:sz w:val="13"/>
                <w:szCs w:val="13"/>
                <w:color w:val="auto"/>
                <w:w w:val="89"/>
              </w:rPr>
              <w:t>Net loss (income) attributable to noncontrolling</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8"/>
        </w:trPr>
        <w:tc>
          <w:tcPr>
            <w:tcW w:w="244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2"/>
              </w:rPr>
              <w:t>Net income (loss) attributable to stockholders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1,692</w:t>
            </w:r>
          </w:p>
        </w:tc>
        <w:tc>
          <w:tcPr>
            <w:tcW w:w="0" w:type="dxa"/>
            <w:vAlign w:val="bottom"/>
          </w:tcPr>
          <w:p>
            <w:pPr>
              <w:spacing w:after="0"/>
              <w:rPr>
                <w:sz w:val="1"/>
                <w:szCs w:val="1"/>
                <w:color w:val="auto"/>
              </w:rPr>
            </w:pPr>
          </w:p>
        </w:tc>
      </w:tr>
      <w:tr>
        <w:trPr>
          <w:trHeight w:val="21"/>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44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6,556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7,972</w:t>
            </w:r>
          </w:p>
        </w:tc>
        <w:tc>
          <w:tcPr>
            <w:tcW w:w="2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1,760</w:t>
            </w:r>
          </w:p>
        </w:tc>
        <w:tc>
          <w:tcPr>
            <w:tcW w:w="76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9,733</w:t>
            </w: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44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2,187</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754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ind w:left="6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2,945</w:t>
            </w:r>
          </w:p>
        </w:tc>
        <w:tc>
          <w:tcPr>
            <w:tcW w:w="2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727</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1,341</w:t>
            </w:r>
          </w:p>
        </w:tc>
        <w:tc>
          <w:tcPr>
            <w:tcW w:w="7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5,013</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0"/>
              </w:rPr>
              <w:t>(55,045)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131,815</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116,807</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253,517</w:t>
            </w:r>
          </w:p>
        </w:tc>
        <w:tc>
          <w:tcPr>
            <w:tcW w:w="0" w:type="dxa"/>
            <w:vAlign w:val="bottom"/>
          </w:tcPr>
          <w:p>
            <w:pPr>
              <w:spacing w:after="0"/>
              <w:rPr>
                <w:sz w:val="1"/>
                <w:szCs w:val="1"/>
                <w:color w:val="auto"/>
              </w:rPr>
            </w:pPr>
          </w:p>
        </w:tc>
      </w:tr>
      <w:tr>
        <w:trPr>
          <w:trHeight w:val="166"/>
        </w:trPr>
        <w:tc>
          <w:tcPr>
            <w:tcW w:w="244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1,476</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ind w:left="6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1,613</w:t>
            </w:r>
          </w:p>
        </w:tc>
        <w:tc>
          <w:tcPr>
            <w:tcW w:w="2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1,218</w:t>
            </w:r>
          </w:p>
        </w:tc>
        <w:tc>
          <w:tcPr>
            <w:tcW w:w="7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2,844</w:t>
            </w:r>
          </w:p>
        </w:tc>
        <w:tc>
          <w:tcPr>
            <w:tcW w:w="0" w:type="dxa"/>
            <w:vAlign w:val="bottom"/>
          </w:tcPr>
          <w:p>
            <w:pPr>
              <w:spacing w:after="0"/>
              <w:rPr>
                <w:sz w:val="1"/>
                <w:szCs w:val="1"/>
                <w:color w:val="auto"/>
              </w:rPr>
            </w:pPr>
          </w:p>
        </w:tc>
      </w:tr>
      <w:tr>
        <w:trPr>
          <w:trHeight w:val="177"/>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8"/>
        </w:trPr>
        <w:tc>
          <w:tcPr>
            <w:tcW w:w="2440" w:type="dxa"/>
            <w:vAlign w:val="bottom"/>
          </w:tcPr>
          <w:p>
            <w:pPr>
              <w:ind w:left="20"/>
              <w:spacing w:after="0"/>
              <w:rPr>
                <w:sz w:val="20"/>
                <w:szCs w:val="20"/>
                <w:color w:val="auto"/>
              </w:rPr>
            </w:pPr>
            <w:r>
              <w:rPr>
                <w:rFonts w:ascii="Arial" w:cs="Arial" w:eastAsia="Arial" w:hAnsi="Arial"/>
                <w:sz w:val="13"/>
                <w:szCs w:val="13"/>
                <w:color w:val="auto"/>
              </w:rPr>
              <w:t>Equity income (loss)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(89)</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ind w:left="6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(95)</w:t>
            </w:r>
          </w:p>
        </w:tc>
        <w:tc>
          <w:tcPr>
            <w:tcW w:w="2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50</w:t>
            </w:r>
          </w:p>
        </w:tc>
        <w:tc>
          <w:tcPr>
            <w:tcW w:w="7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bl>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10"/>
          </w:tcPr>
          <w:p>
            <w:pPr>
              <w:jc w:val="right"/>
              <w:ind w:right="497"/>
              <w:spacing w:after="0"/>
              <w:rPr>
                <w:sz w:val="20"/>
                <w:szCs w:val="20"/>
                <w:color w:val="auto"/>
              </w:rPr>
            </w:pPr>
            <w:r>
              <w:rPr>
                <w:rFonts w:ascii="Arial" w:cs="Arial" w:eastAsia="Arial" w:hAnsi="Arial"/>
                <w:sz w:val="13"/>
                <w:szCs w:val="13"/>
                <w:b w:val="1"/>
                <w:bCs w:val="1"/>
                <w:color w:val="auto"/>
              </w:rPr>
              <w:t>At and For the Six Months Ended June 30, 2023</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GMNA</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237"/>
              <w:spacing w:after="0" w:line="121"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8"/>
              </w:rPr>
              <w:t>Cruise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217"/>
              <w:spacing w:after="0" w:line="121" w:lineRule="exact"/>
              <w:rPr>
                <w:sz w:val="20"/>
                <w:szCs w:val="20"/>
                <w:color w:val="auto"/>
              </w:rPr>
            </w:pPr>
            <w:r>
              <w:rPr>
                <w:rFonts w:ascii="Arial" w:cs="Arial" w:eastAsia="Arial" w:hAnsi="Arial"/>
                <w:sz w:val="13"/>
                <w:szCs w:val="13"/>
                <w:b w:val="1"/>
                <w:bCs w:val="1"/>
                <w:color w:val="auto"/>
              </w:rPr>
              <w:t>GM</w:t>
            </w:r>
          </w:p>
        </w:tc>
        <w:tc>
          <w:tcPr>
            <w:tcW w:w="100" w:type="dxa"/>
            <w:vAlign w:val="bottom"/>
          </w:tcPr>
          <w:p>
            <w:pPr>
              <w:spacing w:after="0"/>
              <w:rPr>
                <w:sz w:val="10"/>
                <w:szCs w:val="10"/>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5"/>
              </w:rPr>
              <w:t>Eliminations/Reclassifications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Financial</w:t>
            </w:r>
          </w:p>
        </w:tc>
        <w:tc>
          <w:tcPr>
            <w:tcW w:w="1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84,732</w:t>
            </w:r>
          </w:p>
        </w:tc>
        <w:tc>
          <w:tcPr>
            <w:tcW w:w="0" w:type="dxa"/>
            <w:vAlign w:val="bottom"/>
          </w:tcPr>
          <w:p>
            <w:pPr>
              <w:spacing w:after="0"/>
              <w:rPr>
                <w:sz w:val="1"/>
                <w:szCs w:val="1"/>
                <w:color w:val="auto"/>
              </w:rPr>
            </w:pPr>
          </w:p>
        </w:tc>
      </w:tr>
      <w:tr>
        <w:trPr>
          <w:trHeight w:val="121"/>
        </w:trPr>
        <w:tc>
          <w:tcPr>
            <w:tcW w:w="2440" w:type="dxa"/>
            <w:vAlign w:val="bottom"/>
          </w:tcPr>
          <w:p>
            <w:pPr>
              <w:ind w:left="20"/>
              <w:spacing w:after="0" w:line="121"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6,769</w:t>
            </w:r>
          </w:p>
        </w:tc>
        <w:tc>
          <w:tcPr>
            <w:tcW w:w="2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583</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(674)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6,678</w:t>
            </w:r>
          </w:p>
        </w:tc>
        <w:tc>
          <w:tcPr>
            <w:tcW w:w="2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(1,172)</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1,537</w:t>
            </w:r>
          </w:p>
        </w:tc>
        <w:tc>
          <w:tcPr>
            <w:tcW w:w="84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2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7,037</w:t>
            </w:r>
          </w:p>
        </w:tc>
        <w:tc>
          <w:tcPr>
            <w:tcW w:w="0" w:type="dxa"/>
            <w:vAlign w:val="bottom"/>
          </w:tcPr>
          <w:p>
            <w:pPr>
              <w:spacing w:after="0"/>
              <w:rPr>
                <w:sz w:val="1"/>
                <w:szCs w:val="1"/>
                <w:color w:val="auto"/>
              </w:rPr>
            </w:pPr>
          </w:p>
        </w:tc>
      </w:tr>
      <w:tr>
        <w:trPr>
          <w:trHeight w:val="158"/>
        </w:trPr>
        <w:tc>
          <w:tcPr>
            <w:tcW w:w="244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0" w:type="dxa"/>
            <w:vAlign w:val="bottom"/>
          </w:tcPr>
          <w:p>
            <w:pPr>
              <w:spacing w:after="0"/>
              <w:rPr>
                <w:sz w:val="1"/>
                <w:szCs w:val="1"/>
                <w:color w:val="auto"/>
              </w:rPr>
            </w:pPr>
          </w:p>
        </w:tc>
      </w:tr>
      <w:tr>
        <w:trPr>
          <w:trHeight w:val="166"/>
        </w:trPr>
        <w:tc>
          <w:tcPr>
            <w:tcW w:w="24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83"/>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34"/>
        </w:trPr>
        <w:tc>
          <w:tcPr>
            <w:tcW w:w="2440" w:type="dxa"/>
            <w:vAlign w:val="bottom"/>
          </w:tcPr>
          <w:p>
            <w:pPr>
              <w:ind w:left="20"/>
              <w:spacing w:after="0" w:line="134" w:lineRule="exact"/>
              <w:rPr>
                <w:sz w:val="20"/>
                <w:szCs w:val="20"/>
                <w:color w:val="auto"/>
              </w:rPr>
            </w:pPr>
            <w:r>
              <w:rPr>
                <w:rFonts w:ascii="Arial" w:cs="Arial" w:eastAsia="Arial" w:hAnsi="Arial"/>
                <w:sz w:val="13"/>
                <w:szCs w:val="13"/>
                <w:color w:val="auto"/>
                <w:w w:val="89"/>
              </w:rPr>
              <w:t>Net income (loss) attributable to noncontrolling</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5,803</w:t>
            </w:r>
          </w:p>
        </w:tc>
        <w:tc>
          <w:tcPr>
            <w:tcW w:w="0" w:type="dxa"/>
            <w:vAlign w:val="bottom"/>
          </w:tcPr>
          <w:p>
            <w:pPr>
              <w:spacing w:after="0"/>
              <w:rPr>
                <w:sz w:val="1"/>
                <w:szCs w:val="1"/>
                <w:color w:val="auto"/>
              </w:rPr>
            </w:pPr>
          </w:p>
        </w:tc>
      </w:tr>
      <w:tr>
        <w:trPr>
          <w:trHeight w:val="168"/>
        </w:trPr>
        <w:tc>
          <w:tcPr>
            <w:tcW w:w="2440" w:type="dxa"/>
            <w:vAlign w:val="bottom"/>
          </w:tcPr>
          <w:p>
            <w:pPr>
              <w:ind w:left="20"/>
              <w:spacing w:after="0"/>
              <w:rPr>
                <w:sz w:val="20"/>
                <w:szCs w:val="20"/>
                <w:color w:val="auto"/>
              </w:rPr>
            </w:pPr>
            <w:r>
              <w:rPr>
                <w:rFonts w:ascii="Arial" w:cs="Arial" w:eastAsia="Arial" w:hAnsi="Arial"/>
                <w:sz w:val="13"/>
                <w:szCs w:val="13"/>
                <w:color w:val="auto"/>
              </w:rPr>
              <w:t>Income tax benefit (expense)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16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4,853</w:t>
            </w:r>
          </w:p>
        </w:tc>
        <w:tc>
          <w:tcPr>
            <w:tcW w:w="0" w:type="dxa"/>
            <w:vAlign w:val="bottom"/>
          </w:tcPr>
          <w:p>
            <w:pPr>
              <w:spacing w:after="0"/>
              <w:rPr>
                <w:sz w:val="1"/>
                <w:szCs w:val="1"/>
                <w:color w:val="auto"/>
              </w:rPr>
            </w:pPr>
          </w:p>
        </w:tc>
      </w:tr>
      <w:tr>
        <w:trPr>
          <w:trHeight w:val="121"/>
        </w:trPr>
        <w:tc>
          <w:tcPr>
            <w:tcW w:w="2440" w:type="dxa"/>
            <w:vAlign w:val="bottom"/>
          </w:tcPr>
          <w:p>
            <w:pPr>
              <w:ind w:left="20"/>
              <w:spacing w:after="0" w:line="121" w:lineRule="exact"/>
              <w:rPr>
                <w:sz w:val="20"/>
                <w:szCs w:val="20"/>
                <w:color w:val="auto"/>
              </w:rPr>
            </w:pPr>
            <w:r>
              <w:rPr>
                <w:rFonts w:ascii="Arial" w:cs="Arial" w:eastAsia="Arial" w:hAnsi="Arial"/>
                <w:sz w:val="13"/>
                <w:szCs w:val="13"/>
                <w:color w:val="auto"/>
                <w:w w:val="89"/>
              </w:rPr>
              <w:t>Net loss (income) attributable to noncontrolling</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68"/>
        </w:trPr>
        <w:tc>
          <w:tcPr>
            <w:tcW w:w="24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4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w w:val="92"/>
              </w:rPr>
              <w:t>Net income (loss) attributable to stockholders</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4,962</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2,496</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5,746</w:t>
            </w:r>
          </w:p>
        </w:tc>
        <w:tc>
          <w:tcPr>
            <w:tcW w:w="0" w:type="dxa"/>
            <w:vAlign w:val="bottom"/>
          </w:tcPr>
          <w:p>
            <w:pPr>
              <w:spacing w:after="0"/>
              <w:rPr>
                <w:sz w:val="1"/>
                <w:szCs w:val="1"/>
                <w:color w:val="auto"/>
              </w:rPr>
            </w:pPr>
          </w:p>
        </w:tc>
      </w:tr>
      <w:tr>
        <w:trPr>
          <w:trHeight w:val="158"/>
        </w:trPr>
        <w:tc>
          <w:tcPr>
            <w:tcW w:w="244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tcPr>
          <w:p>
            <w:pPr>
              <w:ind w:left="68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(loss)(b)</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7" w:lineRule="exact"/>
        <w:rPr>
          <w:sz w:val="20"/>
          <w:szCs w:val="20"/>
          <w:color w:val="auto"/>
        </w:rPr>
      </w:pPr>
    </w:p>
    <w:p>
      <w:pPr>
        <w:ind w:left="280" w:hanging="273"/>
        <w:spacing w:after="0"/>
        <w:tabs>
          <w:tab w:leader="none" w:pos="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charges for strategic activities related to Buick dealerships and charges related to the VSP in GMNA and the partial resolution of Korean subcontractor matters in GMI.</w:t>
      </w:r>
    </w:p>
    <w:p>
      <w:pPr>
        <w:ind w:left="340" w:hanging="333"/>
        <w:spacing w:after="0" w:line="237" w:lineRule="auto"/>
        <w:tabs>
          <w:tab w:leader="none" w:pos="321" w:val="left"/>
        </w:tabs>
        <w:numPr>
          <w:ilvl w:val="0"/>
          <w:numId w:val="14"/>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are presented in Automotive and other cost of sales as this entity is integral to the operations of our business by providing battery cells for our EVs. In the six months ended June 30, 2023, equity earnings related to Ultium Cells Holdings LLC were insignificant.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10"/>
          </w:tcPr>
          <w:p>
            <w:pPr>
              <w:jc w:val="right"/>
              <w:ind w:right="477"/>
              <w:spacing w:after="0"/>
              <w:rPr>
                <w:sz w:val="20"/>
                <w:szCs w:val="20"/>
                <w:color w:val="auto"/>
              </w:rPr>
            </w:pPr>
            <w:r>
              <w:rPr>
                <w:rFonts w:ascii="Arial" w:cs="Arial" w:eastAsia="Arial" w:hAnsi="Arial"/>
                <w:sz w:val="13"/>
                <w:szCs w:val="13"/>
                <w:b w:val="1"/>
                <w:bCs w:val="1"/>
                <w:color w:val="auto"/>
              </w:rPr>
              <w:t>At and For the Six Months Ended June 30, 2022</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37"/>
              <w:spacing w:after="0" w:line="130"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217"/>
              <w:spacing w:after="0" w:line="130" w:lineRule="exact"/>
              <w:rPr>
                <w:sz w:val="20"/>
                <w:szCs w:val="20"/>
                <w:color w:val="auto"/>
              </w:rPr>
            </w:pPr>
            <w:r>
              <w:rPr>
                <w:rFonts w:ascii="Arial" w:cs="Arial" w:eastAsia="Arial" w:hAnsi="Arial"/>
                <w:sz w:val="13"/>
                <w:szCs w:val="13"/>
                <w:b w:val="1"/>
                <w:bCs w:val="1"/>
                <w:color w:val="auto"/>
              </w:rPr>
              <w:t>GM</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GMI</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Automotive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8"/>
              </w:rPr>
              <w:t>Cruise</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5"/>
              </w:rPr>
              <w:t>Eliminations/Reclassifications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71,738</w:t>
            </w:r>
          </w:p>
        </w:tc>
        <w:tc>
          <w:tcPr>
            <w:tcW w:w="0" w:type="dxa"/>
            <w:vAlign w:val="bottom"/>
          </w:tcPr>
          <w:p>
            <w:pPr>
              <w:spacing w:after="0"/>
              <w:rPr>
                <w:sz w:val="1"/>
                <w:szCs w:val="1"/>
                <w:color w:val="auto"/>
              </w:rPr>
            </w:pPr>
          </w:p>
        </w:tc>
      </w:tr>
      <w:tr>
        <w:trPr>
          <w:trHeight w:val="134"/>
        </w:trPr>
        <w:tc>
          <w:tcPr>
            <w:tcW w:w="2460" w:type="dxa"/>
            <w:vAlign w:val="bottom"/>
          </w:tcPr>
          <w:p>
            <w:pPr>
              <w:ind w:left="20"/>
              <w:spacing w:after="0" w:line="134"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5,440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537</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(1,118)</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4,859</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(868)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2,390</w:t>
            </w:r>
          </w:p>
        </w:tc>
        <w:tc>
          <w:tcPr>
            <w:tcW w:w="8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6,387</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0" w:type="dxa"/>
            <w:vAlign w:val="bottom"/>
          </w:tcPr>
          <w:p>
            <w:pPr>
              <w:spacing w:after="0"/>
              <w:rPr>
                <w:sz w:val="1"/>
                <w:szCs w:val="1"/>
                <w:color w:val="auto"/>
              </w:rPr>
            </w:pPr>
          </w:p>
        </w:tc>
      </w:tr>
      <w:tr>
        <w:trPr>
          <w:trHeight w:val="158"/>
        </w:trPr>
        <w:tc>
          <w:tcPr>
            <w:tcW w:w="246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30"/>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21"/>
        </w:trPr>
        <w:tc>
          <w:tcPr>
            <w:tcW w:w="2460" w:type="dxa"/>
            <w:vAlign w:val="bottom"/>
          </w:tcPr>
          <w:p>
            <w:pPr>
              <w:ind w:left="20"/>
              <w:spacing w:after="0" w:line="121" w:lineRule="exact"/>
              <w:rPr>
                <w:sz w:val="20"/>
                <w:szCs w:val="20"/>
                <w:color w:val="auto"/>
              </w:rPr>
            </w:pPr>
            <w:r>
              <w:rPr>
                <w:rFonts w:ascii="Arial" w:cs="Arial" w:eastAsia="Arial" w:hAnsi="Arial"/>
                <w:sz w:val="13"/>
                <w:szCs w:val="13"/>
                <w:color w:val="auto"/>
                <w:w w:val="90"/>
              </w:rPr>
              <w:t>Net income (loss) attributable to noncontrolling</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68"/>
        </w:trPr>
        <w:tc>
          <w:tcPr>
            <w:tcW w:w="24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4,912</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(expense)</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4,449</w:t>
            </w:r>
          </w:p>
        </w:tc>
        <w:tc>
          <w:tcPr>
            <w:tcW w:w="0" w:type="dxa"/>
            <w:vAlign w:val="bottom"/>
          </w:tcPr>
          <w:p>
            <w:pPr>
              <w:spacing w:after="0"/>
              <w:rPr>
                <w:sz w:val="1"/>
                <w:szCs w:val="1"/>
                <w:color w:val="auto"/>
              </w:rPr>
            </w:pPr>
          </w:p>
        </w:tc>
      </w:tr>
      <w:tr>
        <w:trPr>
          <w:trHeight w:val="121"/>
        </w:trPr>
        <w:tc>
          <w:tcPr>
            <w:tcW w:w="2460" w:type="dxa"/>
            <w:vAlign w:val="bottom"/>
          </w:tcPr>
          <w:p>
            <w:pPr>
              <w:ind w:left="20"/>
              <w:spacing w:after="0" w:line="121" w:lineRule="exact"/>
              <w:rPr>
                <w:sz w:val="20"/>
                <w:szCs w:val="20"/>
                <w:color w:val="auto"/>
              </w:rPr>
            </w:pPr>
            <w:r>
              <w:rPr>
                <w:rFonts w:ascii="Arial" w:cs="Arial" w:eastAsia="Arial" w:hAnsi="Arial"/>
                <w:sz w:val="13"/>
                <w:szCs w:val="13"/>
                <w:color w:val="auto"/>
                <w:w w:val="90"/>
              </w:rPr>
              <w:t>Net loss (income) attributable to noncontrolling</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68"/>
        </w:trPr>
        <w:tc>
          <w:tcPr>
            <w:tcW w:w="24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Net income (loss) attributable to stockholders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4,631</w:t>
            </w:r>
          </w:p>
        </w:tc>
        <w:tc>
          <w:tcPr>
            <w:tcW w:w="0" w:type="dxa"/>
            <w:vAlign w:val="bottom"/>
          </w:tcPr>
          <w:p>
            <w:pPr>
              <w:spacing w:after="0"/>
              <w:rPr>
                <w:sz w:val="1"/>
                <w:szCs w:val="1"/>
                <w:color w:val="auto"/>
              </w:rPr>
            </w:pPr>
          </w:p>
        </w:tc>
      </w:tr>
      <w:tr>
        <w:trPr>
          <w:trHeight w:val="21"/>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3,256</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5,735</w:t>
            </w:r>
          </w:p>
        </w:tc>
        <w:tc>
          <w:tcPr>
            <w:tcW w:w="0" w:type="dxa"/>
            <w:vAlign w:val="bottom"/>
          </w:tcPr>
          <w:p>
            <w:pPr>
              <w:spacing w:after="0"/>
              <w:rPr>
                <w:sz w:val="1"/>
                <w:szCs w:val="1"/>
                <w:color w:val="auto"/>
              </w:rPr>
            </w:pPr>
          </w:p>
        </w:tc>
      </w:tr>
      <w:tr>
        <w:trPr>
          <w:trHeight w:val="166"/>
        </w:trPr>
        <w:tc>
          <w:tcPr>
            <w:tcW w:w="246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w:t>
            </w: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30"/>
        </w:trPr>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280" w:hanging="273"/>
        <w:spacing w:after="0"/>
        <w:tabs>
          <w:tab w:leader="none" w:pos="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Consists of the resolution of substantially all royalty matters accrued with respect to past-year vehicle sales in GMNA; and charges related to the one-time modification of Cruise stock incentive awards.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notes thereto, and the audited consolidated financial statements and notes thereto included in our 2022 Form 10-K.</w:t>
      </w:r>
    </w:p>
    <w:p>
      <w:pPr>
        <w:spacing w:after="0" w:line="20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2022 Form 10-K for a discussion of these risks and uncertainties. Except for per share amounts or as otherwise specified, dollar amounts presented within tables are stated in millions. Certain columns and rows may not add due to rounding.</w:t>
      </w:r>
    </w:p>
    <w:p>
      <w:pPr>
        <w:spacing w:after="0" w:line="208" w:lineRule="exact"/>
        <w:rPr>
          <w:sz w:val="20"/>
          <w:szCs w:val="20"/>
          <w:color w:val="auto"/>
        </w:rPr>
      </w:pPr>
    </w:p>
    <w:p>
      <w:pPr>
        <w:jc w:val="both"/>
        <w:ind w:firstLine="161"/>
        <w:spacing w:after="0" w:line="256"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EBIT-adjusted, presented net of noncontrolling interests; EBT-adjusted for our GM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91"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EBIT-adjusted </w:t>
      </w:r>
      <w:r>
        <w:rPr>
          <w:rFonts w:ascii="Arial" w:cs="Arial" w:eastAsia="Arial" w:hAnsi="Arial"/>
          <w:sz w:val="18"/>
          <w:szCs w:val="18"/>
          <w:color w:val="auto"/>
        </w:rPr>
        <w:t>EBIT-adjusted is presented net of noncontrolling interests and is used by management and can be used by investors to review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16"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1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Net income attributable to stockholders under U.S. GAAP to EBIT-adjusted: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3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194"/>
        </w:trPr>
        <w:tc>
          <w:tcPr>
            <w:tcW w:w="3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3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42"/>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color w:val="auto"/>
              </w:rPr>
              <w:t>Automotive interest income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w w:val="95"/>
              </w:rPr>
              <w:t>(215)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6"/>
        </w:trPr>
        <w:tc>
          <w:tcPr>
            <w:tcW w:w="3980" w:type="dxa"/>
            <w:vAlign w:val="bottom"/>
          </w:tcPr>
          <w:p>
            <w:pPr>
              <w:ind w:left="140"/>
              <w:spacing w:after="0"/>
              <w:rPr>
                <w:sz w:val="20"/>
                <w:szCs w:val="20"/>
                <w:color w:val="auto"/>
              </w:rPr>
            </w:pPr>
            <w:r>
              <w:rPr>
                <w:rFonts w:ascii="Arial" w:cs="Arial" w:eastAsia="Arial" w:hAnsi="Arial"/>
                <w:sz w:val="18"/>
                <w:szCs w:val="18"/>
                <w:color w:val="auto"/>
              </w:rPr>
              <w:t>Voluntary separation program(a)</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Cruise compensation modifications(b)</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Russia exit(c)</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Buick dealer strategy(d)</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Patent royalty matters(e)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GM Brazil indirect tax matters(f)</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3980" w:type="dxa"/>
            <w:vAlign w:val="bottom"/>
          </w:tcPr>
          <w:p>
            <w:pPr>
              <w:ind w:left="140"/>
              <w:spacing w:after="0"/>
              <w:rPr>
                <w:sz w:val="20"/>
                <w:szCs w:val="20"/>
                <w:color w:val="auto"/>
              </w:rPr>
            </w:pPr>
            <w:r>
              <w:rPr>
                <w:rFonts w:ascii="Arial" w:cs="Arial" w:eastAsia="Arial" w:hAnsi="Arial"/>
                <w:sz w:val="18"/>
                <w:szCs w:val="18"/>
                <w:color w:val="auto"/>
              </w:rPr>
              <w:t>Cadillac dealer strategy(g)</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1"/>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GM Korea wage litigation(h)</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adjustments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1,168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4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ind w:left="340" w:hanging="333"/>
        <w:spacing w:after="0" w:line="247"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acceleration of attrition as part of the cost reduction program announced in January 2023, primarily in the United States.</w:t>
      </w:r>
    </w:p>
    <w:p>
      <w:pPr>
        <w:spacing w:after="0" w:line="1" w:lineRule="exact"/>
        <w:rPr>
          <w:rFonts w:ascii="Arial" w:cs="Arial" w:eastAsia="Arial" w:hAnsi="Arial"/>
          <w:sz w:val="16"/>
          <w:szCs w:val="16"/>
          <w:color w:val="auto"/>
        </w:rPr>
      </w:pPr>
    </w:p>
    <w:p>
      <w:pPr>
        <w:ind w:left="340" w:hanging="333"/>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one-time modification of Cruise stock incentive awards.</w:t>
      </w:r>
    </w:p>
    <w:p>
      <w:pPr>
        <w:spacing w:after="0" w:line="7" w:lineRule="exact"/>
        <w:rPr>
          <w:rFonts w:ascii="Arial" w:cs="Arial" w:eastAsia="Arial" w:hAnsi="Arial"/>
          <w:sz w:val="16"/>
          <w:szCs w:val="16"/>
          <w:color w:val="auto"/>
        </w:rPr>
      </w:pPr>
    </w:p>
    <w:p>
      <w:pPr>
        <w:ind w:left="340" w:hanging="333"/>
        <w:spacing w:after="0" w:line="254"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shutdown of our Russia business including the write off of our net investment and release of accumulated translation losses into earnings.</w:t>
      </w:r>
    </w:p>
    <w:p>
      <w:pPr>
        <w:ind w:left="340" w:hanging="333"/>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37" w:lineRule="exact"/>
        <w:rPr>
          <w:rFonts w:ascii="Arial" w:cs="Arial" w:eastAsia="Arial" w:hAnsi="Arial"/>
          <w:sz w:val="14"/>
          <w:szCs w:val="14"/>
          <w:color w:val="auto"/>
        </w:rPr>
      </w:pPr>
    </w:p>
    <w:p>
      <w:pPr>
        <w:ind w:left="340" w:hanging="333"/>
        <w:spacing w:after="0" w:line="247"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These adjustments were excluded because they relate to certain royalties accrued with respect to past-year vehicle sales in the three months ended December 31, 2021, and the resolution of substantially all of these matters in the three months ended March 31, 2022.</w:t>
      </w:r>
    </w:p>
    <w:p>
      <w:pPr>
        <w:spacing w:after="0" w:line="1" w:lineRule="exact"/>
        <w:rPr>
          <w:rFonts w:ascii="Arial" w:cs="Arial" w:eastAsia="Arial" w:hAnsi="Arial"/>
          <w:sz w:val="16"/>
          <w:szCs w:val="16"/>
          <w:color w:val="auto"/>
        </w:rPr>
      </w:pPr>
    </w:p>
    <w:p>
      <w:pPr>
        <w:ind w:left="340" w:hanging="333"/>
        <w:spacing w:after="0" w:line="254"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a settlement with third parties in the three months ended December 31, 2021, relating to retrospective recoveries of indirect taxes in Brazil realized in prior periods.</w:t>
      </w:r>
    </w:p>
    <w:p>
      <w:pPr>
        <w:ind w:left="340" w:hanging="333"/>
        <w:spacing w:after="0"/>
        <w:tabs>
          <w:tab w:leader="none" w:pos="3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This adjustment was excluded because it relates to strategic activities to transition certain Cadillac dealers from the network as part of Cadillac's EV strategy.</w:t>
      </w:r>
    </w:p>
    <w:p>
      <w:pPr>
        <w:spacing w:after="0" w:line="25" w:lineRule="exact"/>
        <w:rPr>
          <w:rFonts w:ascii="Arial" w:cs="Arial" w:eastAsia="Arial" w:hAnsi="Arial"/>
          <w:sz w:val="15"/>
          <w:szCs w:val="15"/>
          <w:color w:val="auto"/>
        </w:rPr>
      </w:pPr>
    </w:p>
    <w:p>
      <w:pPr>
        <w:ind w:left="340" w:hanging="333"/>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partial resolution of subcontractor matters in 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94"/>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June 30, 2022</w:t>
            </w:r>
          </w:p>
        </w:tc>
      </w:tr>
      <w:tr>
        <w:trPr>
          <w:trHeight w:val="195"/>
        </w:trPr>
        <w:tc>
          <w:tcPr>
            <w:tcW w:w="3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w:t>
            </w:r>
          </w:p>
        </w:tc>
      </w:tr>
      <w:tr>
        <w:trPr>
          <w:trHeight w:val="228"/>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85"/>
              </w:rPr>
              <w:t>2.49</w:t>
            </w:r>
          </w:p>
        </w:tc>
      </w:tr>
      <w:tr>
        <w:trPr>
          <w:trHeight w:val="228"/>
        </w:trPr>
        <w:tc>
          <w:tcPr>
            <w:tcW w:w="368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93"/>
              <w:spacing w:after="0"/>
              <w:rPr>
                <w:sz w:val="20"/>
                <w:szCs w:val="20"/>
                <w:color w:val="auto"/>
              </w:rPr>
            </w:pPr>
            <w:r>
              <w:rPr>
                <w:rFonts w:ascii="Arial" w:cs="Arial" w:eastAsia="Arial" w:hAnsi="Arial"/>
                <w:sz w:val="18"/>
                <w:szCs w:val="18"/>
                <w:color w:val="auto"/>
                <w:w w:val="85"/>
              </w:rPr>
              <w:t>0.65</w:t>
            </w:r>
          </w:p>
        </w:tc>
      </w:tr>
      <w:tr>
        <w:trPr>
          <w:trHeight w:val="242"/>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on adjustments(b)</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3"/>
              </w:rPr>
              <w:t>(0.20)</w:t>
            </w:r>
          </w:p>
        </w:tc>
      </w:tr>
      <w:tr>
        <w:trPr>
          <w:trHeight w:val="228"/>
        </w:trPr>
        <w:tc>
          <w:tcPr>
            <w:tcW w:w="3680" w:type="dxa"/>
            <w:vAlign w:val="bottom"/>
          </w:tcPr>
          <w:p>
            <w:pPr>
              <w:ind w:left="20"/>
              <w:spacing w:after="0"/>
              <w:rPr>
                <w:sz w:val="20"/>
                <w:szCs w:val="20"/>
                <w:color w:val="auto"/>
              </w:rPr>
            </w:pPr>
            <w:r>
              <w:rPr>
                <w:rFonts w:ascii="Arial" w:cs="Arial" w:eastAsia="Arial" w:hAnsi="Arial"/>
                <w:sz w:val="18"/>
                <w:szCs w:val="18"/>
                <w:color w:val="auto"/>
              </w:rPr>
              <w:t>Tax adjustments(c)</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left="173"/>
              <w:spacing w:after="0"/>
              <w:rPr>
                <w:sz w:val="20"/>
                <w:szCs w:val="20"/>
                <w:color w:val="auto"/>
              </w:rPr>
            </w:pPr>
            <w:r>
              <w:rPr>
                <w:rFonts w:ascii="Arial" w:cs="Arial" w:eastAsia="Arial" w:hAnsi="Arial"/>
                <w:sz w:val="18"/>
                <w:szCs w:val="18"/>
                <w:color w:val="auto"/>
                <w:w w:val="93"/>
              </w:rPr>
              <w:t>(0.33)</w:t>
            </w:r>
          </w:p>
        </w:tc>
      </w:tr>
      <w:tr>
        <w:trPr>
          <w:trHeight w:val="22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Deemed dividend adjustment(d)</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85"/>
              </w:rPr>
              <w:t>0.62</w:t>
            </w:r>
          </w:p>
        </w:tc>
      </w:tr>
      <w:tr>
        <w:trPr>
          <w:trHeight w:val="235"/>
        </w:trPr>
        <w:tc>
          <w:tcPr>
            <w:tcW w:w="3680" w:type="dxa"/>
            <w:vAlign w:val="bottom"/>
          </w:tcPr>
          <w:p>
            <w:pPr>
              <w:ind w:left="20"/>
              <w:spacing w:after="0"/>
              <w:rPr>
                <w:sz w:val="20"/>
                <w:szCs w:val="20"/>
                <w:color w:val="auto"/>
              </w:rPr>
            </w:pPr>
            <w:r>
              <w:rPr>
                <w:rFonts w:ascii="Arial" w:cs="Arial" w:eastAsia="Arial" w:hAnsi="Arial"/>
                <w:sz w:val="18"/>
                <w:szCs w:val="18"/>
                <w:color w:val="auto"/>
              </w:rPr>
              <w:t>EPS-diluted-adjusted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193"/>
              <w:spacing w:after="0"/>
              <w:rPr>
                <w:sz w:val="20"/>
                <w:szCs w:val="20"/>
                <w:color w:val="auto"/>
              </w:rPr>
            </w:pPr>
            <w:r>
              <w:rPr>
                <w:rFonts w:ascii="Arial" w:cs="Arial" w:eastAsia="Arial" w:hAnsi="Arial"/>
                <w:sz w:val="18"/>
                <w:szCs w:val="18"/>
                <w:color w:val="auto"/>
                <w:w w:val="85"/>
              </w:rPr>
              <w:t>3.23</w:t>
            </w:r>
          </w:p>
        </w:tc>
      </w:tr>
      <w:tr>
        <w:trPr>
          <w:trHeight w:val="20"/>
        </w:trPr>
        <w:tc>
          <w:tcPr>
            <w:tcW w:w="3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40" w:hanging="333"/>
        <w:spacing w:after="0" w:line="25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MD&amp;A for the details of each individual adjustment.</w:t>
      </w:r>
    </w:p>
    <w:p>
      <w:pPr>
        <w:spacing w:after="0" w:line="1" w:lineRule="exact"/>
        <w:rPr>
          <w:rFonts w:ascii="Arial" w:cs="Arial" w:eastAsia="Arial" w:hAnsi="Arial"/>
          <w:sz w:val="16"/>
          <w:szCs w:val="16"/>
          <w:color w:val="auto"/>
        </w:rPr>
      </w:pPr>
    </w:p>
    <w:p>
      <w:pPr>
        <w:ind w:left="340" w:hanging="333"/>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4" w:lineRule="exact"/>
        <w:rPr>
          <w:rFonts w:ascii="Arial" w:cs="Arial" w:eastAsia="Arial" w:hAnsi="Arial"/>
          <w:sz w:val="16"/>
          <w:szCs w:val="16"/>
          <w:color w:val="auto"/>
        </w:rPr>
      </w:pPr>
    </w:p>
    <w:p>
      <w:pPr>
        <w:jc w:val="both"/>
        <w:ind w:left="340" w:hanging="333"/>
        <w:spacing w:after="0" w:line="22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consists of tax benefit related to the release of a valuation allowance against deferred tax assets considered realizable as a result of Cruise tax reconsolidation in the six months ended June 30, 2022. This adjustment was excluded because significant impacts of valuation allowances are not considered part of our core operations.</w:t>
      </w:r>
    </w:p>
    <w:p>
      <w:pPr>
        <w:ind w:left="340" w:hanging="333"/>
        <w:spacing w:after="0"/>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This adjustment consists of a deemed dividend related to the redemption of Cruise preferred shares from SoftBank in the six months ended June 30, 2022.</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1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0"/>
              </w:rPr>
              <w:t>June 30, 2023</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87"/>
              </w:rPr>
              <w:t>June 30, 2022</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0"/>
              </w:rPr>
              <w:t>June 30, 2023</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0"/>
              </w:rPr>
              <w:t>June 30, 2022</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60"/>
              <w:spacing w:after="0" w:line="121" w:lineRule="exact"/>
              <w:rPr>
                <w:sz w:val="20"/>
                <w:szCs w:val="20"/>
                <w:color w:val="auto"/>
              </w:rPr>
            </w:pPr>
            <w:r>
              <w:rPr>
                <w:rFonts w:ascii="Arial" w:cs="Arial" w:eastAsia="Arial" w:hAnsi="Arial"/>
                <w:sz w:val="13"/>
                <w:szCs w:val="13"/>
                <w:b w:val="1"/>
                <w:bCs w:val="1"/>
                <w:color w:val="auto"/>
                <w:w w:val="87"/>
              </w:rPr>
              <w:t>Income</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260"/>
              <w:spacing w:after="0" w:line="121" w:lineRule="exact"/>
              <w:rPr>
                <w:sz w:val="20"/>
                <w:szCs w:val="20"/>
                <w:color w:val="auto"/>
              </w:rPr>
            </w:pPr>
            <w:r>
              <w:rPr>
                <w:rFonts w:ascii="Arial" w:cs="Arial" w:eastAsia="Arial" w:hAnsi="Arial"/>
                <w:sz w:val="13"/>
                <w:szCs w:val="13"/>
                <w:b w:val="1"/>
                <w:bCs w:val="1"/>
                <w:color w:val="auto"/>
                <w:w w:val="87"/>
              </w:rPr>
              <w:t>Income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0"/>
                <w:szCs w:val="10"/>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Income tax</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0"/>
                <w:szCs w:val="10"/>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Income tax</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26"/>
              <w:spacing w:after="0" w:line="130" w:lineRule="exact"/>
              <w:rPr>
                <w:sz w:val="20"/>
                <w:szCs w:val="20"/>
                <w:color w:val="auto"/>
              </w:rPr>
            </w:pPr>
            <w:r>
              <w:rPr>
                <w:rFonts w:ascii="Arial" w:cs="Arial" w:eastAsia="Arial" w:hAnsi="Arial"/>
                <w:sz w:val="13"/>
                <w:szCs w:val="13"/>
                <w:b w:val="1"/>
                <w:bCs w:val="1"/>
                <w:color w:val="auto"/>
                <w:w w:val="85"/>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jc w:val="center"/>
              <w:ind w:right="260"/>
              <w:spacing w:after="0" w:line="130" w:lineRule="exact"/>
              <w:rPr>
                <w:sz w:val="20"/>
                <w:szCs w:val="20"/>
                <w:color w:val="auto"/>
              </w:rPr>
            </w:pPr>
            <w:r>
              <w:rPr>
                <w:rFonts w:ascii="Arial" w:cs="Arial" w:eastAsia="Arial" w:hAnsi="Arial"/>
                <w:sz w:val="13"/>
                <w:szCs w:val="13"/>
                <w:b w:val="1"/>
                <w:bCs w:val="1"/>
                <w:color w:val="auto"/>
                <w:w w:val="84"/>
              </w:rPr>
              <w:t>tax</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26"/>
              <w:spacing w:after="0" w:line="130" w:lineRule="exact"/>
              <w:rPr>
                <w:sz w:val="20"/>
                <w:szCs w:val="20"/>
                <w:color w:val="auto"/>
              </w:rPr>
            </w:pPr>
            <w:r>
              <w:rPr>
                <w:rFonts w:ascii="Arial" w:cs="Arial" w:eastAsia="Arial" w:hAnsi="Arial"/>
                <w:sz w:val="13"/>
                <w:szCs w:val="13"/>
                <w:b w:val="1"/>
                <w:bCs w:val="1"/>
                <w:color w:val="auto"/>
                <w:w w:val="85"/>
              </w:rPr>
              <w:t>before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260"/>
              <w:spacing w:after="0" w:line="130" w:lineRule="exact"/>
              <w:rPr>
                <w:sz w:val="20"/>
                <w:szCs w:val="20"/>
                <w:color w:val="auto"/>
              </w:rPr>
            </w:pPr>
            <w:r>
              <w:rPr>
                <w:rFonts w:ascii="Arial" w:cs="Arial" w:eastAsia="Arial" w:hAnsi="Arial"/>
                <w:sz w:val="13"/>
                <w:szCs w:val="13"/>
                <w:b w:val="1"/>
                <w:bCs w:val="1"/>
                <w:color w:val="auto"/>
                <w:w w:val="84"/>
              </w:rPr>
              <w:t>tax</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66"/>
              <w:spacing w:after="0" w:line="130" w:lineRule="exact"/>
              <w:rPr>
                <w:sz w:val="20"/>
                <w:szCs w:val="20"/>
                <w:color w:val="auto"/>
              </w:rPr>
            </w:pPr>
            <w:r>
              <w:rPr>
                <w:rFonts w:ascii="Arial" w:cs="Arial" w:eastAsia="Arial" w:hAnsi="Arial"/>
                <w:sz w:val="13"/>
                <w:szCs w:val="13"/>
                <w:b w:val="1"/>
                <w:bCs w:val="1"/>
                <w:color w:val="auto"/>
                <w:w w:val="85"/>
              </w:rPr>
              <w:t>before</w:t>
            </w:r>
          </w:p>
        </w:tc>
        <w:tc>
          <w:tcPr>
            <w:tcW w:w="10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66"/>
              <w:spacing w:after="0" w:line="130" w:lineRule="exact"/>
              <w:rPr>
                <w:sz w:val="20"/>
                <w:szCs w:val="20"/>
                <w:color w:val="auto"/>
              </w:rPr>
            </w:pPr>
            <w:r>
              <w:rPr>
                <w:rFonts w:ascii="Arial" w:cs="Arial" w:eastAsia="Arial" w:hAnsi="Arial"/>
                <w:sz w:val="13"/>
                <w:szCs w:val="13"/>
                <w:b w:val="1"/>
                <w:bCs w:val="1"/>
                <w:color w:val="auto"/>
                <w:w w:val="85"/>
              </w:rPr>
              <w:t>before</w:t>
            </w:r>
          </w:p>
        </w:tc>
        <w:tc>
          <w:tcPr>
            <w:tcW w:w="10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26"/>
              <w:spacing w:after="0" w:line="126"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3"/>
          </w:tcPr>
          <w:p>
            <w:pPr>
              <w:jc w:val="center"/>
              <w:ind w:right="260"/>
              <w:spacing w:after="0" w:line="126" w:lineRule="exact"/>
              <w:rPr>
                <w:sz w:val="20"/>
                <w:szCs w:val="20"/>
                <w:color w:val="auto"/>
              </w:rPr>
            </w:pPr>
            <w:r>
              <w:rPr>
                <w:rFonts w:ascii="Arial" w:cs="Arial" w:eastAsia="Arial" w:hAnsi="Arial"/>
                <w:sz w:val="13"/>
                <w:szCs w:val="13"/>
                <w:b w:val="1"/>
                <w:bCs w:val="1"/>
                <w:color w:val="auto"/>
                <w:w w:val="76"/>
              </w:rPr>
              <w:t>expense</w:t>
            </w:r>
          </w:p>
        </w:tc>
        <w:tc>
          <w:tcPr>
            <w:tcW w:w="7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86"/>
              </w:rPr>
              <w:t>Effective tax</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26"/>
              <w:spacing w:after="0" w:line="126" w:lineRule="exact"/>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ind w:right="260"/>
              <w:spacing w:after="0" w:line="126" w:lineRule="exact"/>
              <w:rPr>
                <w:sz w:val="20"/>
                <w:szCs w:val="20"/>
                <w:color w:val="auto"/>
              </w:rPr>
            </w:pPr>
            <w:r>
              <w:rPr>
                <w:rFonts w:ascii="Arial" w:cs="Arial" w:eastAsia="Arial" w:hAnsi="Arial"/>
                <w:sz w:val="13"/>
                <w:szCs w:val="13"/>
                <w:b w:val="1"/>
                <w:bCs w:val="1"/>
                <w:color w:val="auto"/>
                <w:w w:val="76"/>
              </w:rPr>
              <w:t>expense</w:t>
            </w:r>
          </w:p>
        </w:tc>
        <w:tc>
          <w:tcPr>
            <w:tcW w:w="74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86"/>
              </w:rPr>
              <w:t>Effective tax</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66"/>
              <w:spacing w:after="0" w:line="126"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expense</w:t>
            </w:r>
          </w:p>
        </w:tc>
        <w:tc>
          <w:tcPr>
            <w:tcW w:w="740" w:type="dxa"/>
            <w:vAlign w:val="bottom"/>
          </w:tcPr>
          <w:p>
            <w:pPr>
              <w:spacing w:after="0" w:line="126" w:lineRule="exact"/>
              <w:rPr>
                <w:sz w:val="20"/>
                <w:szCs w:val="20"/>
                <w:color w:val="auto"/>
              </w:rPr>
            </w:pPr>
            <w:r>
              <w:rPr>
                <w:rFonts w:ascii="Arial" w:cs="Arial" w:eastAsia="Arial" w:hAnsi="Arial"/>
                <w:sz w:val="13"/>
                <w:szCs w:val="13"/>
                <w:b w:val="1"/>
                <w:bCs w:val="1"/>
                <w:color w:val="auto"/>
                <w:w w:val="93"/>
              </w:rPr>
              <w:t>Effective tax</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66"/>
              <w:spacing w:after="0" w:line="126"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expense</w:t>
            </w:r>
          </w:p>
        </w:tc>
        <w:tc>
          <w:tcPr>
            <w:tcW w:w="74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86"/>
              </w:rPr>
              <w:t>Effective tax</w:t>
            </w:r>
          </w:p>
        </w:tc>
        <w:tc>
          <w:tcPr>
            <w:tcW w:w="0" w:type="dxa"/>
            <w:vAlign w:val="bottom"/>
          </w:tcPr>
          <w:p>
            <w:pPr>
              <w:spacing w:after="0"/>
              <w:rPr>
                <w:sz w:val="1"/>
                <w:szCs w:val="1"/>
                <w:color w:val="auto"/>
              </w:rPr>
            </w:pPr>
          </w:p>
        </w:tc>
      </w:tr>
      <w:tr>
        <w:trPr>
          <w:trHeight w:val="168"/>
        </w:trPr>
        <w:tc>
          <w:tcPr>
            <w:tcW w:w="1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84"/>
              </w:rPr>
              <w:t>taxes</w:t>
            </w:r>
          </w:p>
        </w:tc>
        <w:tc>
          <w:tcPr>
            <w:tcW w:w="10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(benefit)</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rate</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84"/>
              </w:rPr>
              <w:t>taxes</w:t>
            </w:r>
          </w:p>
        </w:tc>
        <w:tc>
          <w:tcPr>
            <w:tcW w:w="12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(benefit)</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rate</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taxes</w:t>
            </w:r>
          </w:p>
        </w:tc>
        <w:tc>
          <w:tcPr>
            <w:tcW w:w="100" w:type="dxa"/>
            <w:vAlign w:val="bottom"/>
          </w:tcPr>
          <w:p>
            <w:pPr>
              <w:spacing w:after="0"/>
              <w:rPr>
                <w:sz w:val="14"/>
                <w:szCs w:val="14"/>
                <w:color w:val="auto"/>
              </w:rPr>
            </w:pP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(benefit)</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rate</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taxes</w:t>
            </w:r>
          </w:p>
        </w:tc>
        <w:tc>
          <w:tcPr>
            <w:tcW w:w="100" w:type="dxa"/>
            <w:vAlign w:val="bottom"/>
          </w:tcPr>
          <w:p>
            <w:pPr>
              <w:spacing w:after="0"/>
              <w:rPr>
                <w:sz w:val="14"/>
                <w:szCs w:val="14"/>
                <w:color w:val="auto"/>
              </w:rPr>
            </w:pP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(benefit)</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42"/>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5,803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16.4 %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4,912</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8"/>
        </w:trPr>
        <w:tc>
          <w:tcPr>
            <w:tcW w:w="166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3"/>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adjustments(b)</w:t>
            </w: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60" w:type="dxa"/>
            <w:vAlign w:val="bottom"/>
          </w:tcPr>
          <w:p>
            <w:pPr>
              <w:ind w:left="20"/>
              <w:spacing w:after="0"/>
              <w:rPr>
                <w:sz w:val="20"/>
                <w:szCs w:val="20"/>
                <w:color w:val="auto"/>
              </w:rPr>
            </w:pPr>
            <w:r>
              <w:rPr>
                <w:rFonts w:ascii="Arial" w:cs="Arial" w:eastAsia="Arial" w:hAnsi="Arial"/>
                <w:sz w:val="18"/>
                <w:szCs w:val="18"/>
                <w:color w:val="auto"/>
              </w:rPr>
              <w:t>ETR-adjusted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23.0 %</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rPr>
              <w:t>6,947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1,249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92"/>
              </w:rPr>
              <w:t>18.0 %</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rPr>
              <w:t>5,965</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jc w:val="both"/>
        <w:ind w:left="340" w:hanging="333"/>
        <w:spacing w:after="0" w:line="25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1" w:lineRule="exact"/>
        <w:rPr>
          <w:rFonts w:ascii="Arial" w:cs="Arial" w:eastAsia="Arial" w:hAnsi="Arial"/>
          <w:sz w:val="16"/>
          <w:szCs w:val="16"/>
          <w:color w:val="auto"/>
        </w:rPr>
      </w:pPr>
    </w:p>
    <w:p>
      <w:pPr>
        <w:ind w:left="340" w:hanging="333"/>
        <w:spacing w:after="0"/>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Refer to the reconciliation of diluted earnings per common share under U.S. GAAP to EPS-diluted-adjusted within this section of MD&amp;A for adjustment details.</w:t>
      </w:r>
    </w:p>
    <w:p>
      <w:pPr>
        <w:spacing w:after="0" w:line="23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4"/>
              </w:rPr>
              <w:t>Four Quarters Ended</w:t>
            </w:r>
          </w:p>
        </w:tc>
        <w:tc>
          <w:tcPr>
            <w:tcW w:w="146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0"/>
        </w:trPr>
        <w:tc>
          <w:tcPr>
            <w:tcW w:w="692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0"/>
              </w:rPr>
              <w:t>June 30, 2022</w:t>
            </w:r>
          </w:p>
        </w:tc>
      </w:tr>
      <w:tr>
        <w:trPr>
          <w:trHeight w:val="237"/>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460" w:type="dxa"/>
            <w:vAlign w:val="bottom"/>
            <w:shd w:val="clear" w:color="auto" w:fill="CCEEFF"/>
          </w:tcPr>
          <w:p>
            <w:pPr>
              <w:jc w:val="right"/>
              <w:ind w:right="12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10.3</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8.8</w:t>
            </w: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1460" w:type="dxa"/>
            <w:vAlign w:val="bottom"/>
          </w:tcPr>
          <w:p>
            <w:pPr>
              <w:jc w:val="right"/>
              <w:ind w:right="1256"/>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80"/>
              <w:spacing w:after="0"/>
              <w:rPr>
                <w:sz w:val="20"/>
                <w:szCs w:val="20"/>
                <w:color w:val="auto"/>
              </w:rPr>
            </w:pPr>
            <w:r>
              <w:rPr>
                <w:rFonts w:ascii="Arial" w:cs="Arial" w:eastAsia="Arial" w:hAnsi="Arial"/>
                <w:sz w:val="18"/>
                <w:szCs w:val="18"/>
                <w:color w:val="auto"/>
              </w:rPr>
              <w:t>70.5</w:t>
            </w:r>
          </w:p>
        </w:tc>
        <w:tc>
          <w:tcPr>
            <w:tcW w:w="7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5"/>
              <w:spacing w:after="0"/>
              <w:rPr>
                <w:sz w:val="20"/>
                <w:szCs w:val="20"/>
                <w:color w:val="auto"/>
              </w:rPr>
            </w:pPr>
            <w:r>
              <w:rPr>
                <w:rFonts w:ascii="Arial" w:cs="Arial" w:eastAsia="Arial" w:hAnsi="Arial"/>
                <w:sz w:val="18"/>
                <w:szCs w:val="18"/>
                <w:color w:val="auto"/>
              </w:rPr>
              <w:t>62.4</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1460" w:type="dxa"/>
            <w:vAlign w:val="bottom"/>
            <w:shd w:val="clear" w:color="auto" w:fill="CCEEFF"/>
          </w:tcPr>
          <w:p>
            <w:pPr>
              <w:spacing w:after="0"/>
              <w:rPr>
                <w:sz w:val="19"/>
                <w:szCs w:val="19"/>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14.6 %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attributable to stockholders.</w:t>
      </w:r>
    </w:p>
    <w:p>
      <w:pPr>
        <w:spacing w:after="0" w:line="200" w:lineRule="exact"/>
        <w:rPr>
          <w:rFonts w:ascii="Arial" w:cs="Arial" w:eastAsia="Arial" w:hAnsi="Arial"/>
          <w:sz w:val="16"/>
          <w:szCs w:val="16"/>
          <w:color w:val="auto"/>
        </w:rPr>
      </w:pPr>
    </w:p>
    <w:p>
      <w:pPr>
        <w:spacing w:after="0" w:line="39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Four Quarters Ended</w:t>
            </w:r>
          </w:p>
        </w:tc>
        <w:tc>
          <w:tcPr>
            <w:tcW w:w="1460" w:type="dxa"/>
            <w:vAlign w:val="bottom"/>
            <w:tcBorders>
              <w:bottom w:val="single" w:sz="8" w:color="auto"/>
            </w:tcBorders>
          </w:tcPr>
          <w:p>
            <w:pPr>
              <w:spacing w:after="0"/>
              <w:rPr>
                <w:sz w:val="16"/>
                <w:szCs w:val="16"/>
                <w:color w:val="auto"/>
              </w:rPr>
            </w:pPr>
          </w:p>
        </w:tc>
      </w:tr>
      <w:tr>
        <w:trPr>
          <w:trHeight w:val="194"/>
        </w:trPr>
        <w:tc>
          <w:tcPr>
            <w:tcW w:w="70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June 30, 2022</w:t>
            </w:r>
          </w:p>
        </w:tc>
      </w:tr>
      <w:tr>
        <w:trPr>
          <w:trHeight w:val="228"/>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1440" w:type="dxa"/>
            <w:vAlign w:val="bottom"/>
            <w:shd w:val="clear" w:color="auto" w:fill="CCEEFF"/>
          </w:tcPr>
          <w:p>
            <w:pPr>
              <w:jc w:val="right"/>
              <w:ind w:right="12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12.1</w:t>
            </w:r>
          </w:p>
        </w:tc>
      </w:tr>
      <w:tr>
        <w:trPr>
          <w:trHeight w:val="236"/>
        </w:trPr>
        <w:tc>
          <w:tcPr>
            <w:tcW w:w="700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1440" w:type="dxa"/>
            <w:vAlign w:val="bottom"/>
          </w:tcPr>
          <w:p>
            <w:pPr>
              <w:jc w:val="right"/>
              <w:ind w:right="125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70.5</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460" w:type="dxa"/>
            <w:vAlign w:val="bottom"/>
          </w:tcPr>
          <w:p>
            <w:pPr>
              <w:ind w:left="940"/>
              <w:spacing w:after="0"/>
              <w:rPr>
                <w:sz w:val="20"/>
                <w:szCs w:val="20"/>
                <w:color w:val="auto"/>
              </w:rPr>
            </w:pPr>
            <w:r>
              <w:rPr>
                <w:rFonts w:ascii="Arial" w:cs="Arial" w:eastAsia="Arial" w:hAnsi="Arial"/>
                <w:sz w:val="18"/>
                <w:szCs w:val="18"/>
                <w:color w:val="auto"/>
              </w:rPr>
              <w:t>62.4</w:t>
            </w:r>
          </w:p>
        </w:tc>
      </w:tr>
      <w:tr>
        <w:trPr>
          <w:trHeight w:val="235"/>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14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16.8</w:t>
            </w:r>
          </w:p>
        </w:tc>
      </w:tr>
      <w:tr>
        <w:trPr>
          <w:trHeight w:val="228"/>
        </w:trPr>
        <w:tc>
          <w:tcPr>
            <w:tcW w:w="700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1440" w:type="dxa"/>
            <w:vAlign w:val="bottom"/>
          </w:tcPr>
          <w:p>
            <w:pPr>
              <w:spacing w:after="0"/>
              <w:rPr>
                <w:sz w:val="19"/>
                <w:szCs w:val="19"/>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ind w:left="940"/>
              <w:spacing w:after="0"/>
              <w:rPr>
                <w:sz w:val="20"/>
                <w:szCs w:val="20"/>
                <w:color w:val="auto"/>
              </w:rPr>
            </w:pPr>
            <w:r>
              <w:rPr>
                <w:rFonts w:ascii="Arial" w:cs="Arial" w:eastAsia="Arial" w:hAnsi="Arial"/>
                <w:sz w:val="18"/>
                <w:szCs w:val="18"/>
                <w:color w:val="auto"/>
              </w:rPr>
              <w:t>12.1</w:t>
            </w:r>
          </w:p>
        </w:tc>
      </w:tr>
      <w:tr>
        <w:trPr>
          <w:trHeight w:val="24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14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3"/>
              </w:rPr>
              <w:t>(20.7)</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(21.6)</w:t>
            </w:r>
          </w:p>
        </w:tc>
      </w:tr>
      <w:tr>
        <w:trPr>
          <w:trHeight w:val="222"/>
        </w:trPr>
        <w:tc>
          <w:tcPr>
            <w:tcW w:w="7000" w:type="dxa"/>
            <w:vAlign w:val="bottom"/>
          </w:tcPr>
          <w:p>
            <w:pPr>
              <w:ind w:left="20"/>
              <w:spacing w:after="0"/>
              <w:rPr>
                <w:sz w:val="20"/>
                <w:szCs w:val="20"/>
                <w:color w:val="auto"/>
              </w:rPr>
            </w:pPr>
            <w:r>
              <w:rPr>
                <w:rFonts w:ascii="Arial" w:cs="Arial" w:eastAsia="Arial" w:hAnsi="Arial"/>
                <w:sz w:val="18"/>
                <w:szCs w:val="18"/>
                <w:color w:val="auto"/>
              </w:rPr>
              <w:t>ROIC-adjusted average net assets</w:t>
            </w:r>
          </w:p>
        </w:tc>
        <w:tc>
          <w:tcPr>
            <w:tcW w:w="1440" w:type="dxa"/>
            <w:vAlign w:val="bottom"/>
            <w:tcBorders>
              <w:bottom w:val="single" w:sz="8" w:color="auto"/>
            </w:tcBorders>
          </w:tcPr>
          <w:p>
            <w:pPr>
              <w:jc w:val="right"/>
              <w:ind w:right="12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69.7</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2"/>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1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9"/>
              </w:rPr>
              <w:t>17.4 %</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MD&amp;A.</w:t>
      </w:r>
    </w:p>
    <w:p>
      <w:pPr>
        <w:spacing w:after="0" w:line="7" w:lineRule="exact"/>
        <w:rPr>
          <w:rFonts w:ascii="Arial" w:cs="Arial" w:eastAsia="Arial" w:hAnsi="Arial"/>
          <w:sz w:val="16"/>
          <w:szCs w:val="16"/>
          <w:color w:val="auto"/>
        </w:rPr>
      </w:pPr>
    </w:p>
    <w:p>
      <w:pPr>
        <w:ind w:left="340" w:hanging="333"/>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vision for the future is a world with zero crashes, zero emissions and zero congestion, which guides our growth-focused strategy to invest in</w:t>
      </w:r>
      <w:r>
        <w:rPr>
          <w:rFonts w:ascii="Arial" w:cs="Arial" w:eastAsia="Arial" w:hAnsi="Arial"/>
          <w:sz w:val="18"/>
          <w:szCs w:val="18"/>
          <w:b w:val="1"/>
          <w:bCs w:val="1"/>
          <w:color w:val="auto"/>
        </w:rPr>
        <w:t xml:space="preserve"> </w:t>
      </w:r>
      <w:r>
        <w:rPr>
          <w:rFonts w:ascii="Arial" w:cs="Arial" w:eastAsia="Arial" w:hAnsi="Arial"/>
          <w:sz w:val="18"/>
          <w:szCs w:val="18"/>
          <w:color w:val="auto"/>
        </w:rPr>
        <w:t>EVs and AVs, software-enabled services and subscriptions and new business opportunities, while strengthening our market position in profitable internal combustion engine (ICE) vehicles, such as trucks and SUVs. We will execute our strategy with a diverse team and a steadfast commitment to good citizenship through sustainable operations and a leading health and safety culture.</w:t>
      </w:r>
    </w:p>
    <w:p>
      <w:pPr>
        <w:spacing w:after="0" w:line="21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We continue to monitor the macro-economic environment, including higher interest rates and inflationary pressures. Supply chain and logistics challenges continue but remain manageable, leading to increased production. We expect pricing performance on our new and refreshed vehicles to partially offset these headwinds. U.S. dealer inventories remained flat compared to December 2022 as we continue to match supply with demand.</w:t>
      </w:r>
    </w:p>
    <w:p>
      <w:pPr>
        <w:spacing w:after="0" w:line="193"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In January 2023, we announced our intention to implement a cost reduction program to reduce fixed costs by $2.0 billion on an annual run rate basis by 2024. In March 2023, we took the initial steps and announced performance-based exits and a VSP in an effort to accelerate attrition, which we believe will result in approximately $1.0 billion towards this target on an annual run rate basis. In addition to people costs, we expect the remaining $1.0 billion will come from reducing complexity across the vehicle portfolio and throughout the business, prioritizing growth initiatives and reducing overhead and discretionary costs. We have also identified another $1.0 billion of cost reductions to offset increased depreciation and amortization over the course of 2023 and 2024 as we continue to focus on growth initiatives and strategic ICE and EV investments. Refer to the Consolidated Results and regional analysis sections of this MD&amp;A for additional information.</w:t>
      </w:r>
    </w:p>
    <w:p>
      <w:pPr>
        <w:spacing w:after="0" w:line="219"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We also face continuing market, operating and regulatory challenges in several countries across the globe due to, among other factors, competitive pressures, our product portfolio offerings, heightened emission standards, potentially weakening economic conditions, labor disruptions, foreign exchange volatility, evolving trade policy and political uncertainty. Refer to Part I, Item 1A. Risk Factors of our 2022 Form 10-K for a discussion of these challenges.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we continue to assess our performance and the needs of our evolving business, additional restructuring and rationalization actions could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actions could give rise to future asset impairments or other charges, which may have a material impact on our operating results.</w:t>
      </w:r>
    </w:p>
    <w:p>
      <w:pPr>
        <w:spacing w:after="0" w:line="235"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On August 16, 2022, the Inflation Reduction Act (IRA) was enacted. The IRA modified climate and clean energy tax provisions and added new corporate tax credits for commercial EV purchases and investments in clean energy production, supply chains and manufacturing facilities. IRA benefits, including credits and lower material costs, are expected to materially affect net income in the future. The six month impact through June 30, 2023 was primarily lower material costs. We will continue to evaluate the IRA impacts on our financial results as additional regulatory guidance is issued.</w:t>
      </w:r>
    </w:p>
    <w:p>
      <w:pPr>
        <w:spacing w:after="0" w:line="18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For the year ending December 31, 2023, we expect Net income attributable to stockholders of between $9.3 billion and $10.7 billion, EBIT-adjusted of between $12.0 billion and $14.0 billion, EPS-diluted of between $6.54 and $7.54 and EPS-diluted-adjusted of between $7.15 and $8.15. We do not consider the potential impact of future adjustments, including work stoppages, on our expected financial results.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reconciles expected Net income attributable to stockholders under U.S. GAAP to expected EBIT-adjusted (dollars in billions):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280" w:type="dxa"/>
            <w:vAlign w:val="bottom"/>
          </w:tcPr>
          <w:p>
            <w:pPr>
              <w:jc w:val="right"/>
              <w:ind w:right="573"/>
              <w:spacing w:after="0"/>
              <w:rPr>
                <w:sz w:val="20"/>
                <w:szCs w:val="20"/>
                <w:color w:val="auto"/>
              </w:rPr>
            </w:pPr>
            <w:r>
              <w:rPr>
                <w:rFonts w:ascii="Arial" w:cs="Arial" w:eastAsia="Arial" w:hAnsi="Arial"/>
                <w:sz w:val="14"/>
                <w:szCs w:val="14"/>
                <w:b w:val="1"/>
                <w:bCs w:val="1"/>
                <w:color w:val="auto"/>
              </w:rPr>
              <w:t>Year Ending December 31, 2023</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$ 9.3-10.7</w:t>
            </w: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80" w:type="dxa"/>
            <w:vAlign w:val="bottom"/>
          </w:tcPr>
          <w:p>
            <w:pPr>
              <w:jc w:val="right"/>
              <w:spacing w:after="0"/>
              <w:rPr>
                <w:sz w:val="20"/>
                <w:szCs w:val="20"/>
                <w:color w:val="auto"/>
              </w:rPr>
            </w:pPr>
            <w:r>
              <w:rPr>
                <w:rFonts w:ascii="Arial" w:cs="Arial" w:eastAsia="Arial" w:hAnsi="Arial"/>
                <w:sz w:val="18"/>
                <w:szCs w:val="18"/>
                <w:color w:val="auto"/>
              </w:rPr>
              <w:t>1.6-2.2</w:t>
            </w:r>
          </w:p>
        </w:tc>
      </w:tr>
      <w:tr>
        <w:trPr>
          <w:trHeight w:val="242"/>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 net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$ 12.0-14.0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8" w:lineRule="exact"/>
        <w:rPr>
          <w:sz w:val="20"/>
          <w:szCs w:val="20"/>
          <w:color w:val="auto"/>
        </w:rPr>
      </w:pPr>
    </w:p>
    <w:p>
      <w:pPr>
        <w:ind w:left="340" w:hanging="333"/>
        <w:spacing w:after="0" w:line="27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the MD&amp;A for the details of each individual adjustment. We do not consider the potential impact of future adjustments on our expected financial results.</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expected EPS-diluted under U.S. GAAP to expected EPS-diluted-adjusted</w:t>
      </w:r>
      <w:r>
        <w:rPr>
          <w:rFonts w:ascii="Arial" w:cs="Arial" w:eastAsia="Arial" w:hAnsi="Arial"/>
          <w:sz w:val="16"/>
          <w:szCs w:val="16"/>
          <w:color w:val="auto"/>
        </w:rPr>
        <w: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280" w:type="dxa"/>
            <w:vAlign w:val="bottom"/>
          </w:tcPr>
          <w:p>
            <w:pPr>
              <w:jc w:val="right"/>
              <w:ind w:right="575"/>
              <w:spacing w:after="0"/>
              <w:rPr>
                <w:sz w:val="20"/>
                <w:szCs w:val="20"/>
                <w:color w:val="auto"/>
              </w:rPr>
            </w:pPr>
            <w:r>
              <w:rPr>
                <w:rFonts w:ascii="Arial" w:cs="Arial" w:eastAsia="Arial" w:hAnsi="Arial"/>
                <w:sz w:val="14"/>
                <w:szCs w:val="14"/>
                <w:b w:val="1"/>
                <w:bCs w:val="1"/>
                <w:color w:val="auto"/>
              </w:rPr>
              <w:t>Year Ending December 31, 2023</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$ 6.54-7.54</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$ 7.15-8.15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8" w:lineRule="exact"/>
        <w:rPr>
          <w:sz w:val="20"/>
          <w:szCs w:val="20"/>
          <w:color w:val="auto"/>
        </w:rPr>
      </w:pPr>
    </w:p>
    <w:p>
      <w:pPr>
        <w:ind w:left="340" w:hanging="333"/>
        <w:spacing w:after="0" w:line="27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Refer to the reconciliation of diluted earnings per common share under U.S. GAAP to EPS-diluted-adjusted within the MD&amp;A for the details of each individual adjustment. We do not consider the potential impact of future adjustments on our expected financial results.</w:t>
      </w:r>
    </w:p>
    <w:p>
      <w:pPr>
        <w:spacing w:after="0" w:line="196"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9.6 million units in the six months ended June 30, 2023, representing an increase of 13.1%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period in 2022. U.S. industry sales were 7.9 million units in the six months ended June 30, 2023, representing an increase of 12.9% compared to the corresponding period in 2022.</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total vehicle sales in the U.S., our largest market in North America, were 1.3 million units for market share of 16.4% in the six months ended June 30, 2023, representing an increase of 0.7 percentage points compared to the corresponding period in 2022.</w:t>
      </w:r>
    </w:p>
    <w:p>
      <w:pPr>
        <w:spacing w:after="0" w:line="19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expect to sustain relatively strong EBIT-adjusted margins in 2023 on the continued strength of vehicle pricing and healthy U.S. industry demand, as well as fixed cost reduction efforts, partially offset by elevated costs associated with commodities, raw materials and logistics. Our outlook is dependent on the pricing environment, continuing improvement of supply chain availability and overall economic conditions. As a result of supply chain disruptions, we experienced interruptions to our planned production schedules and continue to prioritize production of our most popular and in-demand products, including our full-size trucks, full-size SUVs and EVs.</w:t>
      </w:r>
    </w:p>
    <w:p>
      <w:pPr>
        <w:spacing w:after="0" w:line="217"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In 2023, our collective bargaining agreements with the International Union, United Automobile, Aerospace and Agricultural Implement Workers of America (UAW) in the United States and Unifor in Canada will expire, which will require negotiation of new agreements. Refer to Part I, Item 1A. Risk Factors of our 2022 Form 10-K for a discussion of the risks related to any significant disruption at our manufacturing facilities.</w:t>
      </w:r>
    </w:p>
    <w:p>
      <w:pPr>
        <w:spacing w:after="0" w:line="193"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b w:val="1"/>
          <w:bCs w:val="1"/>
          <w:i w:val="1"/>
          <w:iCs w:val="1"/>
          <w:color w:val="auto"/>
        </w:rPr>
        <w:t xml:space="preserve">GMI </w:t>
      </w:r>
      <w:r>
        <w:rPr>
          <w:rFonts w:ascii="Arial" w:cs="Arial" w:eastAsia="Arial" w:hAnsi="Arial"/>
          <w:sz w:val="16"/>
          <w:szCs w:val="16"/>
          <w:color w:val="auto"/>
        </w:rPr>
        <w:t>Industry sales in China were 11.2 million units in the six months ended June 30, 2023, representing an increase of 3.3%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corresponding period in 2022. Our total vehicle sales in China were 1.0 million units for market share of 8.8% in the six months ended June 30, 2023, representing a decrease of 1.3 percentage points compared to the corresponding period in 2022. The ongoing supply chain disruptions, global macro-economic impact and geopolitical tensions continue to place pressure on China's automotive industry and our vehicle sales in China. Our Automotive China JVs generated equity income of $0.2 billion in the six months ended June 30, 2023. Although price competition, growing customer acceptance of domestic brands and a more challenging regulatory environment related to emissions, fuel consumption and new energy vehicles will place pressure on our operations in China, we will continue to build upon our strong brands, network, and partnerships in China as well as drive improvements in vehicle mix and cost.</w:t>
      </w:r>
    </w:p>
    <w:p>
      <w:pPr>
        <w:spacing w:after="0" w:line="191"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Outside of China, industry sales were 12.2 million units in the six months ended June 30, 2023, representing an increase of 4.6% compared to the corresponding period in 2022. Our total vehicle sales outside of China were 0.5 million units for a market share of 3.8% in the six months ended June 30, 2023, representing a decrease of 0.1 percentage points compared to the corresponding period in 2022.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b w:val="1"/>
          <w:bCs w:val="1"/>
          <w:i w:val="1"/>
          <w:iCs w:val="1"/>
          <w:color w:val="auto"/>
        </w:rPr>
        <w:t xml:space="preserve">Cruise </w:t>
      </w:r>
      <w:r>
        <w:rPr>
          <w:rFonts w:ascii="Arial" w:cs="Arial" w:eastAsia="Arial" w:hAnsi="Arial"/>
          <w:sz w:val="16"/>
          <w:szCs w:val="16"/>
          <w:color w:val="auto"/>
        </w:rPr>
        <w:t>Gated by safety and regulation, Cruise continues to make significant progress on commercialization of a network of on-demand AVs. In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Cruise received a driverless test permit from the California Public Utilities Commission (CPUC) to provide unpaid rides to the public in driverless vehicles and received approval of its Autonomous Vehicle Deployment Permit from the California Department of Motor Vehicles to commercially deploy driverless AVs. In June 2022, Cruise received the first ever Driverless Deployment Permit granted by the CPUC, which allows it to charge a fare for the driverless rides it is providing to members of the public in certain parts of San Francisco. Additionally, in September 2022, Cruise acquired regulatory permits to operate driverless ride hail services in Phoenix, Arizona and began pursuing ride hail operations in Austin, Texas. GM and Cruise are also awaiting a decision on an exemption petition that was filed with NHTSA seeking regulatory approval for the deployment of the Cruise Origin.</w:t>
      </w:r>
    </w:p>
    <w:p>
      <w:pPr>
        <w:spacing w:after="0" w:line="191"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5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six months ended June 30, 2023, 27.8% of our wholesale vehicle sales volume was generated outside the U.S. The following table summarizes wholesale vehicle sales by automotive segment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0"/>
              </w:rPr>
              <w:t>Six Months Ended</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94"/>
        </w:trPr>
        <w:tc>
          <w:tcPr>
            <w:tcW w:w="20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2"/>
              </w:rPr>
              <w:t>June 30, 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June 30, 2022</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2"/>
              </w:rPr>
              <w:t>June 30, 2023</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2"/>
              </w:rPr>
              <w:t>June 30, 2022</w:t>
            </w:r>
          </w:p>
        </w:tc>
        <w:tc>
          <w:tcPr>
            <w:tcW w:w="660" w:type="dxa"/>
            <w:vAlign w:val="bottom"/>
            <w:tcBorders>
              <w:bottom w:val="single" w:sz="8" w:color="auto"/>
            </w:tcBorders>
          </w:tcPr>
          <w:p>
            <w:pPr>
              <w:spacing w:after="0"/>
              <w:rPr>
                <w:sz w:val="16"/>
                <w:szCs w:val="16"/>
                <w:color w:val="auto"/>
              </w:rPr>
            </w:pPr>
          </w:p>
        </w:tc>
      </w:tr>
      <w:tr>
        <w:trPr>
          <w:trHeight w:val="228"/>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82.3 %</w:t>
            </w:r>
          </w:p>
        </w:tc>
      </w:tr>
      <w:tr>
        <w:trPr>
          <w:trHeight w:val="242"/>
        </w:trPr>
        <w:tc>
          <w:tcPr>
            <w:tcW w:w="2040" w:type="dxa"/>
            <w:vAlign w:val="bottom"/>
          </w:tcPr>
          <w:p>
            <w:pPr>
              <w:ind w:left="20"/>
              <w:spacing w:after="0"/>
              <w:rPr>
                <w:sz w:val="20"/>
                <w:szCs w:val="20"/>
                <w:color w:val="auto"/>
              </w:rPr>
            </w:pPr>
            <w:r>
              <w:rPr>
                <w:rFonts w:ascii="Arial" w:cs="Arial" w:eastAsia="Arial" w:hAnsi="Arial"/>
                <w:sz w:val="18"/>
                <w:szCs w:val="18"/>
                <w:color w:val="auto"/>
              </w:rPr>
              <w:t>GMI</w:t>
            </w: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17.7 %</w:t>
            </w:r>
          </w:p>
        </w:tc>
      </w:tr>
      <w:tr>
        <w:trPr>
          <w:trHeight w:val="247"/>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summarizes industry and GM total vehicle sales and our related competitive position by geographic region (vehicles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w w:val="96"/>
              </w:rPr>
              <w:t>Three Months Ended</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0"/>
              </w:rPr>
              <w:t>June 30, 2023</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 2022</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June 30, 2023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0"/>
              </w:rPr>
              <w:t>June 30, 2022</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GM</w:t>
            </w:r>
          </w:p>
        </w:tc>
        <w:tc>
          <w:tcPr>
            <w:tcW w:w="660" w:type="dxa"/>
            <w:vAlign w:val="bottom"/>
          </w:tcPr>
          <w:p>
            <w:pPr>
              <w:jc w:val="right"/>
              <w:ind w:right="61"/>
              <w:spacing w:after="0" w:line="138" w:lineRule="exact"/>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GM</w:t>
            </w:r>
          </w:p>
        </w:tc>
        <w:tc>
          <w:tcPr>
            <w:tcW w:w="680" w:type="dxa"/>
            <w:vAlign w:val="bottom"/>
          </w:tcPr>
          <w:p>
            <w:pPr>
              <w:jc w:val="right"/>
              <w:ind w:right="80"/>
              <w:spacing w:after="0" w:line="138" w:lineRule="exact"/>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GM</w:t>
            </w:r>
          </w:p>
        </w:tc>
        <w:tc>
          <w:tcPr>
            <w:tcW w:w="660" w:type="dxa"/>
            <w:vAlign w:val="bottom"/>
          </w:tcPr>
          <w:p>
            <w:pPr>
              <w:jc w:val="right"/>
              <w:ind w:right="61"/>
              <w:spacing w:after="0" w:line="138"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GM</w:t>
            </w:r>
          </w:p>
        </w:tc>
        <w:tc>
          <w:tcPr>
            <w:tcW w:w="660" w:type="dxa"/>
            <w:vAlign w:val="bottom"/>
          </w:tcPr>
          <w:p>
            <w:pPr>
              <w:jc w:val="right"/>
              <w:ind w:right="80"/>
              <w:spacing w:after="0" w:line="138"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1"/>
        </w:trPr>
        <w:tc>
          <w:tcPr>
            <w:tcW w:w="18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660" w:type="dxa"/>
            <w:vAlign w:val="bottom"/>
          </w:tcPr>
          <w:p>
            <w:pPr>
              <w:jc w:val="right"/>
              <w:ind w:right="121"/>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80" w:type="dxa"/>
            <w:vAlign w:val="bottom"/>
          </w:tcPr>
          <w:p>
            <w:pPr>
              <w:jc w:val="right"/>
              <w:ind w:right="140"/>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660" w:type="dxa"/>
            <w:vAlign w:val="bottom"/>
          </w:tcPr>
          <w:p>
            <w:pPr>
              <w:jc w:val="right"/>
              <w:ind w:right="121"/>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660" w:type="dxa"/>
            <w:vAlign w:val="bottom"/>
          </w:tcPr>
          <w:p>
            <w:pPr>
              <w:jc w:val="right"/>
              <w:ind w:right="1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12"/>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North America</w:t>
            </w: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7,910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12.9 %</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12.6 %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12.8 %</w:t>
            </w:r>
          </w:p>
        </w:tc>
        <w:tc>
          <w:tcPr>
            <w:tcW w:w="0" w:type="dxa"/>
            <w:vAlign w:val="bottom"/>
          </w:tcPr>
          <w:p>
            <w:pPr>
              <w:spacing w:after="0"/>
              <w:rPr>
                <w:sz w:val="1"/>
                <w:szCs w:val="1"/>
                <w:color w:val="auto"/>
              </w:rPr>
            </w:pPr>
          </w:p>
        </w:tc>
      </w:tr>
      <w:tr>
        <w:trPr>
          <w:trHeight w:val="211"/>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North America</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5,158</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4,414</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687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9,625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8,509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r>
        <w:trPr>
          <w:trHeight w:val="141"/>
        </w:trPr>
        <w:tc>
          <w:tcPr>
            <w:tcW w:w="1880" w:type="dxa"/>
            <w:vAlign w:val="bottom"/>
          </w:tcPr>
          <w:p>
            <w:pPr>
              <w:ind w:left="20"/>
              <w:spacing w:after="0" w:line="142" w:lineRule="exact"/>
              <w:rPr>
                <w:sz w:val="20"/>
                <w:szCs w:val="20"/>
                <w:color w:val="auto"/>
              </w:rPr>
            </w:pPr>
            <w:r>
              <w:rPr>
                <w:rFonts w:ascii="Arial" w:cs="Arial" w:eastAsia="Arial" w:hAnsi="Arial"/>
                <w:sz w:val="16"/>
                <w:szCs w:val="16"/>
                <w:b w:val="1"/>
                <w:bCs w:val="1"/>
                <w:color w:val="auto"/>
                <w:w w:val="98"/>
              </w:rPr>
              <w:t>Asia/Pacific, Middle East</w:t>
            </w: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880" w:type="dxa"/>
            <w:vAlign w:val="bottom"/>
          </w:tcPr>
          <w:p>
            <w:pPr>
              <w:ind w:left="180"/>
              <w:spacing w:after="0"/>
              <w:rPr>
                <w:sz w:val="20"/>
                <w:szCs w:val="20"/>
                <w:color w:val="auto"/>
              </w:rPr>
            </w:pPr>
            <w:r>
              <w:rPr>
                <w:rFonts w:ascii="Arial" w:cs="Arial" w:eastAsia="Arial" w:hAnsi="Arial"/>
                <w:sz w:val="16"/>
                <w:szCs w:val="16"/>
                <w:b w:val="1"/>
                <w:bCs w:val="1"/>
                <w:color w:val="auto"/>
              </w:rPr>
              <w:t>and Africa</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China(a)</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6,099</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5,107</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11,205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10,852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15"/>
        </w:trPr>
        <w:tc>
          <w:tcPr>
            <w:tcW w:w="1880" w:type="dxa"/>
            <w:vAlign w:val="bottom"/>
          </w:tcPr>
          <w:p>
            <w:pPr>
              <w:ind w:left="20"/>
              <w:spacing w:after="0"/>
              <w:rPr>
                <w:sz w:val="20"/>
                <w:szCs w:val="20"/>
                <w:color w:val="auto"/>
              </w:rPr>
            </w:pPr>
            <w:r>
              <w:rPr>
                <w:rFonts w:ascii="Arial" w:cs="Arial" w:eastAsia="Arial" w:hAnsi="Arial"/>
                <w:sz w:val="16"/>
                <w:szCs w:val="16"/>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10,494</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58"/>
        </w:trPr>
        <w:tc>
          <w:tcPr>
            <w:tcW w:w="188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rPr>
              <w:t>Total Asia/Pacific, Middle</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11,057</w:t>
            </w:r>
          </w:p>
        </w:tc>
        <w:tc>
          <w:tcPr>
            <w:tcW w:w="70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9,821</w:t>
            </w:r>
          </w:p>
        </w:tc>
        <w:tc>
          <w:tcPr>
            <w:tcW w:w="700" w:type="dxa"/>
            <w:vAlign w:val="bottom"/>
            <w:gridSpan w:val="3"/>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626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21,700</w:t>
            </w: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20,826</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East and Africa</w:t>
            </w:r>
          </w:p>
        </w:tc>
        <w:tc>
          <w:tcPr>
            <w:tcW w:w="700" w:type="dxa"/>
            <w:vAlign w:val="bottom"/>
            <w:vMerge w:val="continue"/>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68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South America</w:t>
            </w: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Brazil</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10.6 %</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11"/>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South America</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06"/>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Total in GM markets</w:t>
            </w:r>
          </w:p>
        </w:tc>
        <w:tc>
          <w:tcPr>
            <w:tcW w:w="700" w:type="dxa"/>
            <w:vAlign w:val="bottom"/>
          </w:tcPr>
          <w:p>
            <w:pPr>
              <w:jc w:val="right"/>
              <w:spacing w:after="0"/>
              <w:rPr>
                <w:sz w:val="20"/>
                <w:szCs w:val="20"/>
                <w:color w:val="auto"/>
              </w:rPr>
            </w:pPr>
            <w:r>
              <w:rPr>
                <w:rFonts w:ascii="Arial" w:cs="Arial" w:eastAsia="Arial" w:hAnsi="Arial"/>
                <w:sz w:val="16"/>
                <w:szCs w:val="16"/>
                <w:color w:val="auto"/>
              </w:rPr>
              <w:t>17,083</w:t>
            </w:r>
          </w:p>
        </w:tc>
        <w:tc>
          <w:tcPr>
            <w:tcW w:w="700" w:type="dxa"/>
            <w:vAlign w:val="bottom"/>
            <w:gridSpan w:val="3"/>
          </w:tcPr>
          <w:p>
            <w:pPr>
              <w:jc w:val="right"/>
              <w:ind w:right="1"/>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15,142</w:t>
            </w:r>
          </w:p>
        </w:tc>
        <w:tc>
          <w:tcPr>
            <w:tcW w:w="700" w:type="dxa"/>
            <w:vAlign w:val="bottom"/>
            <w:gridSpan w:val="3"/>
          </w:tcPr>
          <w:p>
            <w:pPr>
              <w:jc w:val="right"/>
              <w:ind w:right="1"/>
              <w:spacing w:after="0"/>
              <w:rPr>
                <w:sz w:val="20"/>
                <w:szCs w:val="20"/>
                <w:color w:val="auto"/>
              </w:rPr>
            </w:pPr>
            <w:r>
              <w:rPr>
                <w:rFonts w:ascii="Arial" w:cs="Arial" w:eastAsia="Arial" w:hAnsi="Arial"/>
                <w:sz w:val="16"/>
                <w:szCs w:val="16"/>
                <w:color w:val="auto"/>
              </w:rPr>
              <w:t>1,420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9.4 %</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33,048</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2,966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31,037</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2,847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5"/>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Europe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8,326</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1"/>
        </w:trPr>
        <w:tc>
          <w:tcPr>
            <w:tcW w:w="1880" w:type="dxa"/>
            <w:vAlign w:val="bottom"/>
          </w:tcPr>
          <w:p>
            <w:pPr>
              <w:ind w:left="20"/>
              <w:spacing w:after="0"/>
              <w:rPr>
                <w:sz w:val="20"/>
                <w:szCs w:val="20"/>
                <w:color w:val="auto"/>
              </w:rPr>
            </w:pPr>
            <w:r>
              <w:rPr>
                <w:rFonts w:ascii="Arial" w:cs="Arial" w:eastAsia="Arial" w:hAnsi="Arial"/>
                <w:sz w:val="16"/>
                <w:szCs w:val="16"/>
                <w:b w:val="1"/>
                <w:bCs w:val="1"/>
                <w:color w:val="auto"/>
              </w:rPr>
              <w:t>Total Worldwide(b)(c)</w:t>
            </w:r>
          </w:p>
        </w:tc>
        <w:tc>
          <w:tcPr>
            <w:tcW w:w="700" w:type="dxa"/>
            <w:vAlign w:val="bottom"/>
          </w:tcPr>
          <w:p>
            <w:pPr>
              <w:jc w:val="right"/>
              <w:spacing w:after="0"/>
              <w:rPr>
                <w:sz w:val="20"/>
                <w:szCs w:val="20"/>
                <w:color w:val="auto"/>
              </w:rPr>
            </w:pPr>
            <w:r>
              <w:rPr>
                <w:rFonts w:ascii="Arial" w:cs="Arial" w:eastAsia="Arial" w:hAnsi="Arial"/>
                <w:sz w:val="16"/>
                <w:szCs w:val="16"/>
                <w:color w:val="auto"/>
              </w:rPr>
              <w:t>21,322</w:t>
            </w:r>
          </w:p>
        </w:tc>
        <w:tc>
          <w:tcPr>
            <w:tcW w:w="700" w:type="dxa"/>
            <w:vAlign w:val="bottom"/>
            <w:gridSpan w:val="3"/>
          </w:tcPr>
          <w:p>
            <w:pPr>
              <w:jc w:val="right"/>
              <w:ind w:right="1"/>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18,736</w:t>
            </w:r>
          </w:p>
        </w:tc>
        <w:tc>
          <w:tcPr>
            <w:tcW w:w="700" w:type="dxa"/>
            <w:vAlign w:val="bottom"/>
            <w:gridSpan w:val="3"/>
          </w:tcPr>
          <w:p>
            <w:pPr>
              <w:jc w:val="right"/>
              <w:ind w:right="1"/>
              <w:spacing w:after="0"/>
              <w:rPr>
                <w:sz w:val="20"/>
                <w:szCs w:val="20"/>
                <w:color w:val="auto"/>
              </w:rPr>
            </w:pPr>
            <w:r>
              <w:rPr>
                <w:rFonts w:ascii="Arial" w:cs="Arial" w:eastAsia="Arial" w:hAnsi="Arial"/>
                <w:sz w:val="16"/>
                <w:szCs w:val="16"/>
                <w:color w:val="auto"/>
              </w:rPr>
              <w:t>1,421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7.6 %</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41,374</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2,967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38,093</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United States</w:t>
            </w: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80" w:type="dxa"/>
            <w:vAlign w:val="bottom"/>
          </w:tcPr>
          <w:p>
            <w:pPr>
              <w:ind w:left="20"/>
              <w:spacing w:after="0"/>
              <w:rPr>
                <w:sz w:val="20"/>
                <w:szCs w:val="20"/>
                <w:color w:val="auto"/>
              </w:rPr>
            </w:pPr>
            <w:r>
              <w:rPr>
                <w:rFonts w:ascii="Arial" w:cs="Arial" w:eastAsia="Arial" w:hAnsi="Arial"/>
                <w:sz w:val="16"/>
                <w:szCs w:val="16"/>
                <w:color w:val="auto"/>
              </w:rPr>
              <w:t>Cars</w:t>
            </w:r>
          </w:p>
        </w:tc>
        <w:tc>
          <w:tcPr>
            <w:tcW w:w="700" w:type="dxa"/>
            <w:vAlign w:val="bottom"/>
          </w:tcPr>
          <w:p>
            <w:pPr>
              <w:jc w:val="right"/>
              <w:spacing w:after="0"/>
              <w:rPr>
                <w:sz w:val="20"/>
                <w:szCs w:val="20"/>
                <w:color w:val="auto"/>
              </w:rPr>
            </w:pPr>
            <w:r>
              <w:rPr>
                <w:rFonts w:ascii="Arial" w:cs="Arial" w:eastAsia="Arial" w:hAnsi="Arial"/>
                <w:sz w:val="16"/>
                <w:szCs w:val="16"/>
                <w:color w:val="auto"/>
              </w:rPr>
              <w:t>843</w:t>
            </w:r>
          </w:p>
        </w:tc>
        <w:tc>
          <w:tcPr>
            <w:tcW w:w="700" w:type="dxa"/>
            <w:vAlign w:val="bottom"/>
            <w:gridSpan w:val="3"/>
          </w:tcPr>
          <w:p>
            <w:pPr>
              <w:jc w:val="right"/>
              <w:ind w:right="1"/>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737</w:t>
            </w:r>
          </w:p>
        </w:tc>
        <w:tc>
          <w:tcPr>
            <w:tcW w:w="700" w:type="dxa"/>
            <w:vAlign w:val="bottom"/>
            <w:gridSpan w:val="3"/>
          </w:tcPr>
          <w:p>
            <w:pPr>
              <w:jc w:val="right"/>
              <w:ind w:right="1"/>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7.6 %</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1,549</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8.3 %</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1,409</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8"/>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Trucks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Crossovers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12.5 %</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11.3 %</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31"/>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582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7,910</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China(a)</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88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SGMS</w:t>
            </w:r>
          </w:p>
        </w:tc>
        <w:tc>
          <w:tcPr>
            <w:tcW w:w="7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SGMW</w:t>
            </w: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gridSpan w:val="2"/>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gridSpan w:val="2"/>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gridSpan w:val="2"/>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gridSpan w:val="2"/>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China</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6,099</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5,107</w:t>
            </w:r>
          </w:p>
        </w:tc>
        <w:tc>
          <w:tcPr>
            <w:tcW w:w="70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484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11,205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10,852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and SAIC GM Wuling Automobile Co., Ltd. (SGMW).</w:t>
      </w:r>
    </w:p>
    <w:p>
      <w:pPr>
        <w:spacing w:after="0" w:line="4" w:lineRule="exact"/>
        <w:rPr>
          <w:rFonts w:ascii="Arial" w:cs="Arial" w:eastAsia="Arial" w:hAnsi="Arial"/>
          <w:sz w:val="16"/>
          <w:szCs w:val="16"/>
          <w:color w:val="auto"/>
        </w:rPr>
      </w:pPr>
    </w:p>
    <w:p>
      <w:pPr>
        <w:ind w:left="340" w:hanging="333"/>
        <w:spacing w:after="0" w:line="254"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ind w:left="340" w:hanging="333"/>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March 2022, GM is no longer importing vehicles or parts to Russia, Belarus and certain sanctioned provinces in Ukraine.</w:t>
      </w:r>
    </w:p>
    <w:p>
      <w:pPr>
        <w:spacing w:after="0" w:line="241"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120" w:type="dxa"/>
            <w:vAlign w:val="bottom"/>
            <w:gridSpan w:val="3"/>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380" w:type="dxa"/>
            <w:vAlign w:val="bottom"/>
            <w:gridSpan w:val="4"/>
          </w:tcPr>
          <w:p>
            <w:pPr>
              <w:ind w:left="1120"/>
              <w:spacing w:after="0"/>
              <w:rPr>
                <w:sz w:val="20"/>
                <w:szCs w:val="20"/>
                <w:color w:val="auto"/>
              </w:rPr>
            </w:pPr>
            <w:r>
              <w:rPr>
                <w:rFonts w:ascii="Arial" w:cs="Arial" w:eastAsia="Arial" w:hAnsi="Arial"/>
                <w:sz w:val="14"/>
                <w:szCs w:val="14"/>
                <w:b w:val="1"/>
                <w:bCs w:val="1"/>
                <w:color w:val="auto"/>
              </w:rPr>
              <w:t>Six Months Ended</w:t>
            </w:r>
          </w:p>
        </w:tc>
      </w:tr>
      <w:tr>
        <w:trPr>
          <w:trHeight w:val="25"/>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top w:val="single" w:sz="8" w:color="auto"/>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5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GMI</w:t>
            </w: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fleet sales</w:t>
            </w:r>
          </w:p>
        </w:tc>
        <w:tc>
          <w:tcPr>
            <w:tcW w:w="15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314</w:t>
            </w:r>
          </w:p>
        </w:tc>
        <w:tc>
          <w:tcPr>
            <w:tcW w:w="16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239</w:t>
            </w:r>
          </w:p>
        </w:tc>
        <w:tc>
          <w:tcPr>
            <w:tcW w:w="174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581</w:t>
            </w:r>
          </w:p>
        </w:tc>
        <w:tc>
          <w:tcPr>
            <w:tcW w:w="17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20" w:type="dxa"/>
            <w:vAlign w:val="bottom"/>
          </w:tcPr>
          <w:p>
            <w:pPr>
              <w:spacing w:after="0"/>
              <w:rPr>
                <w:sz w:val="19"/>
                <w:szCs w:val="19"/>
                <w:color w:val="auto"/>
              </w:rPr>
            </w:pPr>
          </w:p>
        </w:tc>
      </w:tr>
      <w:tr>
        <w:trPr>
          <w:trHeight w:val="6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520" w:type="dxa"/>
            <w:vAlign w:val="bottom"/>
          </w:tcPr>
          <w:p>
            <w:pPr>
              <w:ind w:left="9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b w:val="1"/>
          <w:bCs w:val="1"/>
          <w:i w:val="1"/>
          <w:iCs w:val="1"/>
          <w:color w:val="auto"/>
        </w:rPr>
        <w:t xml:space="preserve">GM Financial </w:t>
      </w:r>
      <w:r>
        <w:rPr>
          <w:rFonts w:ascii="Arial" w:cs="Arial" w:eastAsia="Arial" w:hAnsi="Arial"/>
          <w:sz w:val="17"/>
          <w:szCs w:val="17"/>
          <w:color w:val="auto"/>
        </w:rPr>
        <w:t>We believe that offering a comprehensive suite of financing products will generate incremental sales of our vehicles, drive incremental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GM Financial earnings and help support our sales throughout various economic cycles. GM Financial's leasing program is exposed to residual values, which are heavily dependent on used vehicle prices. Gains on terminations of leased vehicles of $0.2 billion and $0.4 billion were included in GM Financial interest, operating and other expenses for the three and six months ended June 30, 2023, compared to gains of $0.4 billion and $0.7 billion in the corresponding periods in 2022. The decrease in gains is primarily due to higher leased portfolio net book values at termination and fewer terminated leases. For the remainder of 2023, GM Financial expects used vehicle prices to moderate, as market prices on used vehicles approach or fall below contractual residual values. The following table summarizes the estimated residual value based on GM Financial's most recent estimates and the number of units included in GM Financial Equipment on operating leases, net by vehicle type (units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12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5"/>
        </w:trPr>
        <w:tc>
          <w:tcPr>
            <w:tcW w:w="2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0"/>
        </w:trPr>
        <w:tc>
          <w:tcPr>
            <w:tcW w:w="2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Residual Value</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Residual Value</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Percentage</w:t>
            </w:r>
          </w:p>
        </w:tc>
      </w:tr>
      <w:tr>
        <w:trPr>
          <w:trHeight w:val="237"/>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14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690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67.3 %</w:t>
            </w:r>
          </w:p>
        </w:tc>
      </w:tr>
      <w:tr>
        <w:trPr>
          <w:trHeight w:val="228"/>
        </w:trPr>
        <w:tc>
          <w:tcPr>
            <w:tcW w:w="2260" w:type="dxa"/>
            <w:vAlign w:val="bottom"/>
          </w:tcPr>
          <w:p>
            <w:pPr>
              <w:ind w:left="2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6,865</w:t>
            </w:r>
          </w:p>
        </w:tc>
        <w:tc>
          <w:tcPr>
            <w:tcW w:w="1460" w:type="dxa"/>
            <w:vAlign w:val="bottom"/>
            <w:gridSpan w:val="2"/>
          </w:tcPr>
          <w:p>
            <w:pPr>
              <w:jc w:val="right"/>
              <w:ind w:right="2"/>
              <w:spacing w:after="0"/>
              <w:rPr>
                <w:sz w:val="20"/>
                <w:szCs w:val="20"/>
                <w:color w:val="auto"/>
              </w:rPr>
            </w:pPr>
            <w:r>
              <w:rPr>
                <w:rFonts w:ascii="Arial" w:cs="Arial" w:eastAsia="Arial" w:hAnsi="Arial"/>
                <w:sz w:val="18"/>
                <w:szCs w:val="18"/>
                <w:color w:val="auto"/>
              </w:rPr>
              <w:t>217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20.9 %</w:t>
            </w:r>
          </w:p>
        </w:tc>
      </w:tr>
      <w:tr>
        <w:trPr>
          <w:trHeight w:val="228"/>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4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2"/>
        </w:trPr>
        <w:tc>
          <w:tcPr>
            <w:tcW w:w="2260" w:type="dxa"/>
            <w:vAlign w:val="bottom"/>
          </w:tcPr>
          <w:p>
            <w:pPr>
              <w:ind w:left="20"/>
              <w:spacing w:after="0"/>
              <w:rPr>
                <w:sz w:val="20"/>
                <w:szCs w:val="20"/>
                <w:color w:val="auto"/>
              </w:rPr>
            </w:pPr>
            <w:r>
              <w:rPr>
                <w:rFonts w:ascii="Arial" w:cs="Arial" w:eastAsia="Arial" w:hAnsi="Arial"/>
                <w:sz w:val="18"/>
                <w:szCs w:val="18"/>
                <w:color w:val="auto"/>
              </w:rPr>
              <w:t>Cars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864</w:t>
            </w:r>
          </w:p>
        </w:tc>
        <w:tc>
          <w:tcPr>
            <w:tcW w:w="1460" w:type="dxa"/>
            <w:vAlign w:val="bottom"/>
            <w:gridSpan w:val="2"/>
          </w:tcPr>
          <w:p>
            <w:pPr>
              <w:jc w:val="right"/>
              <w:ind w:right="2"/>
              <w:spacing w:after="0"/>
              <w:rPr>
                <w:sz w:val="20"/>
                <w:szCs w:val="20"/>
                <w:color w:val="auto"/>
              </w:rPr>
            </w:pPr>
            <w:r>
              <w:rPr>
                <w:rFonts w:ascii="Arial" w:cs="Arial" w:eastAsia="Arial" w:hAnsi="Arial"/>
                <w:sz w:val="18"/>
                <w:szCs w:val="18"/>
                <w:color w:val="auto"/>
              </w:rPr>
              <w:t>55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5.8 %</w:t>
            </w:r>
          </w:p>
        </w:tc>
      </w:tr>
      <w:tr>
        <w:trPr>
          <w:trHeight w:val="247"/>
        </w:trPr>
        <w:tc>
          <w:tcPr>
            <w:tcW w:w="2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GM Financial's penetration of our retail sales in the U.S. was 44% in the six months ended June 30, 2023 and 45% in the corresponding period in 2022. Penetration levels vary depending on incentive financing programs available and competing third-party financing products in the market. GM Financial's prime loan originations as a percentage of total loan originations in North America increased to 82% in the six months ended June 30, 2023 from 79% in the corresponding period in 2022. In the six months ended June 30, 2023, GM Financial's revenue consisted of leased vehicle income of 53%, retail finance charge income of 36% and commercial finance charge income of 6%.</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w:t>
      </w:r>
      <w:r>
        <w:rPr>
          <w:rFonts w:ascii="Arial" w:cs="Arial" w:eastAsia="Arial" w:hAnsi="Arial"/>
          <w:sz w:val="17"/>
          <w:szCs w:val="17"/>
          <w:b w:val="1"/>
          <w:bCs w:val="1"/>
          <w:color w:val="auto"/>
        </w:rPr>
        <w:t xml:space="preserve"> </w:t>
      </w:r>
      <w:r>
        <w:rPr>
          <w:rFonts w:ascii="Arial" w:cs="Arial" w:eastAsia="Arial" w:hAnsi="Arial"/>
          <w:sz w:val="17"/>
          <w:szCs w:val="17"/>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Favorable/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101"/>
              <w:spacing w:after="0"/>
              <w:rPr>
                <w:sz w:val="20"/>
                <w:szCs w:val="20"/>
                <w:color w:val="auto"/>
              </w:rPr>
            </w:pPr>
            <w:r>
              <w:rPr>
                <w:rFonts w:ascii="Arial" w:cs="Arial" w:eastAsia="Arial" w:hAnsi="Arial"/>
                <w:sz w:val="14"/>
                <w:szCs w:val="14"/>
                <w:b w:val="1"/>
                <w:bCs w:val="1"/>
                <w:color w:val="auto"/>
                <w:w w:val="91"/>
              </w:rPr>
              <w:t>Variance Due To</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June 30, 2022</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98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2"/>
                <w:szCs w:val="2"/>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2"/>
                <w:szCs w:val="2"/>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2"/>
                <w:szCs w:val="2"/>
                <w:color w:val="auto"/>
              </w:rPr>
            </w:pPr>
          </w:p>
        </w:tc>
        <w:tc>
          <w:tcPr>
            <w:tcW w:w="5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line="20" w:lineRule="exact"/>
              <w:rPr>
                <w:sz w:val="1"/>
                <w:szCs w:val="1"/>
                <w:color w:val="auto"/>
              </w:rPr>
            </w:pPr>
          </w:p>
        </w:tc>
      </w:tr>
      <w:tr>
        <w:trPr>
          <w:trHeight w:val="191"/>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81"/>
              <w:spacing w:after="0"/>
              <w:rPr>
                <w:sz w:val="20"/>
                <w:szCs w:val="20"/>
                <w:color w:val="auto"/>
              </w:rPr>
            </w:pPr>
            <w:r>
              <w:rPr>
                <w:rFonts w:ascii="Arial" w:cs="Arial" w:eastAsia="Arial" w:hAnsi="Arial"/>
                <w:sz w:val="14"/>
                <w:szCs w:val="14"/>
                <w:b w:val="1"/>
                <w:bCs w:val="1"/>
                <w:color w:val="auto"/>
                <w:w w:val="93"/>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37,220</w:t>
            </w:r>
          </w:p>
        </w:tc>
        <w:tc>
          <w:tcPr>
            <w:tcW w:w="3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29.4 %</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9"/>
              </w:rPr>
              <w:t>6.5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2"/>
        </w:trPr>
        <w:tc>
          <w:tcPr>
            <w:tcW w:w="2560" w:type="dxa"/>
            <w:vAlign w:val="bottom"/>
          </w:tcPr>
          <w:p>
            <w:pPr>
              <w:ind w:left="2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21"/>
              <w:spacing w:after="0"/>
              <w:rPr>
                <w:sz w:val="20"/>
                <w:szCs w:val="20"/>
                <w:color w:val="auto"/>
              </w:rPr>
            </w:pPr>
            <w:r>
              <w:rPr>
                <w:rFonts w:ascii="Arial" w:cs="Arial" w:eastAsia="Arial" w:hAnsi="Arial"/>
                <w:sz w:val="16"/>
                <w:szCs w:val="16"/>
                <w:color w:val="auto"/>
                <w:w w:val="91"/>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0.3</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8"/>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41,254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8,640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26.5 %</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8"/>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6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8"/>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256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44,746</w:t>
            </w:r>
          </w:p>
        </w:tc>
        <w:tc>
          <w:tcPr>
            <w:tcW w:w="10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35,759</w:t>
            </w:r>
          </w:p>
        </w:tc>
        <w:tc>
          <w:tcPr>
            <w:tcW w:w="120" w:type="dxa"/>
            <w:vAlign w:val="bottom"/>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25.1 %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477"/>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5"/>
            <w:vMerge w:val="restart"/>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Favorable/</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vMerge w:val="restart"/>
          </w:tcPr>
          <w:p>
            <w:pPr>
              <w:jc w:val="center"/>
              <w:ind w:right="101"/>
              <w:spacing w:after="0"/>
              <w:rPr>
                <w:sz w:val="20"/>
                <w:szCs w:val="20"/>
                <w:color w:val="auto"/>
              </w:rPr>
            </w:pPr>
            <w:r>
              <w:rPr>
                <w:rFonts w:ascii="Arial" w:cs="Arial" w:eastAsia="Arial" w:hAnsi="Arial"/>
                <w:sz w:val="14"/>
                <w:szCs w:val="14"/>
                <w:b w:val="1"/>
                <w:bCs w:val="1"/>
                <w:color w:val="auto"/>
                <w:w w:val="91"/>
              </w:rPr>
              <w:t>Variance Due To</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w w:val="98"/>
              </w:rPr>
              <w:t>June 30, 2022</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98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2"/>
                <w:szCs w:val="2"/>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2"/>
                <w:szCs w:val="2"/>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2"/>
                <w:szCs w:val="2"/>
                <w:color w:val="auto"/>
              </w:rPr>
            </w:pPr>
          </w:p>
        </w:tc>
        <w:tc>
          <w:tcPr>
            <w:tcW w:w="5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line="20" w:lineRule="exact"/>
              <w:rPr>
                <w:sz w:val="1"/>
                <w:szCs w:val="1"/>
                <w:color w:val="auto"/>
              </w:rPr>
            </w:pPr>
          </w:p>
        </w:tc>
      </w:tr>
      <w:tr>
        <w:trPr>
          <w:trHeight w:val="186"/>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center"/>
              <w:ind w:right="101"/>
              <w:spacing w:after="0"/>
              <w:rPr>
                <w:sz w:val="20"/>
                <w:szCs w:val="20"/>
                <w:color w:val="auto"/>
              </w:rPr>
            </w:pPr>
            <w:r>
              <w:rPr>
                <w:rFonts w:ascii="Arial" w:cs="Arial" w:eastAsia="Arial" w:hAnsi="Arial"/>
                <w:sz w:val="14"/>
                <w:szCs w:val="14"/>
                <w:b w:val="1"/>
                <w:bCs w:val="1"/>
                <w:color w:val="auto"/>
                <w:w w:val="92"/>
              </w:rPr>
              <w:t>(Dollars in billions)</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70,108</w:t>
            </w:r>
          </w:p>
        </w:tc>
        <w:tc>
          <w:tcPr>
            <w:tcW w:w="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9"/>
              </w:rPr>
              <w:t>7.6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2560" w:type="dxa"/>
            <w:vAlign w:val="bottom"/>
          </w:tcPr>
          <w:p>
            <w:pPr>
              <w:ind w:left="2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562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21"/>
              <w:spacing w:after="0"/>
              <w:rPr>
                <w:sz w:val="20"/>
                <w:szCs w:val="20"/>
                <w:color w:val="auto"/>
              </w:rPr>
            </w:pPr>
            <w:r>
              <w:rPr>
                <w:rFonts w:ascii="Arial" w:cs="Arial" w:eastAsia="Arial" w:hAnsi="Arial"/>
                <w:sz w:val="16"/>
                <w:szCs w:val="16"/>
                <w:color w:val="auto"/>
                <w:w w:val="91"/>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0.6</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8"/>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77,900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65,437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12,463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19.0 %</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8"/>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6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539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8"/>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256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84,732</w:t>
            </w:r>
          </w:p>
        </w:tc>
        <w:tc>
          <w:tcPr>
            <w:tcW w:w="120" w:type="dxa"/>
            <w:vAlign w:val="bottom"/>
            <w:gridSpan w:val="2"/>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71,738</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12,994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18.1 %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2.8</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Refer to the regional sections of this MD&amp;A for additional information on Volume, Mix and Price.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and Other Cost of Sales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21"/>
              <w:spacing w:after="0"/>
              <w:rPr>
                <w:sz w:val="20"/>
                <w:szCs w:val="20"/>
                <w:color w:val="auto"/>
              </w:rPr>
            </w:pPr>
            <w:r>
              <w:rPr>
                <w:rFonts w:ascii="Arial" w:cs="Arial" w:eastAsia="Arial" w:hAnsi="Arial"/>
                <w:sz w:val="14"/>
                <w:szCs w:val="14"/>
                <w:b w:val="1"/>
                <w:bCs w:val="1"/>
                <w:color w:val="auto"/>
                <w:w w:val="91"/>
              </w:rPr>
              <w:t>Variance Due To</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98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2"/>
                <w:szCs w:val="2"/>
                <w:color w:val="auto"/>
              </w:rPr>
            </w:pPr>
          </w:p>
        </w:tc>
        <w:tc>
          <w:tcPr>
            <w:tcW w:w="6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2"/>
                <w:szCs w:val="2"/>
                <w:color w:val="auto"/>
              </w:rPr>
            </w:pPr>
          </w:p>
        </w:tc>
        <w:tc>
          <w:tcPr>
            <w:tcW w:w="6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2"/>
                <w:szCs w:val="2"/>
                <w:color w:val="auto"/>
              </w:rPr>
            </w:pPr>
          </w:p>
        </w:tc>
        <w:tc>
          <w:tcPr>
            <w:tcW w:w="5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line="20" w:lineRule="exact"/>
              <w:rPr>
                <w:sz w:val="1"/>
                <w:szCs w:val="1"/>
                <w:color w:val="auto"/>
              </w:rPr>
            </w:pPr>
          </w:p>
        </w:tc>
      </w:tr>
      <w:tr>
        <w:trPr>
          <w:trHeight w:val="195"/>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(Unfavorable)</w:t>
            </w:r>
          </w:p>
        </w:tc>
        <w:tc>
          <w:tcPr>
            <w:tcW w:w="98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jc w:val="center"/>
              <w:ind w:right="101"/>
              <w:spacing w:after="0"/>
              <w:rPr>
                <w:sz w:val="20"/>
                <w:szCs w:val="20"/>
                <w:color w:val="auto"/>
              </w:rPr>
            </w:pPr>
            <w:r>
              <w:rPr>
                <w:rFonts w:ascii="Arial" w:cs="Arial" w:eastAsia="Arial" w:hAnsi="Arial"/>
                <w:sz w:val="14"/>
                <w:szCs w:val="14"/>
                <w:b w:val="1"/>
                <w:bCs w:val="1"/>
                <w:color w:val="auto"/>
                <w:w w:val="93"/>
              </w:rPr>
              <w:t>(Dollars in billions)</w:t>
            </w: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32,422</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w w:val="91"/>
              </w:rPr>
              <w:t>(4.8)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3,457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2"/>
              <w:spacing w:after="0"/>
              <w:rPr>
                <w:sz w:val="20"/>
                <w:szCs w:val="20"/>
                <w:color w:val="auto"/>
              </w:rPr>
            </w:pPr>
            <w:r>
              <w:rPr>
                <w:rFonts w:ascii="Arial" w:cs="Arial" w:eastAsia="Arial" w:hAnsi="Arial"/>
                <w:sz w:val="16"/>
                <w:szCs w:val="16"/>
                <w:color w:val="auto"/>
                <w:w w:val="89"/>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Cruise</w:t>
            </w:r>
          </w:p>
        </w:tc>
        <w:tc>
          <w:tcPr>
            <w:tcW w:w="20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80" w:type="dxa"/>
            <w:vAlign w:val="bottom"/>
          </w:tcPr>
          <w:p>
            <w:pPr>
              <w:ind w:left="20"/>
              <w:spacing w:after="0" w:line="158" w:lineRule="exact"/>
              <w:rPr>
                <w:sz w:val="20"/>
                <w:szCs w:val="20"/>
                <w:color w:val="auto"/>
              </w:rPr>
            </w:pPr>
            <w:r>
              <w:rPr>
                <w:rFonts w:ascii="Arial" w:cs="Arial" w:eastAsia="Arial" w:hAnsi="Arial"/>
                <w:sz w:val="16"/>
                <w:szCs w:val="16"/>
                <w:color w:val="auto"/>
              </w:rPr>
              <w:t>Total automotive and other cost of</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2"/>
              <w:spacing w:after="0"/>
              <w:rPr>
                <w:sz w:val="20"/>
                <w:szCs w:val="20"/>
                <w:color w:val="auto"/>
              </w:rPr>
            </w:pPr>
            <w:r>
              <w:rPr>
                <w:rFonts w:ascii="Arial" w:cs="Arial" w:eastAsia="Arial" w:hAnsi="Arial"/>
                <w:sz w:val="16"/>
                <w:szCs w:val="16"/>
                <w:color w:val="auto"/>
              </w:rPr>
              <w:t>36,632</w:t>
            </w:r>
          </w:p>
        </w:tc>
        <w:tc>
          <w:tcPr>
            <w:tcW w:w="100" w:type="dxa"/>
            <w:vAlign w:val="bottom"/>
            <w:vMerge w:val="restart"/>
          </w:tcPr>
          <w:p>
            <w:pPr>
              <w:spacing w:after="0"/>
              <w:rPr>
                <w:sz w:val="13"/>
                <w:szCs w:val="13"/>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1"/>
              <w:spacing w:after="0"/>
              <w:rPr>
                <w:sz w:val="20"/>
                <w:szCs w:val="20"/>
                <w:color w:val="auto"/>
              </w:rPr>
            </w:pPr>
            <w:r>
              <w:rPr>
                <w:rFonts w:ascii="Arial" w:cs="Arial" w:eastAsia="Arial" w:hAnsi="Arial"/>
                <w:sz w:val="16"/>
                <w:szCs w:val="16"/>
                <w:color w:val="auto"/>
              </w:rPr>
              <w:t>29,261</w:t>
            </w:r>
          </w:p>
        </w:tc>
        <w:tc>
          <w:tcPr>
            <w:tcW w:w="12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(7,371)</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center"/>
              <w:ind w:left="122"/>
              <w:spacing w:after="0"/>
              <w:rPr>
                <w:sz w:val="20"/>
                <w:szCs w:val="20"/>
                <w:color w:val="auto"/>
              </w:rPr>
            </w:pPr>
            <w:r>
              <w:rPr>
                <w:rFonts w:ascii="Arial" w:cs="Arial" w:eastAsia="Arial" w:hAnsi="Arial"/>
                <w:sz w:val="16"/>
                <w:szCs w:val="16"/>
                <w:color w:val="auto"/>
                <w:w w:val="91"/>
              </w:rPr>
              <w:t>(4.6)</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ind w:right="2"/>
              <w:spacing w:after="0"/>
              <w:rPr>
                <w:sz w:val="20"/>
                <w:szCs w:val="20"/>
                <w:color w:val="auto"/>
              </w:rPr>
            </w:pPr>
            <w:r>
              <w:rPr>
                <w:rFonts w:ascii="Arial" w:cs="Arial" w:eastAsia="Arial" w:hAnsi="Arial"/>
                <w:sz w:val="16"/>
                <w:szCs w:val="16"/>
                <w:color w:val="auto"/>
              </w:rPr>
              <w:t>(0.4)</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(2.6)</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ind w:right="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0"/>
        </w:trPr>
        <w:tc>
          <w:tcPr>
            <w:tcW w:w="2480" w:type="dxa"/>
            <w:vAlign w:val="bottom"/>
          </w:tcPr>
          <w:p>
            <w:pPr>
              <w:ind w:left="180"/>
              <w:spacing w:after="0"/>
              <w:rPr>
                <w:sz w:val="20"/>
                <w:szCs w:val="20"/>
                <w:color w:val="auto"/>
              </w:rPr>
            </w:pPr>
            <w:r>
              <w:rPr>
                <w:rFonts w:ascii="Arial" w:cs="Arial" w:eastAsia="Arial" w:hAnsi="Arial"/>
                <w:sz w:val="16"/>
                <w:szCs w:val="16"/>
                <w:color w:val="auto"/>
              </w:rPr>
              <w:t>sales</w:t>
            </w: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4"/>
            <w:vMerge w:val="restart"/>
          </w:tcPr>
          <w:p>
            <w:pPr>
              <w:jc w:val="right"/>
              <w:ind w:right="86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vMerge w:val="restart"/>
          </w:tcPr>
          <w:p>
            <w:pPr>
              <w:jc w:val="center"/>
              <w:ind w:right="121"/>
              <w:spacing w:after="0"/>
              <w:rPr>
                <w:sz w:val="20"/>
                <w:szCs w:val="20"/>
                <w:color w:val="auto"/>
              </w:rPr>
            </w:pPr>
            <w:r>
              <w:rPr>
                <w:rFonts w:ascii="Arial" w:cs="Arial" w:eastAsia="Arial" w:hAnsi="Arial"/>
                <w:sz w:val="14"/>
                <w:szCs w:val="14"/>
                <w:b w:val="1"/>
                <w:bCs w:val="1"/>
                <w:color w:val="auto"/>
                <w:w w:val="91"/>
              </w:rPr>
              <w:t>Variance Due To</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8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3"/>
                <w:szCs w:val="3"/>
                <w:color w:val="auto"/>
              </w:rPr>
            </w:pPr>
          </w:p>
        </w:tc>
        <w:tc>
          <w:tcPr>
            <w:tcW w:w="64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3"/>
                <w:szCs w:val="3"/>
                <w:color w:val="auto"/>
              </w:rPr>
            </w:pPr>
          </w:p>
        </w:tc>
        <w:tc>
          <w:tcPr>
            <w:tcW w:w="6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3"/>
                <w:szCs w:val="3"/>
                <w:color w:val="auto"/>
              </w:rPr>
            </w:pPr>
          </w:p>
        </w:tc>
        <w:tc>
          <w:tcPr>
            <w:tcW w:w="5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line="20" w:lineRule="exact"/>
              <w:rPr>
                <w:sz w:val="1"/>
                <w:szCs w:val="1"/>
                <w:color w:val="auto"/>
              </w:rPr>
            </w:pPr>
          </w:p>
        </w:tc>
      </w:tr>
      <w:tr>
        <w:trPr>
          <w:trHeight w:val="195"/>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2"/>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121"/>
              <w:spacing w:after="0"/>
              <w:rPr>
                <w:sz w:val="20"/>
                <w:szCs w:val="20"/>
                <w:color w:val="auto"/>
              </w:rPr>
            </w:pPr>
            <w:r>
              <w:rPr>
                <w:rFonts w:ascii="Arial" w:cs="Arial" w:eastAsia="Arial" w:hAnsi="Arial"/>
                <w:sz w:val="14"/>
                <w:szCs w:val="14"/>
                <w:b w:val="1"/>
                <w:bCs w:val="1"/>
                <w:color w:val="auto"/>
                <w:w w:val="92"/>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60,844</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22"/>
              <w:spacing w:after="0"/>
              <w:rPr>
                <w:sz w:val="20"/>
                <w:szCs w:val="20"/>
                <w:color w:val="auto"/>
              </w:rPr>
            </w:pPr>
            <w:r>
              <w:rPr>
                <w:rFonts w:ascii="Arial" w:cs="Arial" w:eastAsia="Arial" w:hAnsi="Arial"/>
                <w:sz w:val="16"/>
                <w:szCs w:val="16"/>
                <w:color w:val="auto"/>
                <w:w w:val="91"/>
              </w:rPr>
              <w:t>(5.5)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6,738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2"/>
              <w:spacing w:after="0"/>
              <w:rPr>
                <w:sz w:val="20"/>
                <w:szCs w:val="20"/>
                <w:color w:val="auto"/>
              </w:rPr>
            </w:pPr>
            <w:r>
              <w:rPr>
                <w:rFonts w:ascii="Arial" w:cs="Arial" w:eastAsia="Arial" w:hAnsi="Arial"/>
                <w:sz w:val="16"/>
                <w:szCs w:val="16"/>
                <w:color w:val="auto"/>
                <w:w w:val="89"/>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Cruise</w:t>
            </w:r>
          </w:p>
        </w:tc>
        <w:tc>
          <w:tcPr>
            <w:tcW w:w="20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523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32.1 %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80" w:type="dxa"/>
            <w:vAlign w:val="bottom"/>
          </w:tcPr>
          <w:p>
            <w:pPr>
              <w:ind w:left="20"/>
              <w:spacing w:after="0" w:line="145" w:lineRule="exact"/>
              <w:rPr>
                <w:sz w:val="20"/>
                <w:szCs w:val="20"/>
                <w:color w:val="auto"/>
              </w:rPr>
            </w:pPr>
            <w:r>
              <w:rPr>
                <w:rFonts w:ascii="Arial" w:cs="Arial" w:eastAsia="Arial" w:hAnsi="Arial"/>
                <w:sz w:val="16"/>
                <w:szCs w:val="16"/>
                <w:color w:val="auto"/>
              </w:rPr>
              <w:t>Total automotive and other cost of</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2"/>
              <w:spacing w:after="0"/>
              <w:rPr>
                <w:sz w:val="20"/>
                <w:szCs w:val="20"/>
                <w:color w:val="auto"/>
              </w:rPr>
            </w:pPr>
            <w:r>
              <w:rPr>
                <w:rFonts w:ascii="Arial" w:cs="Arial" w:eastAsia="Arial" w:hAnsi="Arial"/>
                <w:sz w:val="16"/>
                <w:szCs w:val="16"/>
                <w:color w:val="auto"/>
              </w:rPr>
              <w:t>68,879</w:t>
            </w:r>
          </w:p>
        </w:tc>
        <w:tc>
          <w:tcPr>
            <w:tcW w:w="100" w:type="dxa"/>
            <w:vAlign w:val="bottom"/>
            <w:vMerge w:val="restart"/>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58,614</w:t>
            </w:r>
          </w:p>
        </w:tc>
        <w:tc>
          <w:tcPr>
            <w:tcW w:w="12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(10,265)</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center"/>
              <w:ind w:left="122"/>
              <w:spacing w:after="0"/>
              <w:rPr>
                <w:sz w:val="20"/>
                <w:szCs w:val="20"/>
                <w:color w:val="auto"/>
              </w:rPr>
            </w:pPr>
            <w:r>
              <w:rPr>
                <w:rFonts w:ascii="Arial" w:cs="Arial" w:eastAsia="Arial" w:hAnsi="Arial"/>
                <w:sz w:val="16"/>
                <w:szCs w:val="16"/>
                <w:color w:val="auto"/>
                <w:w w:val="91"/>
              </w:rPr>
              <w:t>(5.5)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ind w:right="2"/>
              <w:spacing w:after="0"/>
              <w:rPr>
                <w:sz w:val="20"/>
                <w:szCs w:val="20"/>
                <w:color w:val="auto"/>
              </w:rPr>
            </w:pPr>
            <w:r>
              <w:rPr>
                <w:rFonts w:ascii="Arial" w:cs="Arial" w:eastAsia="Arial" w:hAnsi="Arial"/>
                <w:sz w:val="16"/>
                <w:szCs w:val="16"/>
                <w:color w:val="auto"/>
              </w:rPr>
              <w:t>(1.3)</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(4.0)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ind w:right="1"/>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0"/>
        </w:trPr>
        <w:tc>
          <w:tcPr>
            <w:tcW w:w="2480" w:type="dxa"/>
            <w:vAlign w:val="bottom"/>
          </w:tcPr>
          <w:p>
            <w:pPr>
              <w:ind w:left="180"/>
              <w:spacing w:after="0"/>
              <w:rPr>
                <w:sz w:val="20"/>
                <w:szCs w:val="20"/>
                <w:color w:val="auto"/>
              </w:rPr>
            </w:pPr>
            <w:r>
              <w:rPr>
                <w:rFonts w:ascii="Arial" w:cs="Arial" w:eastAsia="Arial" w:hAnsi="Arial"/>
                <w:sz w:val="16"/>
                <w:szCs w:val="16"/>
                <w:color w:val="auto"/>
              </w:rPr>
              <w:t>sales</w:t>
            </w: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the three months ended June 30, 2023, increased Cost was primarily due to: (1) increased campaigns and other warranty-related costs of $1.3 billion;</w:t>
      </w:r>
    </w:p>
    <w:p>
      <w:pPr>
        <w:spacing w:after="0" w:line="46" w:lineRule="exact"/>
        <w:rPr>
          <w:sz w:val="20"/>
          <w:szCs w:val="20"/>
          <w:color w:val="auto"/>
        </w:rPr>
      </w:pPr>
    </w:p>
    <w:p>
      <w:pPr>
        <w:jc w:val="both"/>
        <w:ind w:firstLine="7"/>
        <w:spacing w:after="0" w:line="253" w:lineRule="auto"/>
        <w:tabs>
          <w:tab w:leader="none" w:pos="2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manufacturing costs of $0.4 billion; (3) increased material and freight costs of $0.4 billion; and (4) increased costs of $0.2 billion due to other cost of sales; partially offset by (5) decreased engineering costs of $0.2 billion. In the three months ended June 30, 2023, favorable Other was primarily due to the weakening of the Canadian Dollar and other currencies against the U.S. Dollar.</w:t>
      </w:r>
    </w:p>
    <w:p>
      <w:pPr>
        <w:spacing w:after="0" w:line="218"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7"/>
          <w:szCs w:val="17"/>
          <w:color w:val="auto"/>
        </w:rPr>
        <w:t>In the six months ended June 30, 2023, increased Cost was primarily due to: (1) increased campaigns and other warranty-related costs of $1.8 billion; (2) charges of $0.7 billion related to the VSP; (3) increased material and freight costs of $0.6 billion; (4) increased manufacturing costs of $0.4 billion; (5) increased costs of $0.4 billion primarily related to parts and accessories sales; and (6) increased engineering costs of $0.2 billion; partially offset by (7) decrease of $0.8 billion due to the absence of the charge for the modification of Cruise stock incentive awards in 2022. In the six months ended June 30, 2023, favorable Other was due to the weakening of the Korean Won and other currencies against the U.S. Dollar.</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the regional sections of this MD&amp;A for additional information on Volume and Mix.</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4"/>
          </w:tcPr>
          <w:p>
            <w:pPr>
              <w:jc w:val="right"/>
              <w:ind w:right="448"/>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auto"/>
                <w:w w:val="89"/>
              </w:rPr>
              <w:t>Favorable/</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4"/>
          </w:tcPr>
          <w:p>
            <w:pPr>
              <w:ind w:left="480"/>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auto"/>
                <w:w w:val="89"/>
              </w:rPr>
              <w:t>Favorable/</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2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right"/>
              <w:ind w:right="111"/>
              <w:spacing w:after="0"/>
              <w:rPr>
                <w:sz w:val="20"/>
                <w:szCs w:val="20"/>
                <w:color w:val="auto"/>
              </w:rPr>
            </w:pPr>
            <w:r>
              <w:rPr>
                <w:rFonts w:ascii="Arial" w:cs="Arial" w:eastAsia="Arial" w:hAnsi="Arial"/>
                <w:sz w:val="13"/>
                <w:szCs w:val="13"/>
                <w:b w:val="1"/>
                <w:bCs w:val="1"/>
                <w:color w:val="auto"/>
                <w:w w:val="87"/>
              </w:rPr>
              <w:t>June 30, 2023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3"/>
                <w:szCs w:val="13"/>
                <w:b w:val="1"/>
                <w:bCs w:val="1"/>
                <w:color w:val="auto"/>
                <w:w w:val="87"/>
              </w:rPr>
              <w:t>June 30, 2022</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w w:val="87"/>
              </w:rPr>
              <w:t>June 30, 2022</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gridSpan w:val="2"/>
            <w:vMerge w:val="restart"/>
          </w:tcPr>
          <w:p>
            <w:pPr>
              <w:ind w:left="4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51"/>
              <w:spacing w:after="0"/>
              <w:rPr>
                <w:sz w:val="20"/>
                <w:szCs w:val="20"/>
                <w:color w:val="auto"/>
              </w:rPr>
            </w:pPr>
            <w:r>
              <w:rPr>
                <w:rFonts w:ascii="Arial" w:cs="Arial" w:eastAsia="Arial" w:hAnsi="Arial"/>
                <w:sz w:val="13"/>
                <w:szCs w:val="13"/>
                <w:b w:val="1"/>
                <w:bCs w:val="1"/>
                <w:color w:val="auto"/>
                <w:w w:val="90"/>
              </w:rPr>
              <w:t>(Unfavorable)</w:t>
            </w:r>
          </w:p>
        </w:tc>
        <w:tc>
          <w:tcPr>
            <w:tcW w:w="92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1"/>
              <w:spacing w:after="0"/>
              <w:rPr>
                <w:sz w:val="20"/>
                <w:szCs w:val="20"/>
                <w:color w:val="auto"/>
              </w:rPr>
            </w:pPr>
            <w:r>
              <w:rPr>
                <w:rFonts w:ascii="Arial" w:cs="Arial" w:eastAsia="Arial" w:hAnsi="Arial"/>
                <w:sz w:val="13"/>
                <w:szCs w:val="13"/>
                <w:b w:val="1"/>
                <w:bCs w:val="1"/>
                <w:color w:val="auto"/>
                <w:w w:val="88"/>
              </w:rPr>
              <w:t>(Unfavorable)</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Automotive and other selling,</w:t>
            </w: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2,558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4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5,105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3"/>
              </w:rPr>
              <w:t>(6.4)%</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three months ended June 30, 2023, Automotive and other selling, general and administrative expense increased primarily due to charges of $0.2 billion for strategic activities related to Buick dealerships.</w:t>
      </w:r>
    </w:p>
    <w:p>
      <w:pPr>
        <w:spacing w:after="0" w:line="19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six months ended June 30, 2023, Automotive and other selling, general and administrative expense increased primarily due to: (1) charges of $0.3 billion for strategic activities related to Buick dealerships; and (2) charges of $0.2 billion related to the VSP; partially offset by (3) decrease of $0.3 billion due to the absence of the charge for the modification of Cruise stock incentive awards in 2022.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center"/>
              <w:ind w:right="28"/>
              <w:spacing w:after="0"/>
              <w:rPr>
                <w:sz w:val="20"/>
                <w:szCs w:val="20"/>
                <w:color w:val="auto"/>
              </w:rPr>
            </w:pPr>
            <w:r>
              <w:rPr>
                <w:rFonts w:ascii="Arial" w:cs="Arial" w:eastAsia="Arial" w:hAnsi="Arial"/>
                <w:sz w:val="13"/>
                <w:szCs w:val="13"/>
                <w:b w:val="1"/>
                <w:bCs w:val="1"/>
                <w:color w:val="auto"/>
                <w:w w:val="89"/>
              </w:rPr>
              <w:t>Favorable/</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center"/>
              <w:ind w:right="48"/>
              <w:spacing w:after="0"/>
              <w:rPr>
                <w:sz w:val="20"/>
                <w:szCs w:val="20"/>
                <w:color w:val="auto"/>
              </w:rPr>
            </w:pPr>
            <w:r>
              <w:rPr>
                <w:rFonts w:ascii="Arial" w:cs="Arial" w:eastAsia="Arial" w:hAnsi="Arial"/>
                <w:sz w:val="13"/>
                <w:szCs w:val="13"/>
                <w:b w:val="1"/>
                <w:bCs w:val="1"/>
                <w:color w:val="auto"/>
                <w:w w:val="89"/>
              </w:rPr>
              <w:t>Favorable/</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w w:val="85"/>
              </w:rPr>
              <w:t>June 30, 2023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right"/>
              <w:ind w:right="84"/>
              <w:spacing w:after="0"/>
              <w:rPr>
                <w:sz w:val="20"/>
                <w:szCs w:val="20"/>
                <w:color w:val="auto"/>
              </w:rPr>
            </w:pPr>
            <w:r>
              <w:rPr>
                <w:rFonts w:ascii="Arial" w:cs="Arial" w:eastAsia="Arial" w:hAnsi="Arial"/>
                <w:sz w:val="13"/>
                <w:szCs w:val="13"/>
                <w:b w:val="1"/>
                <w:bCs w:val="1"/>
                <w:color w:val="auto"/>
                <w:w w:val="87"/>
              </w:rPr>
              <w:t>June 30, 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w w:val="85"/>
              </w:rPr>
              <w:t>June 30, 2023</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3"/>
                <w:szCs w:val="13"/>
                <w:b w:val="1"/>
                <w:bCs w:val="1"/>
                <w:color w:val="auto"/>
                <w:w w:val="85"/>
              </w:rPr>
              <w:t>June 30, 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Arial" w:cs="Arial" w:eastAsia="Arial" w:hAnsi="Arial"/>
                <w:sz w:val="13"/>
                <w:szCs w:val="13"/>
                <w:b w:val="1"/>
                <w:bCs w:val="1"/>
                <w:color w:val="auto"/>
                <w:w w:val="90"/>
              </w:rPr>
              <w:t>(Unfavorable)</w:t>
            </w:r>
          </w:p>
        </w:tc>
        <w:tc>
          <w:tcPr>
            <w:tcW w:w="94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68"/>
              <w:spacing w:after="0"/>
              <w:rPr>
                <w:sz w:val="20"/>
                <w:szCs w:val="20"/>
                <w:color w:val="auto"/>
              </w:rPr>
            </w:pPr>
            <w:r>
              <w:rPr>
                <w:rFonts w:ascii="Arial" w:cs="Arial" w:eastAsia="Arial" w:hAnsi="Arial"/>
                <w:sz w:val="13"/>
                <w:szCs w:val="13"/>
                <w:b w:val="1"/>
                <w:bCs w:val="1"/>
                <w:color w:val="auto"/>
                <w:w w:val="90"/>
              </w:rPr>
              <w:t>(Unfavorable)</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w w:val="97"/>
              </w:rPr>
              <w:t>Interest income and other non-</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6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21.4 %</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June 30, 2023, Interest income and other non-operating income, net increased primarily due to: (1) $0.2 billion increase in interest income; and (2) the absence of $0.2 billion in losses related to Stellantis warrants that occurred in the three months ended June 30, 2022, as the warrants were exercised in 2022; partially offset by (3) $0.3 billion decrease in non-service pension income.</w:t>
      </w:r>
    </w:p>
    <w:p>
      <w:pPr>
        <w:spacing w:after="0" w:line="209"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six months ended June 30, 2023, Interest income and other non-operating income, net decreased primarily due to: (1) $0.6 billion decrease in non-service pension income; and (2) the absence of $0.2 billion in gains related to revaluation of investments that occurred in the six months ended June 30, 2022; partially offset by (3) $0.4 billion increase in interest income; and (4) the absence of $0.4 billion in losses related to Stellantis warrants that occurred in the six months ended June 30, 2022, as the warrants were exercised in 2022.</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4"/>
          </w:tcPr>
          <w:p>
            <w:pPr>
              <w:jc w:val="right"/>
              <w:ind w:right="464"/>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center"/>
              <w:ind w:right="28"/>
              <w:spacing w:after="0"/>
              <w:rPr>
                <w:sz w:val="20"/>
                <w:szCs w:val="20"/>
                <w:color w:val="auto"/>
              </w:rPr>
            </w:pPr>
            <w:r>
              <w:rPr>
                <w:rFonts w:ascii="Arial" w:cs="Arial" w:eastAsia="Arial" w:hAnsi="Arial"/>
                <w:sz w:val="13"/>
                <w:szCs w:val="13"/>
                <w:b w:val="1"/>
                <w:bCs w:val="1"/>
                <w:color w:val="auto"/>
                <w:w w:val="89"/>
              </w:rPr>
              <w:t>Favorable/</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jc w:val="right"/>
              <w:ind w:right="544"/>
              <w:spacing w:after="0"/>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restart"/>
          </w:tcPr>
          <w:p>
            <w:pPr>
              <w:jc w:val="center"/>
              <w:ind w:right="48"/>
              <w:spacing w:after="0"/>
              <w:rPr>
                <w:sz w:val="20"/>
                <w:szCs w:val="20"/>
                <w:color w:val="auto"/>
              </w:rPr>
            </w:pPr>
            <w:r>
              <w:rPr>
                <w:rFonts w:ascii="Arial" w:cs="Arial" w:eastAsia="Arial" w:hAnsi="Arial"/>
                <w:sz w:val="13"/>
                <w:szCs w:val="13"/>
                <w:b w:val="1"/>
                <w:bCs w:val="1"/>
                <w:color w:val="auto"/>
                <w:w w:val="89"/>
              </w:rPr>
              <w:t>Favorable/</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2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w w:val="87"/>
              </w:rPr>
              <w:t>June 30, 2023</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right"/>
              <w:ind w:right="84"/>
              <w:spacing w:after="0"/>
              <w:rPr>
                <w:sz w:val="20"/>
                <w:szCs w:val="20"/>
                <w:color w:val="auto"/>
              </w:rPr>
            </w:pPr>
            <w:r>
              <w:rPr>
                <w:rFonts w:ascii="Arial" w:cs="Arial" w:eastAsia="Arial" w:hAnsi="Arial"/>
                <w:sz w:val="13"/>
                <w:szCs w:val="13"/>
                <w:b w:val="1"/>
                <w:bCs w:val="1"/>
                <w:color w:val="auto"/>
                <w:w w:val="87"/>
              </w:rPr>
              <w:t>June 30, 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82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w:t>
            </w: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87"/>
              </w:rPr>
              <w:t>June 30, 2023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right"/>
              <w:ind w:right="84"/>
              <w:spacing w:after="0"/>
              <w:rPr>
                <w:sz w:val="20"/>
                <w:szCs w:val="20"/>
                <w:color w:val="auto"/>
              </w:rPr>
            </w:pPr>
            <w:r>
              <w:rPr>
                <w:rFonts w:ascii="Arial" w:cs="Arial" w:eastAsia="Arial" w:hAnsi="Arial"/>
                <w:sz w:val="13"/>
                <w:szCs w:val="13"/>
                <w:b w:val="1"/>
                <w:bCs w:val="1"/>
                <w:color w:val="auto"/>
                <w:w w:val="87"/>
              </w:rPr>
              <w:t>June 30, 2022</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vMerge w:val="restart"/>
          </w:tcPr>
          <w:p>
            <w:pPr>
              <w:spacing w:after="0"/>
              <w:rPr>
                <w:sz w:val="4"/>
                <w:szCs w:val="4"/>
                <w:color w:val="auto"/>
              </w:rPr>
            </w:pPr>
          </w:p>
        </w:tc>
        <w:tc>
          <w:tcPr>
            <w:tcW w:w="680" w:type="dxa"/>
            <w:vAlign w:val="bottom"/>
            <w:vMerge w:val="restart"/>
          </w:tcPr>
          <w:p>
            <w:pPr>
              <w:jc w:val="right"/>
              <w:ind w:right="20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8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950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42" w:lineRule="exact"/>
        <w:rPr>
          <w:sz w:val="20"/>
          <w:szCs w:val="20"/>
          <w:color w:val="auto"/>
        </w:rPr>
      </w:pPr>
    </w:p>
    <w:p>
      <w:pPr>
        <w:ind w:firstLine="161"/>
        <w:spacing w:after="0" w:line="244" w:lineRule="auto"/>
        <w:rPr>
          <w:sz w:val="20"/>
          <w:szCs w:val="20"/>
          <w:color w:val="auto"/>
        </w:rPr>
      </w:pPr>
      <w:r>
        <w:rPr>
          <w:rFonts w:ascii="Arial" w:cs="Arial" w:eastAsia="Arial" w:hAnsi="Arial"/>
          <w:sz w:val="18"/>
          <w:szCs w:val="18"/>
          <w:color w:val="auto"/>
        </w:rPr>
        <w:t>In the six months ended June 30, 2023, Income tax expense increased primarily due to the absence of the Cruise valuation allowance adjustment that occurred in the six months ended June 30, 2022.</w:t>
      </w:r>
    </w:p>
    <w:p>
      <w:pPr>
        <w:spacing w:after="0" w:line="197" w:lineRule="exact"/>
        <w:rPr>
          <w:sz w:val="20"/>
          <w:szCs w:val="20"/>
          <w:color w:val="auto"/>
        </w:rPr>
      </w:pPr>
    </w:p>
    <w:p>
      <w:pPr>
        <w:ind w:firstLine="161"/>
        <w:spacing w:after="0" w:line="259" w:lineRule="auto"/>
        <w:rPr>
          <w:sz w:val="20"/>
          <w:szCs w:val="20"/>
          <w:color w:val="auto"/>
        </w:rPr>
      </w:pPr>
      <w:r>
        <w:rPr>
          <w:rFonts w:ascii="Arial" w:cs="Arial" w:eastAsia="Arial" w:hAnsi="Arial"/>
          <w:sz w:val="18"/>
          <w:szCs w:val="18"/>
          <w:color w:val="auto"/>
        </w:rPr>
        <w:t>For the three and six months ended June 30, 2023, our ETR-adjusted was 18.2% and 18.0%. We expect our adjusted effective tax rate to be between 16% and 18% for the year ending December 31, 2023.</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Note 14 to our condensed consolidated financial statements for additional information related to Income tax expense.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0"/>
                <w:szCs w:val="20"/>
                <w:color w:val="auto"/>
              </w:rPr>
            </w:pPr>
          </w:p>
        </w:tc>
        <w:tc>
          <w:tcPr>
            <w:tcW w:w="11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4"/>
              </w:rPr>
              <w:t>Favorable/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1"/>
              </w:rPr>
              <w:t>Variance Due To</w:t>
            </w: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8"/>
              </w:rPr>
              <w:t>June 30, 2023</w:t>
            </w:r>
          </w:p>
        </w:tc>
        <w:tc>
          <w:tcPr>
            <w:tcW w:w="300" w:type="dxa"/>
            <w:vAlign w:val="bottom"/>
          </w:tcPr>
          <w:p>
            <w:pPr>
              <w:spacing w:after="0"/>
              <w:rPr>
                <w:sz w:val="3"/>
                <w:szCs w:val="3"/>
                <w:color w:val="auto"/>
              </w:rPr>
            </w:pPr>
          </w:p>
        </w:tc>
        <w:tc>
          <w:tcPr>
            <w:tcW w:w="12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6"/>
              </w:rPr>
              <w:t>June 30, 2022</w:t>
            </w:r>
          </w:p>
        </w:tc>
        <w:tc>
          <w:tcPr>
            <w:tcW w:w="2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3"/>
                <w:szCs w:val="3"/>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3"/>
                <w:szCs w:val="3"/>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Pr>
          <w:p>
            <w:pPr>
              <w:spacing w:after="0"/>
              <w:rPr>
                <w:sz w:val="3"/>
                <w:szCs w:val="3"/>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3"/>
              </w:rPr>
              <w:t>Cost</w:t>
            </w:r>
          </w:p>
        </w:tc>
        <w:tc>
          <w:tcPr>
            <w:tcW w:w="66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line="20" w:lineRule="exact"/>
              <w:rPr>
                <w:sz w:val="1"/>
                <w:szCs w:val="1"/>
                <w:color w:val="auto"/>
              </w:rPr>
            </w:pPr>
          </w:p>
        </w:tc>
      </w:tr>
      <w:tr>
        <w:trPr>
          <w:trHeight w:val="195"/>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(Unfavorable)</w:t>
            </w:r>
          </w:p>
        </w:tc>
        <w:tc>
          <w:tcPr>
            <w:tcW w:w="1080" w:type="dxa"/>
            <w:vAlign w:val="bottom"/>
            <w:gridSpan w:val="3"/>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3"/>
              </w:rPr>
              <w:t>(Dollars in billions)</w:t>
            </w: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net sales and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37,220</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28,760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8,460</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29.4 %</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22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3,194</w:t>
            </w:r>
          </w:p>
        </w:tc>
        <w:tc>
          <w:tcPr>
            <w:tcW w:w="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2,299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895</w:t>
            </w:r>
          </w:p>
        </w:tc>
        <w:tc>
          <w:tcPr>
            <w:tcW w:w="1080" w:type="dxa"/>
            <w:vAlign w:val="bottom"/>
            <w:gridSpan w:val="3"/>
          </w:tcPr>
          <w:p>
            <w:pPr>
              <w:ind w:left="540"/>
              <w:spacing w:after="0"/>
              <w:rPr>
                <w:sz w:val="20"/>
                <w:szCs w:val="20"/>
                <w:color w:val="auto"/>
              </w:rPr>
            </w:pPr>
            <w:r>
              <w:rPr>
                <w:rFonts w:ascii="Arial" w:cs="Arial" w:eastAsia="Arial" w:hAnsi="Arial"/>
                <w:sz w:val="18"/>
                <w:szCs w:val="18"/>
                <w:color w:val="auto"/>
                <w:w w:val="92"/>
              </w:rPr>
              <w:t>38.9 %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(Vehicles in thousands)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833</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662</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171</w:t>
            </w:r>
          </w:p>
        </w:tc>
        <w:tc>
          <w:tcPr>
            <w:tcW w:w="10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25.8 %</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3"/>
            <w:vMerge w:val="restart"/>
          </w:tcPr>
          <w:p>
            <w:pPr>
              <w:jc w:val="right"/>
              <w:ind w:right="794"/>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24"/>
                <w:szCs w:val="24"/>
                <w:color w:val="auto"/>
              </w:rPr>
            </w:pPr>
          </w:p>
        </w:tc>
        <w:tc>
          <w:tcPr>
            <w:tcW w:w="110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4"/>
              </w:rPr>
              <w:t>Favorable/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vMerge w:val="restart"/>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June 30, 2023</w:t>
            </w:r>
          </w:p>
        </w:tc>
        <w:tc>
          <w:tcPr>
            <w:tcW w:w="300" w:type="dxa"/>
            <w:vAlign w:val="bottom"/>
          </w:tcPr>
          <w:p>
            <w:pPr>
              <w:spacing w:after="0"/>
              <w:rPr>
                <w:sz w:val="3"/>
                <w:szCs w:val="3"/>
                <w:color w:val="auto"/>
              </w:rPr>
            </w:pPr>
          </w:p>
        </w:tc>
        <w:tc>
          <w:tcPr>
            <w:tcW w:w="12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June 30, 2022</w:t>
            </w:r>
          </w:p>
        </w:tc>
        <w:tc>
          <w:tcPr>
            <w:tcW w:w="2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8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0"/>
              </w:rPr>
              <w:t>Volume</w:t>
            </w:r>
          </w:p>
        </w:tc>
        <w:tc>
          <w:tcPr>
            <w:tcW w:w="220" w:type="dxa"/>
            <w:vAlign w:val="bottom"/>
          </w:tcPr>
          <w:p>
            <w:pPr>
              <w:spacing w:after="0"/>
              <w:rPr>
                <w:sz w:val="3"/>
                <w:szCs w:val="3"/>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3"/>
                <w:szCs w:val="3"/>
                <w:color w:val="auto"/>
              </w:rPr>
            </w:pPr>
          </w:p>
        </w:tc>
        <w:tc>
          <w:tcPr>
            <w:tcW w:w="4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3"/>
                <w:szCs w:val="3"/>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3"/>
              </w:rPr>
              <w:t>Cost</w:t>
            </w:r>
          </w:p>
        </w:tc>
        <w:tc>
          <w:tcPr>
            <w:tcW w:w="180" w:type="dxa"/>
            <w:vAlign w:val="bottom"/>
          </w:tcPr>
          <w:p>
            <w:pPr>
              <w:spacing w:after="0"/>
              <w:rPr>
                <w:sz w:val="3"/>
                <w:szCs w:val="3"/>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line="20" w:lineRule="exact"/>
              <w:rPr>
                <w:sz w:val="1"/>
                <w:szCs w:val="1"/>
                <w:color w:val="auto"/>
              </w:rPr>
            </w:pPr>
          </w:p>
        </w:tc>
      </w:tr>
      <w:tr>
        <w:trPr>
          <w:trHeight w:val="195"/>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(Unfavorable)</w:t>
            </w:r>
          </w:p>
        </w:tc>
        <w:tc>
          <w:tcPr>
            <w:tcW w:w="1080" w:type="dxa"/>
            <w:vAlign w:val="bottom"/>
            <w:gridSpan w:val="3"/>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3"/>
              </w:rPr>
              <w:t>(Dollars in billions)</w:t>
            </w: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net sales and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70,108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58,216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11,892</w:t>
            </w:r>
          </w:p>
        </w:tc>
        <w:tc>
          <w:tcPr>
            <w:tcW w:w="10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89"/>
              </w:rPr>
              <w:t>20.4 %</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8"/>
        </w:trPr>
        <w:tc>
          <w:tcPr>
            <w:tcW w:w="222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6,769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5,440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1,329</w:t>
            </w:r>
          </w:p>
        </w:tc>
        <w:tc>
          <w:tcPr>
            <w:tcW w:w="1080" w:type="dxa"/>
            <w:vAlign w:val="bottom"/>
            <w:gridSpan w:val="3"/>
          </w:tcPr>
          <w:p>
            <w:pPr>
              <w:ind w:left="560"/>
              <w:spacing w:after="0"/>
              <w:rPr>
                <w:sz w:val="20"/>
                <w:szCs w:val="20"/>
                <w:color w:val="auto"/>
              </w:rPr>
            </w:pPr>
            <w:r>
              <w:rPr>
                <w:rFonts w:ascii="Arial" w:cs="Arial" w:eastAsia="Arial" w:hAnsi="Arial"/>
                <w:sz w:val="18"/>
                <w:szCs w:val="18"/>
                <w:color w:val="auto"/>
                <w:w w:val="89"/>
              </w:rPr>
              <w:t>24.4 %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EBIT (loss)-adjusted margin</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1,556</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1,356</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200</w:t>
            </w:r>
          </w:p>
        </w:tc>
        <w:tc>
          <w:tcPr>
            <w:tcW w:w="10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89"/>
              </w:rPr>
              <w:t>14.7 %</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June 30, 2023, Total net sales and revenue increased primarily due to: (1) increased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primarily due to increased sales of crossover vehicles, full-size pickup trucks and full-size SUVs; (2) favorable Mix associated with increased sales of full-size pickup trucks and full-size SUVs, partially offset by increased sales of crossover vehicles; and (3) favorable Price as a result of stable dealer inventory levels and strong demand for our products.</w:t>
      </w:r>
    </w:p>
    <w:p>
      <w:pPr>
        <w:spacing w:after="0" w:line="21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In the six months ended June 30, 2023, Total net sales and revenue increased primarily due to: (1) increased net wholesale volumes primarily due to increased sales of crossover vehicles, full-size pickup trucks and full-size SUVs, partially offset by decreased sales of mid-size pickup trucks; (2) favorable Price as a result of stable dealer inventory levels and strong demand for our products; (3) favorable Mix associated with increased sales of full-size pickup trucks, full-size SUVs and passenger cars, partially offset by increased sales of crossover vehicles; and (4) favorable Other due to increased sales of parts and accessories.</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In the three months ended June 30, 2023, EBIT-adjusted increased primarily due to: (1) favorable Volume; (2) favorable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(3) favorable Mix; partially offset by (4) unfavorable Cost primarily due to increased campaigns and other warranty-related costs of $1.3 billion, increased manufacturing costs of $0.4 billion and decreased non-service pension income of $0.3 billion.</w:t>
      </w:r>
    </w:p>
    <w:p>
      <w:pPr>
        <w:spacing w:after="0" w:line="209"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In the six months ended June 30, 2023, EBIT-adjusted increased primarily due to: (1) favorable Price; (2) favorable Volume; and (3) favorable Mix; partially offset by (4) unfavorable Cost primarily due to increased campaigns and other warranty-related costs of $1.8 billion, decreased non-service pension income of $0.5 billion, increased material and freight costs of $0.5 billion and increased manufacturing costs of $0.4 billion.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2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6"/>
              </w:rPr>
              <w:t>June 30, 2023</w:t>
            </w:r>
          </w:p>
        </w:tc>
        <w:tc>
          <w:tcPr>
            <w:tcW w:w="280" w:type="dxa"/>
            <w:vAlign w:val="bottom"/>
          </w:tcPr>
          <w:p>
            <w:pPr>
              <w:spacing w:after="0"/>
              <w:rPr>
                <w:sz w:val="3"/>
                <w:szCs w:val="3"/>
                <w:color w:val="auto"/>
              </w:rPr>
            </w:pPr>
          </w:p>
        </w:tc>
        <w:tc>
          <w:tcPr>
            <w:tcW w:w="12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8"/>
              </w:rPr>
              <w:t>June 30, 2022</w:t>
            </w:r>
          </w:p>
        </w:tc>
        <w:tc>
          <w:tcPr>
            <w:tcW w:w="26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9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3"/>
                <w:szCs w:val="3"/>
                <w:color w:val="auto"/>
              </w:rPr>
            </w:pPr>
          </w:p>
        </w:tc>
        <w:tc>
          <w:tcPr>
            <w:tcW w:w="4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3"/>
                <w:szCs w:val="3"/>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3"/>
                <w:szCs w:val="3"/>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3"/>
              </w:rPr>
              <w:t>Cost</w:t>
            </w:r>
          </w:p>
        </w:tc>
        <w:tc>
          <w:tcPr>
            <w:tcW w:w="180" w:type="dxa"/>
            <w:vAlign w:val="bottom"/>
          </w:tcPr>
          <w:p>
            <w:pPr>
              <w:spacing w:after="0"/>
              <w:rPr>
                <w:sz w:val="3"/>
                <w:szCs w:val="3"/>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line="20" w:lineRule="exact"/>
              <w:rPr>
                <w:sz w:val="1"/>
                <w:szCs w:val="1"/>
                <w:color w:val="auto"/>
              </w:rPr>
            </w:pPr>
          </w:p>
        </w:tc>
      </w:tr>
      <w:tr>
        <w:trPr>
          <w:trHeight w:val="195"/>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3"/>
              </w:rPr>
              <w:t>(Dollars in billions)</w:t>
            </w: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3,955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80" w:type="dxa"/>
            <w:vAlign w:val="bottom"/>
          </w:tcPr>
          <w:p>
            <w:pPr>
              <w:ind w:left="20"/>
              <w:spacing w:after="0" w:line="188" w:lineRule="exact"/>
              <w:rPr>
                <w:sz w:val="20"/>
                <w:szCs w:val="20"/>
                <w:color w:val="auto"/>
              </w:rPr>
            </w:pPr>
            <w:r>
              <w:rPr>
                <w:rFonts w:ascii="Arial" w:cs="Arial" w:eastAsia="Arial" w:hAnsi="Arial"/>
                <w:sz w:val="18"/>
                <w:szCs w:val="18"/>
                <w:i w:val="1"/>
                <w:iCs w:val="1"/>
                <w:color w:val="auto"/>
              </w:rPr>
              <w:t>Equity income (loss) —</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Automotive China</w:t>
            </w:r>
          </w:p>
        </w:tc>
        <w:tc>
          <w:tcPr>
            <w:tcW w:w="200" w:type="dxa"/>
            <w:vAlign w:val="bottom"/>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200" w:type="dxa"/>
            <w:vAlign w:val="bottom"/>
          </w:tcPr>
          <w:p>
            <w:pPr>
              <w:jc w:val="right"/>
              <w:ind w:right="155"/>
              <w:spacing w:after="0"/>
              <w:rPr>
                <w:sz w:val="20"/>
                <w:szCs w:val="20"/>
                <w:color w:val="auto"/>
              </w:rPr>
            </w:pPr>
            <w:r>
              <w:rPr>
                <w:rFonts w:ascii="Arial" w:cs="Arial" w:eastAsia="Arial" w:hAnsi="Arial"/>
                <w:sz w:val="18"/>
                <w:szCs w:val="18"/>
                <w:i w:val="1"/>
                <w:iCs w:val="1"/>
                <w:color w:val="auto"/>
              </w:rPr>
              <w:t>78</w:t>
            </w:r>
          </w:p>
        </w:tc>
        <w:tc>
          <w:tcPr>
            <w:tcW w:w="2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0" w:type="dxa"/>
            <w:vAlign w:val="bottom"/>
          </w:tcPr>
          <w:p>
            <w:pPr>
              <w:jc w:val="right"/>
              <w:ind w:right="93"/>
              <w:spacing w:after="0"/>
              <w:rPr>
                <w:sz w:val="20"/>
                <w:szCs w:val="20"/>
                <w:color w:val="auto"/>
              </w:rPr>
            </w:pPr>
            <w:r>
              <w:rPr>
                <w:rFonts w:ascii="Arial" w:cs="Arial" w:eastAsia="Arial" w:hAnsi="Arial"/>
                <w:sz w:val="18"/>
                <w:szCs w:val="18"/>
                <w:i w:val="1"/>
                <w:iCs w:val="1"/>
                <w:color w:val="auto"/>
              </w:rPr>
              <w:t>(87)</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i w:val="1"/>
                <w:iCs w:val="1"/>
                <w:color w:val="auto"/>
              </w:rPr>
              <w:t>165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i w:val="1"/>
                <w:iCs w:val="1"/>
                <w:color w:val="auto"/>
              </w:rPr>
              <w:t>n.m.</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rPr>
              <w:t>EBIT-adjusted — excluding</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20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i w:val="1"/>
                <w:iCs w:val="1"/>
                <w:color w:val="auto"/>
              </w:rPr>
              <w:t>158</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296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0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i w:val="1"/>
                <w:iCs w:val="1"/>
                <w:color w:val="auto"/>
              </w:rPr>
              <w:t>(138)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(46.6)%</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Equity income</w:t>
            </w:r>
          </w:p>
        </w:tc>
        <w:tc>
          <w:tcPr>
            <w:tcW w:w="20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(Vehicles in thousands)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2280" w:type="dxa"/>
            <w:vAlign w:val="bottom"/>
          </w:tcPr>
          <w:p>
            <w:pPr>
              <w:spacing w:after="0"/>
              <w:rPr>
                <w:sz w:val="20"/>
                <w:szCs w:val="20"/>
                <w:color w:val="auto"/>
              </w:rPr>
            </w:pPr>
            <w:r>
              <w:rPr>
                <w:rFonts w:ascii="Arial" w:cs="Arial" w:eastAsia="Arial" w:hAnsi="Arial"/>
                <w:sz w:val="16"/>
                <w:szCs w:val="16"/>
                <w:color w:val="auto"/>
              </w:rPr>
              <w:t>__________</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80" w:type="dxa"/>
            <w:vAlign w:val="bottom"/>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793"/>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22"/>
                <w:szCs w:val="22"/>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Favorable/</w:t>
            </w:r>
          </w:p>
        </w:tc>
        <w:tc>
          <w:tcPr>
            <w:tcW w:w="9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2"/>
              </w:rPr>
              <w:t>Variance Due To</w:t>
            </w:r>
          </w:p>
        </w:tc>
        <w:tc>
          <w:tcPr>
            <w:tcW w:w="4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6"/>
              </w:rPr>
              <w:t>June 30, 2023</w:t>
            </w:r>
          </w:p>
        </w:tc>
        <w:tc>
          <w:tcPr>
            <w:tcW w:w="280" w:type="dxa"/>
            <w:vAlign w:val="bottom"/>
          </w:tcPr>
          <w:p>
            <w:pPr>
              <w:spacing w:after="0"/>
              <w:rPr>
                <w:sz w:val="3"/>
                <w:szCs w:val="3"/>
                <w:color w:val="auto"/>
              </w:rPr>
            </w:pPr>
          </w:p>
        </w:tc>
        <w:tc>
          <w:tcPr>
            <w:tcW w:w="12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8"/>
              </w:rPr>
              <w:t>June 30, 2022</w:t>
            </w:r>
          </w:p>
        </w:tc>
        <w:tc>
          <w:tcPr>
            <w:tcW w:w="26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9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3"/>
                <w:szCs w:val="3"/>
                <w:color w:val="auto"/>
              </w:rPr>
            </w:pPr>
          </w:p>
        </w:tc>
        <w:tc>
          <w:tcPr>
            <w:tcW w:w="4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3"/>
                <w:szCs w:val="3"/>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3"/>
                <w:szCs w:val="3"/>
                <w:color w:val="auto"/>
              </w:rPr>
            </w:pPr>
          </w:p>
        </w:tc>
        <w:tc>
          <w:tcPr>
            <w:tcW w:w="4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83"/>
              </w:rPr>
              <w:t>Cost</w:t>
            </w:r>
          </w:p>
        </w:tc>
        <w:tc>
          <w:tcPr>
            <w:tcW w:w="180" w:type="dxa"/>
            <w:vAlign w:val="bottom"/>
          </w:tcPr>
          <w:p>
            <w:pPr>
              <w:spacing w:after="0"/>
              <w:rPr>
                <w:sz w:val="3"/>
                <w:szCs w:val="3"/>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line="20" w:lineRule="exact"/>
              <w:rPr>
                <w:sz w:val="1"/>
                <w:szCs w:val="1"/>
                <w:color w:val="auto"/>
              </w:rPr>
            </w:pPr>
          </w:p>
        </w:tc>
      </w:tr>
      <w:tr>
        <w:trPr>
          <w:trHeight w:val="195"/>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92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3"/>
              </w:rPr>
              <w:t>(Dollars in billions)</w:t>
            </w: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7,682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562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8"/>
        </w:trPr>
        <w:tc>
          <w:tcPr>
            <w:tcW w:w="228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583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537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5"/>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2"/>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80" w:type="dxa"/>
            <w:vAlign w:val="bottom"/>
          </w:tcPr>
          <w:p>
            <w:pPr>
              <w:ind w:left="20"/>
              <w:spacing w:after="0" w:line="175" w:lineRule="exact"/>
              <w:rPr>
                <w:sz w:val="20"/>
                <w:szCs w:val="20"/>
                <w:color w:val="auto"/>
              </w:rPr>
            </w:pPr>
            <w:r>
              <w:rPr>
                <w:rFonts w:ascii="Arial" w:cs="Arial" w:eastAsia="Arial" w:hAnsi="Arial"/>
                <w:sz w:val="18"/>
                <w:szCs w:val="18"/>
                <w:i w:val="1"/>
                <w:iCs w:val="1"/>
                <w:color w:val="auto"/>
                <w:w w:val="96"/>
              </w:rPr>
              <w:t>Equity income — Automotive</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200" w:type="dxa"/>
            <w:vAlign w:val="bottom"/>
            <w:vMerge w:val="restart"/>
          </w:tcPr>
          <w:p>
            <w:pPr>
              <w:jc w:val="right"/>
              <w:ind w:right="135"/>
              <w:spacing w:after="0"/>
              <w:rPr>
                <w:sz w:val="20"/>
                <w:szCs w:val="20"/>
                <w:color w:val="auto"/>
              </w:rPr>
            </w:pPr>
            <w:r>
              <w:rPr>
                <w:rFonts w:ascii="Arial" w:cs="Arial" w:eastAsia="Arial" w:hAnsi="Arial"/>
                <w:sz w:val="18"/>
                <w:szCs w:val="18"/>
                <w:i w:val="1"/>
                <w:iCs w:val="1"/>
                <w:color w:val="auto"/>
              </w:rPr>
              <w:t>161</w:t>
            </w:r>
          </w:p>
        </w:tc>
        <w:tc>
          <w:tcPr>
            <w:tcW w:w="2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200" w:type="dxa"/>
            <w:vAlign w:val="bottom"/>
            <w:vMerge w:val="restart"/>
          </w:tcPr>
          <w:p>
            <w:pPr>
              <w:jc w:val="right"/>
              <w:ind w:right="133"/>
              <w:spacing w:after="0"/>
              <w:rPr>
                <w:sz w:val="20"/>
                <w:szCs w:val="20"/>
                <w:color w:val="auto"/>
              </w:rPr>
            </w:pPr>
            <w:r>
              <w:rPr>
                <w:rFonts w:ascii="Arial" w:cs="Arial" w:eastAsia="Arial" w:hAnsi="Arial"/>
                <w:sz w:val="18"/>
                <w:szCs w:val="18"/>
                <w:i w:val="1"/>
                <w:iCs w:val="1"/>
                <w:color w:val="auto"/>
              </w:rPr>
              <w:t>147</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00" w:type="dxa"/>
            <w:vAlign w:val="bottom"/>
            <w:vMerge w:val="restart"/>
          </w:tcPr>
          <w:p>
            <w:pPr>
              <w:jc w:val="right"/>
              <w:ind w:right="115"/>
              <w:spacing w:after="0"/>
              <w:rPr>
                <w:sz w:val="20"/>
                <w:szCs w:val="20"/>
                <w:color w:val="auto"/>
              </w:rPr>
            </w:pPr>
            <w:r>
              <w:rPr>
                <w:rFonts w:ascii="Arial" w:cs="Arial" w:eastAsia="Arial" w:hAnsi="Arial"/>
                <w:sz w:val="18"/>
                <w:szCs w:val="18"/>
                <w:i w:val="1"/>
                <w:iCs w:val="1"/>
                <w:color w:val="auto"/>
              </w:rPr>
              <w:t>14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9.5 %</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8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2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8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i w:val="1"/>
                <w:iCs w:val="1"/>
                <w:color w:val="auto"/>
              </w:rPr>
              <w:t>EBIT-adjusted — excluding</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Equity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w w:val="79"/>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i w:val="1"/>
                <w:iCs w:val="1"/>
                <w:color w:val="auto"/>
              </w:rPr>
              <w:t>423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390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8"/>
                <w:szCs w:val="18"/>
                <w:i w:val="1"/>
                <w:iCs w:val="1"/>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8.5 %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(loss), which is included in EBIT-adjusted above.</w:t>
      </w:r>
    </w:p>
    <w:p>
      <w:pPr>
        <w:spacing w:after="0" w:line="197"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June 30, 2023, Total net sales and revenue increased primarily due to: (1) favorable pricing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multiple vehicle lines in Argentina, Brazil and in the Middle East; (2) favorable Mix in Asia/Pacific and in the Middle East; partially offset by (3) decreased net wholesale volumes in Egypt, Chile and Colombia primarily due to industry downturn, partially offset by increased volumes in Brazil and in Korea due to new vehicle launches; and (4) unfavorable Other primarily due to the foreign currency effect resulting from the weakening of the Argentine peso against the U.S. dollar.</w:t>
      </w:r>
    </w:p>
    <w:p>
      <w:pPr>
        <w:spacing w:after="0" w:line="211" w:lineRule="exact"/>
        <w:rPr>
          <w:sz w:val="20"/>
          <w:szCs w:val="20"/>
          <w:color w:val="auto"/>
        </w:rPr>
      </w:pPr>
    </w:p>
    <w:p>
      <w:pPr>
        <w:jc w:val="both"/>
        <w:ind w:firstLine="161"/>
        <w:spacing w:after="0" w:line="266" w:lineRule="auto"/>
        <w:rPr>
          <w:sz w:val="20"/>
          <w:szCs w:val="20"/>
          <w:color w:val="auto"/>
        </w:rPr>
      </w:pPr>
      <w:r>
        <w:rPr>
          <w:rFonts w:ascii="Arial" w:cs="Arial" w:eastAsia="Arial" w:hAnsi="Arial"/>
          <w:sz w:val="17"/>
          <w:szCs w:val="17"/>
          <w:color w:val="auto"/>
        </w:rPr>
        <w:t>In the six months ended June 30, 2023, Total net sales and revenue increased primarily due to: (1) favorable pricing across multiple vehicle lines in Argentina, Brazil and in the Middle East; (2) favorable Mix in Asia/Pacific, in the Middle East and in Chile, partially offset by unfavorable Mix in Brazil; all partially offset by (3) decreased net wholesale volumes in Egypt, Chile and Colombia primarily due to industry downturn, partially offset by increased volumes in Brazil due to improved parts availability and a new vehicle launch; and (4) unfavorable Other primarily due to the foreign currency effect resulting from the weakening of the Argentine peso against the U.S. dollar, partially offset by increased components sales.</w:t>
      </w:r>
    </w:p>
    <w:p>
      <w:pPr>
        <w:spacing w:after="0" w:line="193" w:lineRule="exact"/>
        <w:rPr>
          <w:sz w:val="20"/>
          <w:szCs w:val="20"/>
          <w:color w:val="auto"/>
        </w:rPr>
      </w:pPr>
    </w:p>
    <w:p>
      <w:pPr>
        <w:jc w:val="both"/>
        <w:ind w:firstLine="161"/>
        <w:spacing w:after="0" w:line="289" w:lineRule="auto"/>
        <w:rPr>
          <w:sz w:val="20"/>
          <w:szCs w:val="20"/>
          <w:color w:val="auto"/>
        </w:rPr>
      </w:pPr>
      <w:r>
        <w:rPr>
          <w:rFonts w:ascii="Arial" w:cs="Arial" w:eastAsia="Arial" w:hAnsi="Arial"/>
          <w:sz w:val="17"/>
          <w:szCs w:val="17"/>
          <w:b w:val="1"/>
          <w:bCs w:val="1"/>
          <w:i w:val="1"/>
          <w:iCs w:val="1"/>
          <w:color w:val="auto"/>
        </w:rPr>
        <w:t xml:space="preserve">GMI EBIT-Adjusted </w:t>
      </w:r>
      <w:r>
        <w:rPr>
          <w:rFonts w:ascii="Arial" w:cs="Arial" w:eastAsia="Arial" w:hAnsi="Arial"/>
          <w:sz w:val="17"/>
          <w:szCs w:val="17"/>
          <w:color w:val="auto"/>
        </w:rPr>
        <w:t>In the three months ended June 30, 2023, EBIT-adjusted increased primarily due to: (1) favorable Price; and (2) favorable Mix;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partially offset by (3) unfavorable Cost primarily due to increased material, logistic and other warranty-related costs; and (4) unfavorable Other.</w:t>
      </w:r>
    </w:p>
    <w:p>
      <w:pPr>
        <w:spacing w:after="0" w:line="188"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color w:val="auto"/>
        </w:rPr>
        <w:t>In the six months ended June 30, 2023, EBIT-adjusted increased primarily due to: (1) favorable Price; and (2) favorable Mix; partially offset by (3) unfavorable Cost primarily due to increased material, logistic, warranty-related costs and other costs to support new vehicles launches in South America; and (4) unfavorable Other primarily due to foreign currency effect resulting from the weakening of the Argentine peso against the U.S. dollar.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while we accelerate the development and rollout of EVs across our brands in China as part of our commitment to an all-electric future. We operate in the Chinese market through a number of joint ventures and maintaining strong relationships with our joint venture partners is an important part of our China growth strategy.</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7"/>
          </w:tcPr>
          <w:p>
            <w:pPr>
              <w:jc w:val="right"/>
              <w:ind w:right="738"/>
              <w:spacing w:after="0"/>
              <w:rPr>
                <w:sz w:val="20"/>
                <w:szCs w:val="20"/>
                <w:color w:val="auto"/>
              </w:rPr>
            </w:pPr>
            <w:r>
              <w:rPr>
                <w:rFonts w:ascii="Arial" w:cs="Arial" w:eastAsia="Arial" w:hAnsi="Arial"/>
                <w:sz w:val="14"/>
                <w:szCs w:val="14"/>
                <w:b w:val="1"/>
                <w:bCs w:val="1"/>
                <w:color w:val="auto"/>
                <w:w w:val="98"/>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b w:val="1"/>
                <w:bCs w:val="1"/>
                <w:color w:val="auto"/>
                <w:w w:val="95"/>
              </w:rPr>
              <w:t>Six Months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4"/>
                <w:szCs w:val="14"/>
                <w:b w:val="1"/>
                <w:bCs w:val="1"/>
                <w:color w:val="auto"/>
                <w:w w:val="87"/>
              </w:rPr>
              <w:t>June 30, 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174"/>
        </w:trPr>
        <w:tc>
          <w:tcPr>
            <w:tcW w:w="4820" w:type="dxa"/>
            <w:vAlign w:val="bottom"/>
            <w:gridSpan w:val="9"/>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Wholesale vehicle sales, including vehicles exported to markets</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of China</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8"/>
        </w:trPr>
        <w:tc>
          <w:tcPr>
            <w:tcW w:w="2020" w:type="dxa"/>
            <w:vAlign w:val="bottom"/>
            <w:gridSpan w:val="2"/>
          </w:tcPr>
          <w:p>
            <w:pPr>
              <w:ind w:left="20"/>
              <w:spacing w:after="0"/>
              <w:rPr>
                <w:sz w:val="20"/>
                <w:szCs w:val="20"/>
                <w:color w:val="auto"/>
              </w:rPr>
            </w:pPr>
            <w:r>
              <w:rPr>
                <w:rFonts w:ascii="Arial" w:cs="Arial" w:eastAsia="Arial" w:hAnsi="Arial"/>
                <w:sz w:val="18"/>
                <w:szCs w:val="18"/>
                <w:color w:val="auto"/>
                <w:w w:val="89"/>
              </w:rPr>
              <w:t>Total net sales and revenue</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
              <w:spacing w:after="0"/>
              <w:rPr>
                <w:sz w:val="20"/>
                <w:szCs w:val="20"/>
                <w:color w:val="auto"/>
              </w:rPr>
            </w:pPr>
            <w:r>
              <w:rPr>
                <w:rFonts w:ascii="Arial" w:cs="Arial" w:eastAsia="Arial" w:hAnsi="Arial"/>
                <w:sz w:val="18"/>
                <w:szCs w:val="18"/>
                <w:color w:val="auto"/>
              </w:rPr>
              <w:t>8,126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6,083</w:t>
            </w:r>
          </w:p>
        </w:tc>
        <w:tc>
          <w:tcPr>
            <w:tcW w:w="2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80" w:type="dxa"/>
            <w:vAlign w:val="bottom"/>
            <w:gridSpan w:val="3"/>
          </w:tcPr>
          <w:p>
            <w:pPr>
              <w:jc w:val="right"/>
              <w:ind w:right="8"/>
              <w:spacing w:after="0"/>
              <w:rPr>
                <w:sz w:val="20"/>
                <w:szCs w:val="20"/>
                <w:color w:val="auto"/>
              </w:rPr>
            </w:pPr>
            <w:r>
              <w:rPr>
                <w:rFonts w:ascii="Arial" w:cs="Arial" w:eastAsia="Arial" w:hAnsi="Arial"/>
                <w:sz w:val="18"/>
                <w:szCs w:val="18"/>
                <w:color w:val="auto"/>
                <w:w w:val="87"/>
              </w:rPr>
              <w:t>13,959</w:t>
            </w:r>
          </w:p>
        </w:tc>
        <w:tc>
          <w:tcPr>
            <w:tcW w:w="740" w:type="dxa"/>
            <w:vAlign w:val="bottom"/>
            <w:gridSpan w:val="2"/>
          </w:tcPr>
          <w:p>
            <w:pPr>
              <w:jc w:val="center"/>
              <w:ind w:right="324"/>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
              <w:spacing w:after="0"/>
              <w:rPr>
                <w:sz w:val="20"/>
                <w:szCs w:val="20"/>
                <w:color w:val="auto"/>
              </w:rPr>
            </w:pPr>
            <w:r>
              <w:rPr>
                <w:rFonts w:ascii="Arial" w:cs="Arial" w:eastAsia="Arial" w:hAnsi="Arial"/>
                <w:sz w:val="18"/>
                <w:szCs w:val="18"/>
                <w:color w:val="auto"/>
              </w:rPr>
              <w:t>15,074</w:t>
            </w:r>
          </w:p>
        </w:tc>
        <w:tc>
          <w:tcPr>
            <w:tcW w:w="0" w:type="dxa"/>
            <w:vAlign w:val="bottom"/>
          </w:tcPr>
          <w:p>
            <w:pPr>
              <w:spacing w:after="0"/>
              <w:rPr>
                <w:sz w:val="1"/>
                <w:szCs w:val="1"/>
                <w:color w:val="auto"/>
              </w:rPr>
            </w:pPr>
          </w:p>
        </w:tc>
      </w:tr>
      <w:tr>
        <w:trPr>
          <w:trHeight w:val="242"/>
        </w:trPr>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419</w:t>
            </w:r>
          </w:p>
        </w:tc>
        <w:tc>
          <w:tcPr>
            <w:tcW w:w="740" w:type="dxa"/>
            <w:vAlign w:val="bottom"/>
            <w:gridSpan w:val="2"/>
            <w:shd w:val="clear" w:color="auto" w:fill="CCEEFF"/>
          </w:tcPr>
          <w:p>
            <w:pPr>
              <w:jc w:val="center"/>
              <w:ind w:right="324"/>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538"/>
        </w:trPr>
        <w:tc>
          <w:tcPr>
            <w:tcW w:w="1900" w:type="dxa"/>
            <w:vAlign w:val="bottom"/>
          </w:tcPr>
          <w:p>
            <w:pPr>
              <w:spacing w:after="0"/>
              <w:rPr>
                <w:sz w:val="20"/>
                <w:szCs w:val="20"/>
                <w:color w:val="auto"/>
              </w:rPr>
            </w:pPr>
            <w:r>
              <w:rPr>
                <w:rFonts w:ascii="Arial" w:cs="Arial" w:eastAsia="Arial" w:hAnsi="Arial"/>
                <w:sz w:val="18"/>
                <w:szCs w:val="18"/>
                <w:b w:val="1"/>
                <w:bCs w:val="1"/>
                <w:color w:val="auto"/>
              </w:rPr>
              <w:t>Cruise</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4"/>
            <w:vMerge w:val="restart"/>
          </w:tcPr>
          <w:p>
            <w:pPr>
              <w:jc w:val="right"/>
              <w:ind w:right="3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Favorable/</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6"/>
            <w:vMerge w:val="restart"/>
          </w:tcPr>
          <w:p>
            <w:pPr>
              <w:jc w:val="right"/>
              <w:ind w:right="444"/>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6"/>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0"/>
              </w:rPr>
              <w:t>June 30, 2023</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June 30, 2022</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vMerge w:val="restart"/>
          </w:tcPr>
          <w:p>
            <w:pPr>
              <w:spacing w:after="0"/>
              <w:rPr>
                <w:sz w:val="2"/>
                <w:szCs w:val="2"/>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90"/>
              </w:rPr>
              <w:t>June 30, 2023</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0"/>
              </w:rPr>
              <w:t>June 30, 2022</w:t>
            </w:r>
          </w:p>
        </w:tc>
        <w:tc>
          <w:tcPr>
            <w:tcW w:w="2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90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91"/>
        </w:trPr>
        <w:tc>
          <w:tcPr>
            <w:tcW w:w="1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Total net sales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8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4.0 %</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revenue(a)</w:t>
            </w:r>
          </w:p>
        </w:tc>
        <w:tc>
          <w:tcPr>
            <w:tcW w:w="1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80" w:type="dxa"/>
            <w:vAlign w:val="bottom"/>
            <w:gridSpan w:val="4"/>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580" w:type="dxa"/>
            <w:vAlign w:val="bottom"/>
            <w:gridSpan w:val="3"/>
            <w:shd w:val="clear" w:color="auto" w:fill="CCEEFF"/>
          </w:tcPr>
          <w:p>
            <w:pPr>
              <w:jc w:val="right"/>
              <w:ind w:right="26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2"/>
        </w:trPr>
        <w:tc>
          <w:tcPr>
            <w:tcW w:w="1900" w:type="dxa"/>
            <w:vAlign w:val="bottom"/>
          </w:tcPr>
          <w:p>
            <w:pPr>
              <w:ind w:left="20"/>
              <w:spacing w:after="0"/>
              <w:rPr>
                <w:sz w:val="20"/>
                <w:szCs w:val="20"/>
                <w:color w:val="auto"/>
              </w:rPr>
            </w:pPr>
            <w:r>
              <w:rPr>
                <w:rFonts w:ascii="Arial" w:cs="Arial" w:eastAsia="Arial" w:hAnsi="Arial"/>
                <w:sz w:val="18"/>
                <w:szCs w:val="18"/>
                <w:color w:val="auto"/>
              </w:rPr>
              <w:t>EBIT (loss)-adjusted(b)</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(12.5)%</w:t>
            </w:r>
          </w:p>
        </w:tc>
        <w:tc>
          <w:tcPr>
            <w:tcW w:w="120" w:type="dxa"/>
            <w:vAlign w:val="bottom"/>
            <w:tcBorders>
              <w:right w:val="single" w:sz="8" w:color="auto"/>
            </w:tcBorders>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(1,172)</w:t>
            </w:r>
          </w:p>
        </w:tc>
        <w:tc>
          <w:tcPr>
            <w:tcW w:w="2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(868)</w:t>
            </w:r>
          </w:p>
        </w:tc>
        <w:tc>
          <w:tcPr>
            <w:tcW w:w="580" w:type="dxa"/>
            <w:vAlign w:val="bottom"/>
            <w:gridSpan w:val="3"/>
          </w:tcPr>
          <w:p>
            <w:pPr>
              <w:jc w:val="right"/>
              <w:ind w:right="268"/>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(304)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40" w:hanging="333"/>
        <w:spacing w:after="0" w:line="254"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Primarily reclassified to Interest income and other non-operating income, net in our condensed consolidated income statements in the three and six months ended June 30, 2023 and 2022.</w:t>
      </w:r>
    </w:p>
    <w:p>
      <w:pPr>
        <w:ind w:left="340" w:hanging="333"/>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Excludes $1.1 billion in compensation expense in the six months ended June 30, 2022 resulting from modification of the Cruise stock incentive awards.</w:t>
      </w:r>
    </w:p>
    <w:p>
      <w:pPr>
        <w:spacing w:after="0" w:line="237"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8"/>
          <w:szCs w:val="18"/>
          <w:color w:val="auto"/>
        </w:rPr>
        <w:t>In the three and six months ended June 30, 2023, EBIT (loss)-adjusted increased primarily due to an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costs as we continue to make progress on commercialization of a network of on-demand AVs.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1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June 30, 2022</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9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2"/>
              </w:rPr>
              <w:t>June 30, 2023</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96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86"/>
        </w:trPr>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(Decrease)</w:t>
            </w:r>
          </w:p>
        </w:tc>
        <w:tc>
          <w:tcPr>
            <w:tcW w:w="96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(Decrease)</w:t>
            </w: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8"/>
        </w:trPr>
        <w:tc>
          <w:tcPr>
            <w:tcW w:w="2000" w:type="dxa"/>
            <w:vAlign w:val="bottom"/>
            <w:gridSpan w:val="2"/>
          </w:tcPr>
          <w:p>
            <w:pPr>
              <w:ind w:left="20"/>
              <w:spacing w:after="0"/>
              <w:rPr>
                <w:sz w:val="20"/>
                <w:szCs w:val="20"/>
                <w:color w:val="auto"/>
              </w:rPr>
            </w:pPr>
            <w:r>
              <w:rPr>
                <w:rFonts w:ascii="Arial" w:cs="Arial" w:eastAsia="Arial" w:hAnsi="Arial"/>
                <w:sz w:val="18"/>
                <w:szCs w:val="18"/>
                <w:color w:val="auto"/>
                <w:w w:val="93"/>
              </w:rPr>
              <w:t>Provision for loan losses $</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167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298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320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2"/>
        </w:trPr>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EBT-adjusted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(853)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line="175" w:lineRule="exact"/>
              <w:rPr>
                <w:sz w:val="20"/>
                <w:szCs w:val="20"/>
                <w:color w:val="auto"/>
              </w:rPr>
            </w:pPr>
            <w:r>
              <w:rPr>
                <w:rFonts w:ascii="Arial" w:cs="Arial" w:eastAsia="Arial" w:hAnsi="Arial"/>
                <w:sz w:val="18"/>
                <w:szCs w:val="18"/>
                <w:color w:val="auto"/>
              </w:rPr>
              <w:t>Average debt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60" w:type="dxa"/>
            <w:vAlign w:val="bottom"/>
          </w:tcPr>
          <w:p>
            <w:pPr>
              <w:ind w:left="180"/>
              <w:spacing w:after="0" w:line="175" w:lineRule="exact"/>
              <w:rPr>
                <w:sz w:val="20"/>
                <w:szCs w:val="20"/>
                <w:color w:val="auto"/>
              </w:rPr>
            </w:pPr>
            <w:r>
              <w:rPr>
                <w:rFonts w:ascii="Arial" w:cs="Arial" w:eastAsia="Arial" w:hAnsi="Arial"/>
                <w:sz w:val="18"/>
                <w:szCs w:val="18"/>
                <w:color w:val="auto"/>
                <w:w w:val="94"/>
              </w:rPr>
              <w:t>outstanding (dollars in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136"/>
              <w:spacing w:after="0"/>
              <w:rPr>
                <w:sz w:val="20"/>
                <w:szCs w:val="20"/>
                <w:color w:val="auto"/>
              </w:rPr>
            </w:pPr>
            <w:r>
              <w:rPr>
                <w:rFonts w:ascii="Arial" w:cs="Arial" w:eastAsia="Arial" w:hAnsi="Arial"/>
                <w:sz w:val="18"/>
                <w:szCs w:val="18"/>
                <w:color w:val="auto"/>
              </w:rPr>
              <w:t>99.7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3"/>
              <w:spacing w:after="0"/>
              <w:rPr>
                <w:sz w:val="20"/>
                <w:szCs w:val="20"/>
                <w:color w:val="auto"/>
              </w:rPr>
            </w:pPr>
            <w:r>
              <w:rPr>
                <w:rFonts w:ascii="Arial" w:cs="Arial" w:eastAsia="Arial" w:hAnsi="Arial"/>
                <w:sz w:val="18"/>
                <w:szCs w:val="18"/>
                <w:color w:val="auto"/>
              </w:rPr>
              <w:t>92.9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36"/>
              <w:spacing w:after="0"/>
              <w:rPr>
                <w:sz w:val="20"/>
                <w:szCs w:val="20"/>
                <w:color w:val="auto"/>
              </w:rPr>
            </w:pPr>
            <w:r>
              <w:rPr>
                <w:rFonts w:ascii="Arial" w:cs="Arial" w:eastAsia="Arial" w:hAnsi="Arial"/>
                <w:sz w:val="18"/>
                <w:szCs w:val="18"/>
                <w:color w:val="auto"/>
              </w:rPr>
              <w:t>6.8</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7.3 %</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116"/>
              <w:spacing w:after="0"/>
              <w:rPr>
                <w:sz w:val="20"/>
                <w:szCs w:val="20"/>
                <w:color w:val="auto"/>
              </w:rPr>
            </w:pPr>
            <w:r>
              <w:rPr>
                <w:rFonts w:ascii="Arial" w:cs="Arial" w:eastAsia="Arial" w:hAnsi="Arial"/>
                <w:sz w:val="18"/>
                <w:szCs w:val="18"/>
                <w:color w:val="auto"/>
              </w:rPr>
              <w:t>98.3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33"/>
              <w:spacing w:after="0"/>
              <w:rPr>
                <w:sz w:val="20"/>
                <w:szCs w:val="20"/>
                <w:color w:val="auto"/>
              </w:rPr>
            </w:pPr>
            <w:r>
              <w:rPr>
                <w:rFonts w:ascii="Arial" w:cs="Arial" w:eastAsia="Arial" w:hAnsi="Arial"/>
                <w:sz w:val="18"/>
                <w:szCs w:val="18"/>
                <w:color w:val="auto"/>
              </w:rPr>
              <w:t>92.9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36"/>
              <w:spacing w:after="0"/>
              <w:rPr>
                <w:sz w:val="20"/>
                <w:szCs w:val="20"/>
                <w:color w:val="auto"/>
              </w:rPr>
            </w:pPr>
            <w:r>
              <w:rPr>
                <w:rFonts w:ascii="Arial" w:cs="Arial" w:eastAsia="Arial" w:hAnsi="Arial"/>
                <w:sz w:val="18"/>
                <w:szCs w:val="18"/>
                <w:color w:val="auto"/>
              </w:rPr>
              <w:t>5.4</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6"/>
        </w:trPr>
        <w:tc>
          <w:tcPr>
            <w:tcW w:w="1860" w:type="dxa"/>
            <w:vAlign w:val="bottom"/>
          </w:tcPr>
          <w:p>
            <w:pPr>
              <w:ind w:left="180"/>
              <w:spacing w:after="0"/>
              <w:rPr>
                <w:sz w:val="20"/>
                <w:szCs w:val="20"/>
                <w:color w:val="auto"/>
              </w:rPr>
            </w:pPr>
            <w:r>
              <w:rPr>
                <w:rFonts w:ascii="Arial" w:cs="Arial" w:eastAsia="Arial" w:hAnsi="Arial"/>
                <w:sz w:val="18"/>
                <w:szCs w:val="18"/>
                <w:color w:val="auto"/>
              </w:rPr>
              <w:t>billions)</w:t>
            </w:r>
          </w:p>
        </w:tc>
        <w:tc>
          <w:tcPr>
            <w:tcW w:w="1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86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w w:val="96"/>
              </w:rPr>
              <w:t>Effective rate of interest</w:t>
            </w: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w:t>
            </w: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June 30, 2023, Total revenue increased primarily due to increased finance charge income of $0.4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primarily due to an increase in the effective yield resulting from higher benchmark rates and growth in the size of the portfolio, increased investment income of $0.1 billion primarily due to an increase in benchmark interest rates, partially offset by decreased leased vehicle income of $0.2 billion primarily due to a decrease in the average balance of the leased vehicles portfolio.</w:t>
      </w:r>
    </w:p>
    <w:p>
      <w:pPr>
        <w:spacing w:after="0" w:line="21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six months ended June 30, 2023, Total revenue increased primarily due to increased finance charge income of $0.8 billion primarily due to an increase in the effective yield resulting from higher benchmark rates and growth in the size of the portfolio, increased investment income of $0.2 billion primarily due to an increase in benchmark interest rates, partially offset by decreased leased vehicle income of $0.4 billion primarily due to a decrease in the average balance of the leased vehicles portfolio.</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7"/>
          <w:szCs w:val="17"/>
          <w:b w:val="1"/>
          <w:bCs w:val="1"/>
          <w:i w:val="1"/>
          <w:iCs w:val="1"/>
          <w:color w:val="auto"/>
        </w:rPr>
        <w:t xml:space="preserve">GM Financial EBT-Adjusted </w:t>
      </w:r>
      <w:r>
        <w:rPr>
          <w:rFonts w:ascii="Arial" w:cs="Arial" w:eastAsia="Arial" w:hAnsi="Arial"/>
          <w:sz w:val="17"/>
          <w:szCs w:val="17"/>
          <w:color w:val="auto"/>
        </w:rPr>
        <w:t>In the three months ended June 30, 2023, EBT-adjusted decreased primarily due to: (1) increased interest expense of $0.5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billion primarily due to an increased effective rate of interest on debt, resulting from higher benchmark rates and increased credit spreads, as well as an increase in average debt outstanding; (2) decreased leased vehicle income net of leased vehicle expenses of $0.3 billion primarily due to decreased leased vehicle income resulting from a decrease in the average balance of the leased vehicles portfolio and decreased lease termination gains associated with higher leased portfolio net book values at termination and fewer terminated leases; partially offset by (3) increased finance charge income of $0.4 billion primarily due to an increase in the effective yield resulting from higher benchmark rates and growth in the size of the portfolio; and (4) increased investment income of $0.1 billion primarily due to an increase in benchmark interest rates.</w:t>
      </w:r>
    </w:p>
    <w:p>
      <w:pPr>
        <w:spacing w:after="0" w:line="203"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7"/>
          <w:szCs w:val="17"/>
          <w:color w:val="auto"/>
        </w:rPr>
        <w:t>In the six months ended June 30, 2023, EBT-adjusted decreased primarily due to: (1) increased interest expense of $0.9 billion primarily due to an increased effective rate of interest on debt, resulting from higher benchmark rates and increased credit spreads, as well as an increase in average debt outstanding; (2) decreased leased vehicle income net of leased vehicle expenses of $0.8 billion primarily due to decreased leased vehicle income resulting from a decrease in the average balance of the leased vehicles portfolio and decreased lease termination gains associated with higher leased portfolio net book values at termination and fewer terminated leases; partially offset by (3) increased finance charge income of $0.8 billion primarily due to an increase in the effective yield resulting from higher benchmark rates and growth in the size of the portfolio; and (4) increased investment income of $0.2 billion primarily due to an increase in benchmark interest rates.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We believe our current levels of cash, cash equivalents, marketable debt securities, available borrowing capacity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90"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7"/>
          <w:szCs w:val="17"/>
          <w:color w:val="auto"/>
        </w:rPr>
        <w:t>Our known current material uses of cash include, among other possible demands: (1) capital spending and our investments in our battery cell manufacturing joint ventures of approximately $11.0 billion to $12.0 billion for 2023 and $11.0 billion to $13.0 billion per year for 2024 and 2025; (2) payments for engineering and product development activities; (3) payments associated with previously announced vehicle recalls and any other recall-related contingencies; (4) payments to service debt and other long-term obligations, including discretionary and mandatory contributions to our pension plans; (5) payments associated with the liquidity program for holders of equity-based incentive awards issued to employees of Cruise; (6) dividend payments on our common stock that are declared by our Board of Directors; and (7) payments to purchase shares of our common stock authorized by our Board of Directors.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01"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 In the three months ended June 30, 2023, we lowered our guidance on capital spending and investments in our battery cell manufacturing joint ventures for 2023 in response to our cost actions and product simplification initiatives.</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Part I, Item 1A. Risk Factors of our 2022 Form 10-K, some of which are outside of our control.</w:t>
      </w:r>
    </w:p>
    <w:p>
      <w:pPr>
        <w:spacing w:after="0" w:line="197"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In 2022, our Board of Directors increased the capacity under our previously announced common stock repurchase program to $5.0 billion. In the six months ended June 30, 2023, we completed $0.9 billion of repurchases under the program and retired 24 million shares of our common stock. We have completed $3.4 billion of the $5.0 billion program through June 30, 2023.</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color w:val="auto"/>
        </w:rPr>
        <w:t>In 2022, we reinstated a quarterly dividend on our common stock. In the six months ended June 30, 2023, we paid dividends of $0.2 billion to holders of our common stock.</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March 2023, we redeemed our $1.5 billion, 4.875% senior unsecured notes with a maturity date of October 2023 and recorded an insignificant loss.</w:t>
      </w:r>
    </w:p>
    <w:p>
      <w:pPr>
        <w:spacing w:after="0" w:line="259" w:lineRule="exact"/>
        <w:rPr>
          <w:sz w:val="20"/>
          <w:szCs w:val="20"/>
          <w:color w:val="auto"/>
        </w:rPr>
      </w:pPr>
    </w:p>
    <w:p>
      <w:pPr>
        <w:jc w:val="both"/>
        <w:ind w:firstLine="161"/>
        <w:spacing w:after="0" w:line="245" w:lineRule="auto"/>
        <w:rPr>
          <w:sz w:val="20"/>
          <w:szCs w:val="20"/>
          <w:color w:val="auto"/>
        </w:rPr>
      </w:pPr>
      <w:r>
        <w:rPr>
          <w:rFonts w:ascii="Arial" w:cs="Arial" w:eastAsia="Arial" w:hAnsi="Arial"/>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 xml:space="preserve">Automotive Liquidity </w:t>
      </w:r>
      <w:r>
        <w:rPr>
          <w:rFonts w:ascii="Arial" w:cs="Arial" w:eastAsia="Arial" w:hAnsi="Arial"/>
          <w:sz w:val="17"/>
          <w:szCs w:val="17"/>
          <w:color w:val="auto"/>
        </w:rPr>
        <w:t>Total available liquidity includes cash, cash equivalents, marketable debt securities and funds available under credit facilities.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2022. Refer to Part II, Item 7. MD&amp;A of our 2022 Form 10-K.</w:t>
      </w:r>
    </w:p>
    <w:p>
      <w:pPr>
        <w:spacing w:after="0" w:line="195" w:lineRule="exact"/>
        <w:rPr>
          <w:sz w:val="20"/>
          <w:szCs w:val="20"/>
          <w:color w:val="auto"/>
        </w:rPr>
      </w:pPr>
    </w:p>
    <w:p>
      <w:pPr>
        <w:jc w:val="both"/>
        <w:ind w:firstLine="161"/>
        <w:spacing w:after="0" w:line="266" w:lineRule="auto"/>
        <w:rPr>
          <w:sz w:val="20"/>
          <w:szCs w:val="20"/>
          <w:color w:val="auto"/>
        </w:rPr>
      </w:pPr>
      <w:r>
        <w:rPr>
          <w:rFonts w:ascii="Arial" w:cs="Arial" w:eastAsia="Arial" w:hAnsi="Arial"/>
          <w:sz w:val="17"/>
          <w:szCs w:val="17"/>
          <w:color w:val="auto"/>
        </w:rPr>
        <w:t>In March 2023, we renewed and reduced the total borrowing capacity of our five-year, $11.2 billion facility to $10.0 billion, which now matures March 31, 2028. We also renewed and reduced the total borrowing capacity of our three-year, $4.3 billion facility to $4.1 billion, which now matures March 31, 2026, and renewed our 364-day, $2.0 billion revolving credit facility allocated for the exclusive use of GM Financial, which now matures March 30, 2024. The renewed credit facilities are based on Term SOFR whereas the previous credit facilities were based on LIBOR.</w:t>
      </w:r>
    </w:p>
    <w:p>
      <w:pPr>
        <w:spacing w:after="0" w:line="208"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Automotive borrowing capacity under credit facilities totaled $14.1 billion at June 30, 2023 and $15.5 billion at December 31, 2022, which consisted primarily of two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$0.6 billion and $0.4 billion at June 30, 2023 and December 31, 2022.</w:t>
      </w:r>
    </w:p>
    <w:p>
      <w:pPr>
        <w:spacing w:after="0" w:line="211"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If available capacity permits, GM Financial continues to have access to our automotive credit facilities. GM Financial did not have borrowings outstanding against any of these facilities at June 30, 2023 and December 31, 2022. We had intercompany loans from GM Financial of $0.1 billion and $0.2 billion at June 30, 2023 and December 31, 2022, which primarily consisted of commercial loans to dealers we consolidate. We did not have intercompany loans to GM Financial at June 30, 2023 and December 31, 2022. Refer to Note 4 to our condensed consolidated financial statements for additional information.</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We have reviewed our covenants in effect as of June 30, 2023 and determined we are in compliance and expect to remain in compliance in the future.</w:t>
      </w:r>
    </w:p>
    <w:p>
      <w:pPr>
        <w:spacing w:after="0" w:line="20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GM Financial's Board of Directors declared and paid dividends of $0.9 billion on its common stock in the six months ended June 30, 2023. Future dividends from GM Financial will depend on several factors including business and economic conditions, its financial condition, earnings, liquidity requirements and leverage ratio.</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Automotive available liquidity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June 30, 2023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Arial" w:cs="Arial" w:eastAsia="Arial" w:hAnsi="Arial"/>
                <w:sz w:val="14"/>
                <w:szCs w:val="14"/>
                <w:b w:val="1"/>
                <w:bCs w:val="1"/>
                <w:color w:val="auto"/>
                <w:w w:val="95"/>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and cash equivalents</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Marketable debt securities</w:t>
            </w: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3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cash equivalents and marketable debt securities</w:t>
            </w:r>
          </w:p>
        </w:tc>
        <w:tc>
          <w:tcPr>
            <w:tcW w:w="12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Available under credit facilities(a)</w:t>
            </w: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Automotive available liquidity</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had letters of credit outstanding under our sub-facility of $0.6 billion and $0.4 billion at June 30, 2023 and December 31, 2022.</w:t>
      </w:r>
    </w:p>
    <w:p>
      <w:pPr>
        <w:spacing w:after="0" w:line="200" w:lineRule="exact"/>
        <w:rPr>
          <w:rFonts w:ascii="Arial" w:cs="Arial" w:eastAsia="Arial" w:hAnsi="Arial"/>
          <w:sz w:val="16"/>
          <w:szCs w:val="16"/>
          <w:color w:val="auto"/>
        </w:rPr>
      </w:pPr>
    </w:p>
    <w:p>
      <w:pPr>
        <w:spacing w:after="0" w:line="39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60" w:type="dxa"/>
            <w:vAlign w:val="bottom"/>
            <w:gridSpan w:val="6"/>
          </w:tcPr>
          <w:p>
            <w:pPr>
              <w:ind w:left="8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Payment of senior unsecured notes</w:t>
            </w:r>
          </w:p>
        </w:tc>
        <w:tc>
          <w:tcPr>
            <w:tcW w:w="1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Dividends paid and payments to purchase common stock</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Lithium Americas Corp.</w:t>
            </w:r>
          </w:p>
        </w:tc>
        <w:tc>
          <w:tcPr>
            <w:tcW w:w="1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Investment in Ultium Cells Holdings LLC</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GM investment in Cruise</w:t>
            </w: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Decrease in available credit facilities</w:t>
            </w: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w:t>
            </w:r>
          </w:p>
        </w:tc>
        <w:tc>
          <w:tcPr>
            <w:tcW w:w="1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Total change in automotive available liquidity</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Automotive Cash Flow (dollars in billions)</w:t>
            </w: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000" w:type="dxa"/>
            <w:vAlign w:val="bottom"/>
            <w:gridSpan w:val="5"/>
          </w:tcPr>
          <w:p>
            <w:pPr>
              <w:jc w:val="right"/>
              <w:ind w:right="656"/>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 2023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1020" w:type="dxa"/>
            <w:vAlign w:val="bottom"/>
            <w:gridSpan w:val="2"/>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124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OPEB activities</w:t>
            </w:r>
          </w:p>
        </w:tc>
        <w:tc>
          <w:tcPr>
            <w:tcW w:w="1240" w:type="dxa"/>
            <w:vAlign w:val="bottom"/>
            <w:shd w:val="clear" w:color="auto" w:fill="CCEEFF"/>
          </w:tcPr>
          <w:p>
            <w:pPr>
              <w:spacing w:after="0"/>
              <w:rPr>
                <w:sz w:val="20"/>
                <w:szCs w:val="20"/>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2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(1.6)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 and income taxes</w:t>
            </w:r>
          </w:p>
        </w:tc>
        <w:tc>
          <w:tcPr>
            <w:tcW w:w="124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operating activities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six months ended June 30, 2023, the increase in Net automotive cash provided by operating activities was primarily due to higher accruals compared to prior year.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00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June 30, 2023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 2022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w:t>
            </w:r>
          </w:p>
        </w:tc>
        <w:tc>
          <w:tcPr>
            <w:tcW w:w="1360" w:type="dxa"/>
            <w:vAlign w:val="bottom"/>
            <w:gridSpan w:val="2"/>
            <w:shd w:val="clear" w:color="auto" w:fill="CCEEFF"/>
          </w:tcPr>
          <w:p>
            <w:pPr>
              <w:jc w:val="right"/>
              <w:ind w:right="105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7"/>
              </w:rPr>
              <w:t>(0.8)</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Acquisitions and liquidations of marketable securities, net</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54"/>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42"/>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12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8"/>
                <w:szCs w:val="18"/>
                <w:color w:val="auto"/>
              </w:rPr>
              <w:t>Net automotive cash provided by (used in) investing activities</w:t>
            </w:r>
          </w:p>
        </w:tc>
        <w:tc>
          <w:tcPr>
            <w:tcW w:w="1260" w:type="dxa"/>
            <w:vAlign w:val="bottom"/>
            <w:tcBorders>
              <w:bottom w:val="single" w:sz="8" w:color="auto"/>
            </w:tcBorders>
          </w:tcPr>
          <w:p>
            <w:pPr>
              <w:jc w:val="right"/>
              <w:ind w:right="10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(9.7)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87"/>
              </w:rPr>
              <w:t>5.6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7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a $0.4 billion investment in Ultium Cells Holdings LLC and a $0.3 billion investment in Lithium Americas in the six months ended June 30, 2023; and $4.1 billion for the redemption of Cruise preferred shares from SoftBank and GM's investment in Cruise in the six months ended June 30, 2022.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firstLine="161"/>
        <w:spacing w:after="0" w:line="339" w:lineRule="auto"/>
        <w:rPr>
          <w:sz w:val="20"/>
          <w:szCs w:val="20"/>
          <w:color w:val="auto"/>
        </w:rPr>
      </w:pPr>
      <w:r>
        <w:rPr>
          <w:rFonts w:ascii="Arial" w:cs="Arial" w:eastAsia="Arial" w:hAnsi="Arial"/>
          <w:sz w:val="16"/>
          <w:szCs w:val="16"/>
          <w:color w:val="auto"/>
        </w:rPr>
        <w:t>In the six months ended June 30, 2023, cash provided from acquisitions and liquidations of marketable securities, net increased due to liquidations of securities and investments compared to acquisitions of securities to fund operating activities and investments during the six months ended June 30, 2022.</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8"/>
        </w:trPr>
        <w:tc>
          <w:tcPr>
            <w:tcW w:w="67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(payments) from short-term debt</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w:t>
            </w:r>
          </w:p>
        </w:tc>
        <w:tc>
          <w:tcPr>
            <w:tcW w:w="1360" w:type="dxa"/>
            <w:vAlign w:val="bottom"/>
            <w:gridSpan w:val="2"/>
            <w:shd w:val="clear" w:color="auto" w:fill="CCEEFF"/>
          </w:tcPr>
          <w:p>
            <w:pPr>
              <w:jc w:val="right"/>
              <w:ind w:right="105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Other(a)</w:t>
            </w:r>
          </w:p>
        </w:tc>
        <w:tc>
          <w:tcPr>
            <w:tcW w:w="12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financing activities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80" w:hanging="373"/>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$1.1 billion for dividends paid and payments to purchase common stock in the six months ended June 30, 2023.</w:t>
      </w:r>
    </w:p>
    <w:p>
      <w:pPr>
        <w:spacing w:after="0" w:line="22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i w:val="1"/>
          <w:iCs w:val="1"/>
          <w:color w:val="auto"/>
        </w:rPr>
        <w:t xml:space="preserve">Adjusted Automotive Free Cash Flow </w:t>
      </w:r>
      <w:r>
        <w:rPr>
          <w:rFonts w:ascii="Arial" w:cs="Arial" w:eastAsia="Arial" w:hAnsi="Arial"/>
          <w:sz w:val="18"/>
          <w:szCs w:val="18"/>
          <w:color w:val="auto"/>
        </w:rPr>
        <w:t>We measure adjusted automotive free cash flow as automotive operating cash flow from operations less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adjusted for management actions. In the six months ended June 30, 2023, net automotive cash provided by operating activities under U.S. GAAP was $9.3 billion, capital expenditures were $4.5 billion and adjustments for management actions related to Buick dealer strategy and employee separation costs were $0.6 billion.</w:t>
      </w:r>
    </w:p>
    <w:p>
      <w:pPr>
        <w:spacing w:after="0" w:line="212"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six months ended June 30, 2022, net automotive cash provided by operating activities under U.S. GAAP was $5.1 billion, capital expenditures were $3.7 billion and adjustments for management actions were insignificant.</w:t>
      </w:r>
    </w:p>
    <w:p>
      <w:pPr>
        <w:spacing w:after="0" w:line="197"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i w:val="1"/>
          <w:iCs w:val="1"/>
          <w:color w:val="auto"/>
        </w:rPr>
        <w:t xml:space="preserve">Status of Credit Ratings </w:t>
      </w:r>
      <w:r>
        <w:rPr>
          <w:rFonts w:ascii="Arial" w:cs="Arial" w:eastAsia="Arial" w:hAnsi="Arial"/>
          <w:sz w:val="17"/>
          <w:szCs w:val="17"/>
          <w:color w:val="auto"/>
        </w:rPr>
        <w:t>We receive ratings from four independent credit rating agencies: DBRS Limited, Fitch Ratings, Moody's Investors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(Moody's) and Standard &amp; Poor's. All four credit rating agencies currently rate our corporate credit at investment grade. In March 2023, Moody's upgraded our senior unsecured notes to Baa2 from Baa3. As of July 13, 2023, all other credit ratings remained unchanged since December 31, 2022.</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Cruise Liquidity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Cruise's available liquidity (dollars in billions):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5"/>
              </w:rPr>
              <w:t>December 31, 2022</w:t>
            </w:r>
          </w:p>
        </w:tc>
      </w:tr>
      <w:tr>
        <w:trPr>
          <w:trHeight w:val="241"/>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Cruise cash and cash equivalents</w:t>
            </w:r>
          </w:p>
        </w:tc>
        <w:tc>
          <w:tcPr>
            <w:tcW w:w="130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Cruise marketable securities</w:t>
            </w:r>
          </w:p>
        </w:tc>
        <w:tc>
          <w:tcPr>
            <w:tcW w:w="1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Cruise available liquidity(a)(b)</w:t>
            </w:r>
          </w:p>
        </w:tc>
        <w:tc>
          <w:tcPr>
            <w:tcW w:w="130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jc w:val="both"/>
        <w:ind w:left="340" w:hanging="333"/>
        <w:spacing w:after="0" w:line="25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a multi-year credit agreement with GM Financial whereby Cruise can borrow, over time, up to an additional aggregate of $4.4 billion, through 2024, to fund the purchase of AVs from GM and all accessories, attachments, parts and other equipment acquired in connection with or otherwise relating to any AV. As of June 30, 2023, Cruise had total borrowings of $0.2 billion under this agreement.</w:t>
      </w:r>
    </w:p>
    <w:p>
      <w:pPr>
        <w:spacing w:after="0" w:line="2" w:lineRule="exact"/>
        <w:rPr>
          <w:rFonts w:ascii="Arial" w:cs="Arial" w:eastAsia="Arial" w:hAnsi="Arial"/>
          <w:sz w:val="16"/>
          <w:szCs w:val="16"/>
          <w:color w:val="auto"/>
        </w:rPr>
      </w:pPr>
    </w:p>
    <w:p>
      <w:pPr>
        <w:ind w:left="340" w:hanging="333"/>
        <w:spacing w:after="0" w:line="27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a multi-year framework agreement with us whereby Cruise can defer invoices received through 2024, up to $0.8 billion, related to engineering and capital spending incurred by us on behalf of Cruise. As of June 30, 2023, Cruise deferred $0.3 billion under this agreement.</w:t>
      </w:r>
    </w:p>
    <w:p>
      <w:pPr>
        <w:sectPr>
          <w:pgSz w:w="11900" w:h="16838" w:orient="portrait"/>
          <w:cols w:equalWidth="0" w:num="1">
            <w:col w:w="11240"/>
          </w:cols>
          <w:pgMar w:left="320" w:top="125" w:right="339" w:bottom="1440" w:gutter="0" w:footer="0" w:header="0"/>
        </w:sectPr>
      </w:pPr>
    </w:p>
    <w:p>
      <w:pPr>
        <w:spacing w:after="0" w:line="19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the changes in Cruise's available liquidity (dollars in billions):</w:t>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2955" cy="153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GM investment in Cruise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32955" cy="153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non-operating</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change in Cruise available liquidity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$0.1 billion cash outflows related to tendered Cruise Class B Common Shares classified as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Six Months Ended June 30,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center"/>
              <w:ind w:left="530"/>
              <w:spacing w:after="0"/>
              <w:rPr>
                <w:sz w:val="20"/>
                <w:szCs w:val="20"/>
                <w:color w:val="auto"/>
              </w:rPr>
            </w:pPr>
            <w:r>
              <w:rPr>
                <w:rFonts w:ascii="Arial" w:cs="Arial" w:eastAsia="Arial" w:hAnsi="Arial"/>
                <w:sz w:val="18"/>
                <w:szCs w:val="18"/>
                <w:color w:val="auto"/>
                <w:w w:val="97"/>
              </w:rPr>
              <w:t>(0.9)</w:t>
            </w:r>
          </w:p>
        </w:tc>
      </w:tr>
      <w:tr>
        <w:trPr>
          <w:trHeight w:val="240"/>
        </w:trPr>
        <w:tc>
          <w:tcPr>
            <w:tcW w:w="760" w:type="dxa"/>
            <w:vAlign w:val="bottom"/>
          </w:tcPr>
          <w:p>
            <w:pPr>
              <w:spacing w:after="0"/>
              <w:rPr>
                <w:sz w:val="20"/>
                <w:szCs w:val="20"/>
                <w:color w:val="auto"/>
              </w:rPr>
            </w:pPr>
          </w:p>
        </w:tc>
        <w:tc>
          <w:tcPr>
            <w:tcW w:w="1020" w:type="dxa"/>
            <w:vAlign w:val="bottom"/>
          </w:tcPr>
          <w:p>
            <w:pPr>
              <w:jc w:val="center"/>
              <w:ind w:left="550"/>
              <w:spacing w:after="0"/>
              <w:rPr>
                <w:sz w:val="20"/>
                <w:szCs w:val="20"/>
                <w:color w:val="auto"/>
              </w:rPr>
            </w:pPr>
            <w:r>
              <w:rPr>
                <w:rFonts w:ascii="Arial" w:cs="Arial" w:eastAsia="Arial" w:hAnsi="Arial"/>
                <w:sz w:val="18"/>
                <w:szCs w:val="18"/>
                <w:color w:val="auto"/>
                <w:w w:val="87"/>
              </w:rPr>
              <w:t>0.2</w:t>
            </w:r>
          </w:p>
        </w:tc>
      </w:tr>
      <w:tr>
        <w:trPr>
          <w:trHeight w:val="229"/>
        </w:trPr>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7"/>
              </w:rPr>
              <w:t>(0.1)</w:t>
            </w:r>
          </w:p>
        </w:tc>
      </w:tr>
      <w:tr>
        <w:trPr>
          <w:trHeight w:val="229"/>
        </w:trPr>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7"/>
              </w:rPr>
              <w:t>(0.8)</w:t>
            </w:r>
          </w:p>
        </w:tc>
      </w:tr>
      <w:tr>
        <w:trPr>
          <w:trHeight w:val="26"/>
        </w:trPr>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679" w:lineRule="exact"/>
        <w:rPr>
          <w:sz w:val="20"/>
          <w:szCs w:val="20"/>
          <w:color w:val="auto"/>
        </w:rPr>
      </w:pPr>
    </w:p>
    <w:p>
      <w:pPr>
        <w:sectPr>
          <w:pgSz w:w="11900" w:h="16838" w:orient="portrait"/>
          <w:cols w:equalWidth="0" w:num="2">
            <w:col w:w="8740" w:space="720"/>
            <w:col w:w="1780"/>
          </w:cols>
          <w:pgMar w:left="320" w:top="125"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w:t>
            </w:r>
          </w:p>
        </w:tc>
        <w:tc>
          <w:tcPr>
            <w:tcW w:w="1360" w:type="dxa"/>
            <w:vAlign w:val="bottom"/>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1"/>
              </w:rPr>
              <w:t>(0.2)</w:t>
            </w:r>
          </w:p>
        </w:tc>
      </w:tr>
      <w:tr>
        <w:trPr>
          <w:trHeight w:val="236"/>
        </w:trPr>
        <w:tc>
          <w:tcPr>
            <w:tcW w:w="67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tcPr>
          <w:p>
            <w:pPr>
              <w:jc w:val="right"/>
              <w:ind w:right="1058"/>
              <w:spacing w:after="0"/>
              <w:rPr>
                <w:sz w:val="20"/>
                <w:szCs w:val="20"/>
                <w:color w:val="auto"/>
              </w:rPr>
            </w:pPr>
            <w:r>
              <w:rPr>
                <w:rFonts w:ascii="Arial" w:cs="Arial" w:eastAsia="Arial" w:hAnsi="Arial"/>
                <w:sz w:val="18"/>
                <w:szCs w:val="18"/>
                <w:color w:val="auto"/>
                <w:w w:val="9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3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7"/>
              </w:rPr>
              <w:t>(0.4)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75"/>
              <w:spacing w:after="0"/>
              <w:rPr>
                <w:sz w:val="20"/>
                <w:szCs w:val="20"/>
                <w:color w:val="auto"/>
              </w:rPr>
            </w:pPr>
            <w:r>
              <w:rPr>
                <w:rFonts w:ascii="Arial" w:cs="Arial" w:eastAsia="Arial" w:hAnsi="Arial"/>
                <w:sz w:val="18"/>
                <w:szCs w:val="18"/>
                <w:color w:val="auto"/>
                <w:w w:val="95"/>
              </w:rPr>
              <w:t>1.5</w:t>
            </w:r>
          </w:p>
        </w:tc>
      </w:tr>
      <w:tr>
        <w:trPr>
          <w:trHeight w:val="235"/>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1360" w:type="dxa"/>
            <w:vAlign w:val="bottom"/>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1"/>
              </w:rPr>
              <w:t>(1.2)</w:t>
            </w:r>
          </w:p>
        </w:tc>
      </w:tr>
    </w:tbl>
    <w:p>
      <w:pPr>
        <w:spacing w:after="0" w:line="200" w:lineRule="exact"/>
        <w:rPr>
          <w:sz w:val="20"/>
          <w:szCs w:val="20"/>
          <w:color w:val="auto"/>
        </w:rPr>
      </w:pPr>
    </w:p>
    <w:p>
      <w:pPr>
        <w:spacing w:after="0" w:line="202"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June 30, 2023</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Arial" w:cs="Arial" w:eastAsia="Arial" w:hAnsi="Arial"/>
                <w:sz w:val="14"/>
                <w:szCs w:val="14"/>
                <w:b w:val="1"/>
                <w:bCs w:val="1"/>
                <w:color w:val="auto"/>
                <w:w w:val="95"/>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1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24.2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4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12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GM Financial available liquidity</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At June 30, 2023, GM Financial's available liquidity increased from December 31, 2022 due to increased available borrowing capacity on unpledged eligible assets, resulting from the issuance of securitization transactions and unsecured debt and an increase in cash and cash equivalents. GM Financial structures liquidity to support at least six months of GM Financial's expected net cash flows, including new originations, without access to new debt financing transactions or other capital markets activity.</w:t>
      </w:r>
    </w:p>
    <w:p>
      <w:pPr>
        <w:spacing w:after="0" w:line="212"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GM Financial did not have any borrowings outstanding against our credit facility designated for their exclusive use or the remainder of our revolving credit facilities at June 30, 2023 and December 31, 2022. Refer to the Automotive Liquidity section of this MD&amp;A for additional details.</w:t>
      </w:r>
    </w:p>
    <w:p>
      <w:pPr>
        <w:spacing w:after="0" w:line="175"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June 30, 2023, secured, committed unsecured and uncommitted unsecured credit facilities totaled $26.4 billion, $0.6 billion and $1.8 billion with advances outstanding of $1.3 billion, an insignificant amount and $1.8 billion.</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2023</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r>
      <w:tr>
        <w:trPr>
          <w:trHeight w:val="24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360" w:type="dxa"/>
            <w:vAlign w:val="bottom"/>
            <w:gridSpan w:val="2"/>
            <w:shd w:val="clear" w:color="auto" w:fill="CCEEFF"/>
          </w:tcPr>
          <w:p>
            <w:pPr>
              <w:jc w:val="right"/>
              <w:ind w:right="106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87"/>
              </w:rPr>
              <w:t>1.0</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40" w:type="dxa"/>
            <w:vAlign w:val="bottom"/>
          </w:tcPr>
          <w:p>
            <w:pPr>
              <w:jc w:val="right"/>
              <w:ind w:right="1058"/>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(4.4)</w:t>
            </w:r>
          </w:p>
        </w:tc>
        <w:tc>
          <w:tcPr>
            <w:tcW w:w="13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(3.0)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55"/>
              <w:spacing w:after="0"/>
              <w:rPr>
                <w:sz w:val="20"/>
                <w:szCs w:val="20"/>
                <w:color w:val="auto"/>
              </w:rPr>
            </w:pPr>
            <w:r>
              <w:rPr>
                <w:rFonts w:ascii="Arial" w:cs="Arial" w:eastAsia="Arial" w:hAnsi="Arial"/>
                <w:sz w:val="18"/>
                <w:szCs w:val="18"/>
                <w:color w:val="auto"/>
                <w:w w:val="91"/>
              </w:rPr>
              <w:t>(1.4)</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1360" w:type="dxa"/>
            <w:vAlign w:val="bottom"/>
            <w:gridSpan w:val="2"/>
            <w:shd w:val="clear" w:color="auto" w:fill="CCEEFF"/>
          </w:tcPr>
          <w:p>
            <w:pPr>
              <w:jc w:val="right"/>
              <w:ind w:right="106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87"/>
              </w:rPr>
              <w:t>1.5</w:t>
            </w:r>
          </w:p>
        </w:tc>
      </w:tr>
    </w:tbl>
    <w:p>
      <w:pPr>
        <w:spacing w:after="0" w:line="32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six months ended June 30, 2023, Net cash provided by operating activities increased primarily due to: (1) a net increase in cash provided by counterparty derivative collateral posting activities of $1.0 billion; (2) an increase in finance charge income of $0.8 billion; (3) a decrease in taxes paid to GM of $0.4 billion; and (4) an increase in other income of $0.2 billion; partially offset by (5) an increase in interest paid of $1.0 billion; and (6) a decrease in leased vehicle income of $0.4 billion.</w:t>
      </w:r>
    </w:p>
    <w:p>
      <w:pPr>
        <w:spacing w:after="0" w:line="21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six months ended June 30, 2023, Net cash used in investing activities increased primarily due to: (1) an increase in purchases and originations of finance receivables of $1.0 billion; (2) a decrease in proceeds from termination of leased vehicles of $0.9 billion; (3) an increase in purchases of leased vehicles, net of $0.6 billion; partially offset by (4) the net change in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commercial finance receivables of $0.9 billion; and (5) an increase in principal collections and recoveries on finance receivables of $0.2 billion.</w:t>
      </w:r>
    </w:p>
    <w:p>
      <w:pPr>
        <w:spacing w:after="0" w:line="261"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six months ended June 30, 2023, Net cash provided by financing activities increased primarily due to a net increase in borrowings of $1.7 billion, partially offset by an increase in cash dividend payments of $0.2 billion.</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2022 Form 10-K.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7" w:lineRule="exact"/>
        <w:rPr>
          <w:sz w:val="20"/>
          <w:szCs w:val="20"/>
          <w:color w:val="auto"/>
        </w:rPr>
      </w:pPr>
    </w:p>
    <w:p>
      <w:pPr>
        <w:jc w:val="both"/>
        <w:ind w:firstLine="7"/>
        <w:spacing w:after="0" w:line="282" w:lineRule="auto"/>
        <w:tabs>
          <w:tab w:leader="none" w:pos="282"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deliver new products, services, technologies and customer experiences in response to increased competition and changing consumer preferences in the automotive industry; (2) our ability to timely fund and introduce new and improved vehicle models, including EVs, that are able to attract a sufficient number of consumers; (3) our ability to profitably deliver a broad portfolio of EVs that will help drive consumer adoption; (4) the success of our current line of full-size SUVs and full-size pickup trucks; (5) 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AVs; (7) risks associated with climate change, including increased regulation of GHG emissions, our transition to EVs and the potential increased impacts of severe weather events; (8) global automobile market sales volume, which can be volatile; (9) inflationary pressures and persistently high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such as the COVID-19 pandemic; (13) any significant disruption, including any work stoppages, at any of our manufacturing facilities; (14) the ability of our suppliers to deliver parts, systems and components without disruption and at such times to allow us to meet production schedules; (15) pandemics, epidemics, disease outbreaks and other public health crises, including the COVID-19 pandemic;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Identifiable Information of our customers, employees, or suppliers; (19) our ability to comply with extensive laws, regulations and policies applicable to our operations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and products, including those relating to fuel economy, emissions and AVs; (20) costs and risks associated with litigation and government investigations;</w:t>
      </w:r>
    </w:p>
    <w:p>
      <w:pPr>
        <w:spacing w:after="0" w:line="46" w:lineRule="exact"/>
        <w:rPr>
          <w:sz w:val="20"/>
          <w:szCs w:val="20"/>
          <w:color w:val="auto"/>
        </w:rPr>
      </w:pPr>
    </w:p>
    <w:p>
      <w:pPr>
        <w:jc w:val="both"/>
        <w:ind w:firstLine="7"/>
        <w:spacing w:after="0" w:line="252" w:lineRule="auto"/>
        <w:tabs>
          <w:tab w:leader="none" w:pos="3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and effect on our reputation of product safety recalls and alleged defects in products and services; (22) any additional tax expense or exposure or failure to fully realize available tax incentives; (23) our continued ability to develop captive financing capability through GM Financial; and (24) any significant increase in our pension funding requirements. A further list and description of these risks, uncertainties and other factors can be found in our 2022 Form 10-K and our subsequent filings with the SEC.</w:t>
      </w:r>
    </w:p>
    <w:p>
      <w:pPr>
        <w:spacing w:after="0" w:line="218"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There have been no significant changes in our exposure to market risk since December 31, 2022. For further discussion on market risk, refer to Part II, Item 7A. of our 2022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1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as of June 30, 2023 as required by paragraph (b) of Rules 13a-15 or 15d-15. Based on this evaluation, our CEO and CFO concluded that our disclosure controls and procedures were effective as of June 30, 2023.</w:t>
      </w:r>
    </w:p>
    <w:p>
      <w:pPr>
        <w:spacing w:after="0" w:line="189" w:lineRule="exact"/>
        <w:rPr>
          <w:sz w:val="20"/>
          <w:szCs w:val="20"/>
          <w:color w:val="auto"/>
        </w:rPr>
      </w:pPr>
    </w:p>
    <w:p>
      <w:pPr>
        <w:jc w:val="both"/>
        <w:ind w:firstLine="161"/>
        <w:spacing w:after="0" w:line="345"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June 30, 2023 that have materially affected, or are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5"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discussion under Note 13 to our condensed consolidated financial statements is incorporated by reference into this Part II, Item 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2022 Form 10-K.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The following table summarizes our purchases of common stock in the three months ended June 30,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9"/>
              </w:rPr>
              <w:t>Average Price</w:t>
            </w:r>
          </w:p>
        </w:tc>
        <w:tc>
          <w:tcPr>
            <w:tcW w:w="120" w:type="dxa"/>
            <w:vAlign w:val="bottom"/>
          </w:tcPr>
          <w:p>
            <w:pPr>
              <w:spacing w:after="0"/>
              <w:rPr>
                <w:sz w:val="12"/>
                <w:szCs w:val="12"/>
                <w:color w:val="auto"/>
              </w:rPr>
            </w:pP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Purchased Under</w:t>
            </w:r>
          </w:p>
        </w:tc>
        <w:tc>
          <w:tcPr>
            <w:tcW w:w="120" w:type="dxa"/>
            <w:vAlign w:val="bottom"/>
          </w:tcPr>
          <w:p>
            <w:pPr>
              <w:spacing w:after="0"/>
              <w:rPr>
                <w:sz w:val="12"/>
                <w:szCs w:val="12"/>
                <w:color w:val="auto"/>
              </w:rPr>
            </w:pPr>
          </w:p>
        </w:tc>
        <w:tc>
          <w:tcPr>
            <w:tcW w:w="18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Shares Purchased(a)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8"/>
              <w:spacing w:after="0" w:line="148" w:lineRule="exact"/>
              <w:rPr>
                <w:sz w:val="20"/>
                <w:szCs w:val="20"/>
                <w:color w:val="auto"/>
              </w:rPr>
            </w:pPr>
            <w:r>
              <w:rPr>
                <w:rFonts w:ascii="Arial" w:cs="Arial" w:eastAsia="Arial" w:hAnsi="Arial"/>
                <w:sz w:val="14"/>
                <w:szCs w:val="14"/>
                <w:b w:val="1"/>
                <w:bCs w:val="1"/>
                <w:color w:val="auto"/>
                <w:w w:val="94"/>
              </w:rPr>
              <w:t>Paid per</w:t>
            </w:r>
          </w:p>
        </w:tc>
        <w:tc>
          <w:tcPr>
            <w:tcW w:w="120" w:type="dxa"/>
            <w:vAlign w:val="bottom"/>
          </w:tcPr>
          <w:p>
            <w:pPr>
              <w:spacing w:after="0"/>
              <w:rPr>
                <w:sz w:val="12"/>
                <w:szCs w:val="12"/>
                <w:color w:val="auto"/>
              </w:rPr>
            </w:pPr>
          </w:p>
        </w:tc>
        <w:tc>
          <w:tcPr>
            <w:tcW w:w="1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Share(c)</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Programs(b)</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4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through April 30, 2023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Arial" w:cs="Arial" w:eastAsia="Arial" w:hAnsi="Arial"/>
                <w:sz w:val="18"/>
                <w:szCs w:val="18"/>
                <w:color w:val="auto"/>
              </w:rPr>
              <w:t>May 1, 2023 through May 31, 2023</w:t>
            </w:r>
          </w:p>
        </w:tc>
        <w:tc>
          <w:tcPr>
            <w:tcW w:w="1460" w:type="dxa"/>
            <w:vAlign w:val="bottom"/>
          </w:tcPr>
          <w:p>
            <w:pPr>
              <w:jc w:val="right"/>
              <w:spacing w:after="0"/>
              <w:rPr>
                <w:sz w:val="20"/>
                <w:szCs w:val="20"/>
                <w:color w:val="auto"/>
              </w:rPr>
            </w:pPr>
            <w:r>
              <w:rPr>
                <w:rFonts w:ascii="Arial" w:cs="Arial" w:eastAsia="Arial" w:hAnsi="Arial"/>
                <w:sz w:val="18"/>
                <w:szCs w:val="18"/>
                <w:color w:val="auto"/>
              </w:rPr>
              <w:t>7,525,951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33.22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7,525,951</w:t>
            </w:r>
          </w:p>
        </w:tc>
        <w:tc>
          <w:tcPr>
            <w:tcW w:w="1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$1.9 billion</w:t>
            </w:r>
          </w:p>
        </w:tc>
        <w:tc>
          <w:tcPr>
            <w:tcW w:w="0" w:type="dxa"/>
            <w:vAlign w:val="bottom"/>
          </w:tcPr>
          <w:p>
            <w:pPr>
              <w:spacing w:after="0"/>
              <w:rPr>
                <w:sz w:val="1"/>
                <w:szCs w:val="1"/>
                <w:color w:val="auto"/>
              </w:rPr>
            </w:pPr>
          </w:p>
        </w:tc>
      </w:tr>
      <w:tr>
        <w:trPr>
          <w:trHeight w:val="22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2023 through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6,881,651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6,881,651</w:t>
            </w:r>
          </w:p>
        </w:tc>
        <w:tc>
          <w:tcPr>
            <w:tcW w:w="1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$1.6 billion</w:t>
            </w:r>
          </w:p>
        </w:tc>
        <w:tc>
          <w:tcPr>
            <w:tcW w:w="0" w:type="dxa"/>
            <w:vAlign w:val="bottom"/>
          </w:tcPr>
          <w:p>
            <w:pPr>
              <w:spacing w:after="0"/>
              <w:rPr>
                <w:sz w:val="1"/>
                <w:szCs w:val="1"/>
                <w:color w:val="auto"/>
              </w:rPr>
            </w:pPr>
          </w:p>
        </w:tc>
      </w:tr>
      <w:tr>
        <w:trPr>
          <w:trHeight w:val="235"/>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spacing w:after="0"/>
              <w:rPr>
                <w:sz w:val="20"/>
                <w:szCs w:val="20"/>
                <w:color w:val="auto"/>
              </w:rPr>
            </w:pPr>
            <w:r>
              <w:rPr>
                <w:rFonts w:ascii="Arial" w:cs="Arial" w:eastAsia="Arial" w:hAnsi="Arial"/>
                <w:sz w:val="18"/>
                <w:szCs w:val="18"/>
                <w:color w:val="auto"/>
              </w:rPr>
              <w:t>14,434,931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14,407,602</w:t>
            </w: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2" w:lineRule="exact"/>
        <w:rPr>
          <w:sz w:val="20"/>
          <w:szCs w:val="20"/>
          <w:color w:val="auto"/>
        </w:rPr>
      </w:pPr>
    </w:p>
    <w:p>
      <w:pPr>
        <w:ind w:left="340" w:hanging="333"/>
        <w:spacing w:after="0" w:line="251"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Shares purchased consist of shares delivered by employees or directors to us for the payment of taxes resulting from the issuance of common stock upon the vesting of RSUs relating to compensation plans. Refer to our 2022 Form 10-K for additional details on employee stock incentive plans.</w:t>
      </w:r>
    </w:p>
    <w:p>
      <w:pPr>
        <w:spacing w:after="0" w:line="1" w:lineRule="exact"/>
        <w:rPr>
          <w:rFonts w:ascii="Arial" w:cs="Arial" w:eastAsia="Arial" w:hAnsi="Arial"/>
          <w:sz w:val="16"/>
          <w:szCs w:val="16"/>
          <w:color w:val="auto"/>
        </w:rPr>
      </w:pPr>
    </w:p>
    <w:p>
      <w:pPr>
        <w:ind w:left="340" w:hanging="333"/>
        <w:spacing w:after="0" w:line="254"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 In August 2022, the Board of Directors increased the capacity to $5.0 billion from the $3.3 billion that remained as of June 30, 2022, with no expiration.</w:t>
      </w:r>
    </w:p>
    <w:p>
      <w:pPr>
        <w:ind w:left="340" w:hanging="333"/>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weighted-average price paid per share excludes broker commissions.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4"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20" w:type="dxa"/>
            <w:vAlign w:val="bottom"/>
            <w:gridSpan w:val="6"/>
          </w:tcPr>
          <w:p>
            <w:pPr>
              <w:ind w:left="1060"/>
              <w:spacing w:after="0"/>
              <w:rPr>
                <w:sz w:val="20"/>
                <w:szCs w:val="20"/>
                <w:color w:val="auto"/>
              </w:rPr>
            </w:pPr>
            <w:r>
              <w:rPr>
                <w:rFonts w:ascii="Arial" w:cs="Arial" w:eastAsia="Arial" w:hAnsi="Arial"/>
                <w:sz w:val="18"/>
                <w:szCs w:val="18"/>
                <w:b w:val="1"/>
                <w:bCs w:val="1"/>
                <w:color w:val="auto"/>
              </w:rPr>
              <w:t>GENERAL MOTORS COMPANY AND SUBSIDIARIES</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7"/>
              </w:rPr>
              <w:t>Exhibit Number</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7220" w:type="dxa"/>
            <w:vAlign w:val="bottom"/>
            <w:tcBorders>
              <w:bottom w:val="single" w:sz="8" w:color="auto"/>
            </w:tcBorders>
            <w:gridSpan w:val="6"/>
          </w:tcPr>
          <w:p>
            <w:pPr>
              <w:ind w:left="2640"/>
              <w:spacing w:after="0"/>
              <w:rPr>
                <w:sz w:val="20"/>
                <w:szCs w:val="20"/>
                <w:color w:val="auto"/>
              </w:rPr>
            </w:pPr>
            <w:r>
              <w:rPr>
                <w:rFonts w:ascii="Arial" w:cs="Arial" w:eastAsia="Arial" w:hAnsi="Arial"/>
                <w:sz w:val="18"/>
                <w:szCs w:val="18"/>
                <w:b w:val="1"/>
                <w:bCs w:val="1"/>
                <w:color w:val="auto"/>
              </w:rPr>
              <w:t>Exhibit Name</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60" w:type="dxa"/>
            <w:vAlign w:val="bottom"/>
            <w:gridSpan w:val="8"/>
            <w:shd w:val="clear" w:color="auto" w:fill="CCEEFF"/>
          </w:tcPr>
          <w:p>
            <w:pPr>
              <w:spacing w:after="0" w:line="182"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Restated Certificate of Incorporation of General Motors Company dated December 7, 2010, incorporated by</w:t>
              </w:r>
            </w:hyperlink>
          </w:p>
        </w:tc>
        <w:tc>
          <w:tcPr>
            <w:tcW w:w="164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40" w:type="dxa"/>
            <w:vAlign w:val="bottom"/>
            <w:tcBorders>
              <w:top w:val="single" w:sz="8" w:color="0000FF"/>
              <w:bottom w:val="single" w:sz="8" w:color="0000FF"/>
            </w:tcBorders>
            <w:gridSpan w:val="7"/>
            <w:shd w:val="clear" w:color="auto" w:fill="CCEEFF"/>
          </w:tcPr>
          <w:p>
            <w:pPr>
              <w:spacing w:after="0" w:line="168" w:lineRule="exact"/>
              <w:rPr>
                <w:rFonts w:ascii="Arial" w:cs="Arial" w:eastAsia="Arial" w:hAnsi="Arial"/>
                <w:sz w:val="18"/>
                <w:szCs w:val="18"/>
                <w:color w:val="0000FF"/>
                <w:w w:val="94"/>
              </w:rPr>
            </w:pPr>
            <w:hyperlink r:id="rId76">
              <w:r>
                <w:rPr>
                  <w:rFonts w:ascii="Arial" w:cs="Arial" w:eastAsia="Arial" w:hAnsi="Arial"/>
                  <w:sz w:val="18"/>
                  <w:szCs w:val="18"/>
                  <w:color w:val="0000FF"/>
                  <w:w w:val="94"/>
                </w:rPr>
                <w:t>reference to Exhibit 3.2 to the Current Report on Form 8-K of General Motors Company filed December 13,</w:t>
              </w:r>
            </w:hyperlink>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ind w:left="120"/>
              <w:spacing w:after="0" w:line="168" w:lineRule="exact"/>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13"/>
                <w:szCs w:val="13"/>
                <w:color w:val="auto"/>
              </w:rPr>
            </w:pPr>
          </w:p>
        </w:tc>
        <w:tc>
          <w:tcPr>
            <w:tcW w:w="840" w:type="dxa"/>
            <w:vAlign w:val="bottom"/>
            <w:gridSpan w:val="2"/>
            <w:shd w:val="clear" w:color="auto" w:fill="CCEEFF"/>
          </w:tcPr>
          <w:p>
            <w:pPr>
              <w:spacing w:after="0" w:line="154" w:lineRule="exact"/>
              <w:rPr>
                <w:rFonts w:ascii="Arial" w:cs="Arial" w:eastAsia="Arial" w:hAnsi="Arial"/>
                <w:sz w:val="17"/>
                <w:szCs w:val="17"/>
                <w:color w:val="0000FF"/>
              </w:rPr>
            </w:pPr>
            <w:hyperlink r:id="rId76">
              <w:r>
                <w:rPr>
                  <w:rFonts w:ascii="Arial" w:cs="Arial" w:eastAsia="Arial" w:hAnsi="Arial"/>
                  <w:sz w:val="17"/>
                  <w:szCs w:val="17"/>
                  <w:color w:val="0000FF"/>
                </w:rPr>
                <w:t>2010</w:t>
              </w:r>
            </w:hyperlink>
          </w:p>
        </w:tc>
        <w:tc>
          <w:tcPr>
            <w:tcW w:w="3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6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60" w:type="dxa"/>
            <w:vAlign w:val="bottom"/>
            <w:gridSpan w:val="8"/>
          </w:tcPr>
          <w:p>
            <w:pPr>
              <w:spacing w:after="0" w:line="189" w:lineRule="exact"/>
              <w:rPr>
                <w:rFonts w:ascii="Arial" w:cs="Arial" w:eastAsia="Arial" w:hAnsi="Arial"/>
                <w:sz w:val="18"/>
                <w:szCs w:val="18"/>
                <w:color w:val="0000FF"/>
                <w:w w:val="97"/>
              </w:rPr>
            </w:pPr>
            <w:hyperlink r:id="rId77">
              <w:r>
                <w:rPr>
                  <w:rFonts w:ascii="Arial" w:cs="Arial" w:eastAsia="Arial" w:hAnsi="Arial"/>
                  <w:sz w:val="18"/>
                  <w:szCs w:val="18"/>
                  <w:color w:val="0000FF"/>
                  <w:w w:val="97"/>
                </w:rPr>
                <w:t>General Motors Company Amended and Restated Bylaws, as amended April 20, 2023, incorporated by</w:t>
              </w:r>
            </w:hyperlink>
          </w:p>
        </w:tc>
        <w:tc>
          <w:tcPr>
            <w:tcW w:w="1640" w:type="dxa"/>
            <w:vAlign w:val="bottom"/>
          </w:tcPr>
          <w:p>
            <w:pPr>
              <w:ind w:left="120"/>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40" w:type="dxa"/>
            <w:vAlign w:val="bottom"/>
            <w:tcBorders>
              <w:top w:val="single" w:sz="8" w:color="0000FF"/>
            </w:tcBorders>
            <w:gridSpan w:val="7"/>
          </w:tcPr>
          <w:p>
            <w:pPr>
              <w:spacing w:after="0" w:line="168" w:lineRule="exact"/>
              <w:rPr>
                <w:rFonts w:ascii="Arial" w:cs="Arial" w:eastAsia="Arial" w:hAnsi="Arial"/>
                <w:sz w:val="18"/>
                <w:szCs w:val="18"/>
                <w:color w:val="0000FF"/>
                <w:w w:val="94"/>
              </w:rPr>
            </w:pPr>
            <w:hyperlink r:id="rId77">
              <w:r>
                <w:rPr>
                  <w:rFonts w:ascii="Arial" w:cs="Arial" w:eastAsia="Arial" w:hAnsi="Arial"/>
                  <w:sz w:val="18"/>
                  <w:szCs w:val="18"/>
                  <w:color w:val="0000FF"/>
                  <w:w w:val="94"/>
                </w:rPr>
                <w:t>reference to Exhibit 3.1 to the Current Report on Form 8-K of General Motors Company filed April 21, 2023</w:t>
              </w:r>
            </w:hyperlink>
          </w:p>
        </w:tc>
        <w:tc>
          <w:tcPr>
            <w:tcW w:w="20" w:type="dxa"/>
            <w:vAlign w:val="bottom"/>
          </w:tcPr>
          <w:p>
            <w:pPr>
              <w:spacing w:after="0"/>
              <w:rPr>
                <w:sz w:val="14"/>
                <w:szCs w:val="14"/>
                <w:color w:val="auto"/>
              </w:rPr>
            </w:pPr>
          </w:p>
        </w:tc>
        <w:tc>
          <w:tcPr>
            <w:tcW w:w="1640" w:type="dxa"/>
            <w:vAlign w:val="bottom"/>
          </w:tcPr>
          <w:p>
            <w:pPr>
              <w:ind w:left="120"/>
              <w:spacing w:after="0" w:line="168" w:lineRule="exact"/>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60" w:type="dxa"/>
            <w:vAlign w:val="bottom"/>
            <w:gridSpan w:val="8"/>
            <w:shd w:val="clear" w:color="auto" w:fill="CCEEFF"/>
          </w:tcPr>
          <w:p>
            <w:pPr>
              <w:spacing w:after="0" w:line="189"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Amendment No. 1 to the General Motors Company 2020 Long-Term Incentive Plan, incorporated by reference</w:t>
              </w:r>
            </w:hyperlink>
          </w:p>
        </w:tc>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40" w:type="dxa"/>
            <w:vAlign w:val="bottom"/>
            <w:tcBorders>
              <w:top w:val="single" w:sz="8" w:color="0000FF"/>
            </w:tcBorders>
            <w:gridSpan w:val="7"/>
            <w:shd w:val="clear" w:color="auto" w:fill="CCEEFF"/>
          </w:tcPr>
          <w:p>
            <w:pPr>
              <w:spacing w:after="0" w:line="154" w:lineRule="exact"/>
              <w:rPr>
                <w:rFonts w:ascii="Arial" w:cs="Arial" w:eastAsia="Arial" w:hAnsi="Arial"/>
                <w:sz w:val="17"/>
                <w:szCs w:val="17"/>
                <w:color w:val="0000FF"/>
              </w:rPr>
            </w:pPr>
            <w:hyperlink r:id="rId78">
              <w:r>
                <w:rPr>
                  <w:rFonts w:ascii="Arial" w:cs="Arial" w:eastAsia="Arial" w:hAnsi="Arial"/>
                  <w:sz w:val="17"/>
                  <w:szCs w:val="17"/>
                  <w:color w:val="0000FF"/>
                </w:rPr>
                <w:t>to Appendix B of the Definitive Proxy Statement of General Motors Company filed April 28, 2023</w:t>
              </w:r>
            </w:hyperlink>
          </w:p>
        </w:tc>
        <w:tc>
          <w:tcPr>
            <w:tcW w:w="2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CCEEFF"/>
            </w:tcBorders>
            <w:shd w:val="clear" w:color="auto" w:fill="CCEEFF"/>
          </w:tcPr>
          <w:p>
            <w:pPr>
              <w:ind w:left="120"/>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6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060" w:type="dxa"/>
            <w:vAlign w:val="bottom"/>
            <w:tcBorders>
              <w:top w:val="single" w:sz="8" w:color="0000FF"/>
            </w:tcBorders>
            <w:gridSpan w:val="5"/>
          </w:tcPr>
          <w:p>
            <w:pPr>
              <w:spacing w:after="0" w:line="189" w:lineRule="exact"/>
              <w:rPr>
                <w:sz w:val="20"/>
                <w:szCs w:val="20"/>
                <w:color w:val="auto"/>
              </w:rPr>
            </w:pPr>
            <w:r>
              <w:rPr>
                <w:rFonts w:ascii="Arial" w:cs="Arial" w:eastAsia="Arial" w:hAnsi="Arial"/>
                <w:sz w:val="18"/>
                <w:szCs w:val="18"/>
                <w:color w:val="0000FF"/>
              </w:rPr>
              <w:t>Section 302 Certification of the Chief Executive Officer</w:t>
            </w:r>
          </w:p>
        </w:tc>
        <w:tc>
          <w:tcPr>
            <w:tcW w:w="1000" w:type="dxa"/>
            <w:vAlign w:val="bottom"/>
            <w:tcBorders>
              <w:top w:val="single" w:sz="8" w:color="CCEEFF"/>
            </w:tcBorders>
            <w:gridSpan w:val="3"/>
          </w:tcPr>
          <w:p>
            <w:pPr>
              <w:spacing w:after="0"/>
              <w:rPr>
                <w:sz w:val="16"/>
                <w:szCs w:val="16"/>
                <w:color w:val="auto"/>
              </w:rPr>
            </w:pPr>
          </w:p>
        </w:tc>
        <w:tc>
          <w:tcPr>
            <w:tcW w:w="1640" w:type="dxa"/>
            <w:vAlign w:val="bottom"/>
            <w:tcBorders>
              <w:top w:val="single" w:sz="8" w:color="CCEEFF"/>
            </w:tcBorders>
          </w:tcPr>
          <w:p>
            <w:pPr>
              <w:ind w:left="12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6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rPr>
              <w:t>Section 302 Certification of the Chief Financial Officer</w:t>
            </w:r>
          </w:p>
        </w:tc>
        <w:tc>
          <w:tcPr>
            <w:tcW w:w="16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6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60" w:type="dxa"/>
            <w:vAlign w:val="bottom"/>
            <w:gridSpan w:val="8"/>
          </w:tcPr>
          <w:p>
            <w:pPr>
              <w:spacing w:after="0" w:line="189" w:lineRule="exact"/>
              <w:rPr>
                <w:sz w:val="20"/>
                <w:szCs w:val="20"/>
                <w:color w:val="auto"/>
              </w:rPr>
            </w:pPr>
            <w:r>
              <w:rPr>
                <w:rFonts w:ascii="Arial" w:cs="Arial" w:eastAsia="Arial" w:hAnsi="Arial"/>
                <w:sz w:val="18"/>
                <w:szCs w:val="18"/>
                <w:color w:val="0000FF"/>
                <w:w w:val="92"/>
              </w:rPr>
              <w:t>Certification Pursuant to 18 U.S.C. Section 1350, As Adopted Pursuant to Section 906 of the Sarbanes-Oxley</w:t>
            </w:r>
          </w:p>
        </w:tc>
        <w:tc>
          <w:tcPr>
            <w:tcW w:w="1640" w:type="dxa"/>
            <w:vAlign w:val="bottom"/>
          </w:tcPr>
          <w:p>
            <w:pPr>
              <w:ind w:left="120"/>
              <w:spacing w:after="0" w:line="189" w:lineRule="exact"/>
              <w:rPr>
                <w:sz w:val="20"/>
                <w:szCs w:val="20"/>
                <w:color w:val="auto"/>
              </w:rPr>
            </w:pPr>
            <w:r>
              <w:rPr>
                <w:rFonts w:ascii="Arial" w:cs="Arial" w:eastAsia="Arial" w:hAnsi="Arial"/>
                <w:sz w:val="18"/>
                <w:szCs w:val="18"/>
                <w:color w:val="auto"/>
                <w:w w:val="99"/>
              </w:rPr>
              <w:t>Furnished with this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40" w:type="dxa"/>
            <w:vAlign w:val="bottom"/>
            <w:tcBorders>
              <w:top w:val="single" w:sz="8" w:color="0000FF"/>
            </w:tcBorders>
            <w:gridSpan w:val="7"/>
          </w:tcPr>
          <w:p>
            <w:pPr>
              <w:spacing w:after="0" w:line="168"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4"/>
                <w:szCs w:val="14"/>
                <w:color w:val="auto"/>
              </w:rPr>
            </w:pPr>
          </w:p>
        </w:tc>
        <w:tc>
          <w:tcPr>
            <w:tcW w:w="1640" w:type="dxa"/>
            <w:vAlign w:val="bottom"/>
          </w:tcPr>
          <w:p>
            <w:pPr>
              <w:ind w:left="120"/>
              <w:spacing w:after="0" w:line="168" w:lineRule="exact"/>
              <w:rPr>
                <w:sz w:val="20"/>
                <w:szCs w:val="20"/>
                <w:color w:val="auto"/>
              </w:rPr>
            </w:pPr>
            <w:r>
              <w:rPr>
                <w:rFonts w:ascii="Arial" w:cs="Arial" w:eastAsia="Arial" w:hAnsi="Arial"/>
                <w:sz w:val="18"/>
                <w:szCs w:val="18"/>
                <w:color w:val="auto"/>
              </w:rPr>
              <w:t>Report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60" w:type="dxa"/>
            <w:vAlign w:val="bottom"/>
            <w:gridSpan w:val="8"/>
            <w:shd w:val="clear" w:color="auto" w:fill="CCEEFF"/>
          </w:tcPr>
          <w:p>
            <w:pPr>
              <w:spacing w:after="0" w:line="175" w:lineRule="exact"/>
              <w:rPr>
                <w:sz w:val="20"/>
                <w:szCs w:val="20"/>
                <w:color w:val="auto"/>
              </w:rPr>
            </w:pPr>
            <w:r>
              <w:rPr>
                <w:rFonts w:ascii="Arial" w:cs="Arial" w:eastAsia="Arial" w:hAnsi="Arial"/>
                <w:sz w:val="18"/>
                <w:szCs w:val="18"/>
                <w:color w:val="auto"/>
                <w:w w:val="92"/>
              </w:rPr>
              <w:t>The following financial information from the Company’s Quarterly Report on Form 10-Q for the quarter ended</w:t>
            </w:r>
          </w:p>
        </w:tc>
        <w:tc>
          <w:tcPr>
            <w:tcW w:w="1640" w:type="dxa"/>
            <w:vAlign w:val="bottom"/>
            <w:shd w:val="clear" w:color="auto" w:fill="CCEEFF"/>
          </w:tcPr>
          <w:p>
            <w:pPr>
              <w:ind w:left="120"/>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60" w:type="dxa"/>
            <w:vAlign w:val="bottom"/>
            <w:gridSpan w:val="8"/>
            <w:shd w:val="clear" w:color="auto" w:fill="CCEEFF"/>
          </w:tcPr>
          <w:p>
            <w:pPr>
              <w:spacing w:after="0" w:line="188" w:lineRule="exact"/>
              <w:rPr>
                <w:sz w:val="20"/>
                <w:szCs w:val="20"/>
                <w:color w:val="auto"/>
              </w:rPr>
            </w:pPr>
            <w:r>
              <w:rPr>
                <w:rFonts w:ascii="Arial" w:cs="Arial" w:eastAsia="Arial" w:hAnsi="Arial"/>
                <w:sz w:val="18"/>
                <w:szCs w:val="18"/>
                <w:color w:val="auto"/>
              </w:rPr>
              <w:t>June 30, 2023, formatted in Inline Extensible Business Reporting Language (iXBRL) includes: (i) the</w:t>
            </w: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6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w w:val="91"/>
              </w:rPr>
              <w:t>Condensed Consolidated Income Statements, (ii) the Condensed Consolidated Statements of Comprehensive</w:t>
            </w: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60" w:type="dxa"/>
            <w:vAlign w:val="bottom"/>
            <w:gridSpan w:val="8"/>
            <w:shd w:val="clear" w:color="auto" w:fill="CCEEFF"/>
          </w:tcPr>
          <w:p>
            <w:pPr>
              <w:spacing w:after="0" w:line="175" w:lineRule="exact"/>
              <w:rPr>
                <w:sz w:val="20"/>
                <w:szCs w:val="20"/>
                <w:color w:val="auto"/>
              </w:rPr>
            </w:pPr>
            <w:r>
              <w:rPr>
                <w:rFonts w:ascii="Arial" w:cs="Arial" w:eastAsia="Arial" w:hAnsi="Arial"/>
                <w:sz w:val="18"/>
                <w:szCs w:val="18"/>
                <w:color w:val="auto"/>
                <w:w w:val="89"/>
              </w:rPr>
              <w:t>Income, (iii) the Condensed Consolidated Balance Sheets, (iv) the Condensed Consolidated Statements of Cash</w:t>
            </w: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60" w:type="dxa"/>
            <w:vAlign w:val="bottom"/>
            <w:gridSpan w:val="8"/>
            <w:shd w:val="clear" w:color="auto" w:fill="CCEEFF"/>
          </w:tcPr>
          <w:p>
            <w:pPr>
              <w:spacing w:after="0" w:line="188" w:lineRule="exact"/>
              <w:rPr>
                <w:sz w:val="20"/>
                <w:szCs w:val="20"/>
                <w:color w:val="auto"/>
              </w:rPr>
            </w:pPr>
            <w:r>
              <w:rPr>
                <w:rFonts w:ascii="Arial" w:cs="Arial" w:eastAsia="Arial" w:hAnsi="Arial"/>
                <w:sz w:val="18"/>
                <w:szCs w:val="18"/>
                <w:color w:val="auto"/>
                <w:w w:val="93"/>
              </w:rPr>
              <w:t>Flows, (v) the Condensed Consolidated Statements of Equity and (vi) Notes to the Condensed Consolidated</w:t>
            </w: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line="175"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60" w:type="dxa"/>
            <w:vAlign w:val="bottom"/>
            <w:gridSpan w:val="8"/>
          </w:tcPr>
          <w:p>
            <w:pPr>
              <w:spacing w:after="0" w:line="175" w:lineRule="exact"/>
              <w:rPr>
                <w:sz w:val="20"/>
                <w:szCs w:val="20"/>
                <w:color w:val="auto"/>
              </w:rPr>
            </w:pPr>
            <w:r>
              <w:rPr>
                <w:rFonts w:ascii="Arial" w:cs="Arial" w:eastAsia="Arial" w:hAnsi="Arial"/>
                <w:sz w:val="18"/>
                <w:szCs w:val="18"/>
                <w:color w:val="auto"/>
                <w:w w:val="95"/>
              </w:rPr>
              <w:t>The cover page from the Company's Quarterly Report on Form 10-Q for the quarter ended June 30, 2023,</w:t>
            </w:r>
          </w:p>
        </w:tc>
        <w:tc>
          <w:tcPr>
            <w:tcW w:w="1640" w:type="dxa"/>
            <w:vAlign w:val="bottom"/>
          </w:tcPr>
          <w:p>
            <w:pPr>
              <w:ind w:left="120"/>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60" w:type="dxa"/>
            <w:vAlign w:val="bottom"/>
            <w:gridSpan w:val="8"/>
          </w:tcPr>
          <w:p>
            <w:pPr>
              <w:spacing w:after="0"/>
              <w:rPr>
                <w:sz w:val="20"/>
                <w:szCs w:val="20"/>
                <w:color w:val="auto"/>
              </w:rPr>
            </w:pPr>
            <w:r>
              <w:rPr>
                <w:rFonts w:ascii="Arial" w:cs="Arial" w:eastAsia="Arial" w:hAnsi="Arial"/>
                <w:sz w:val="18"/>
                <w:szCs w:val="18"/>
                <w:color w:val="auto"/>
              </w:rPr>
              <w:t>formatted as Inline XBRL and contained in Exhibit 101</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58"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Management contracts or compensatory plans and arrangements.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w:t>
      </w:r>
    </w:p>
    <w:p>
      <w:pPr>
        <w:spacing w:after="0" w:line="246"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380"/>
        <w:spacing w:after="0"/>
        <w:tabs>
          <w:tab w:leader="none" w:pos="584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22860</wp:posOffset>
            </wp:positionV>
            <wp:extent cx="32334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233420" cy="8255"/>
                    </a:xfrm>
                    <a:prstGeom prst="rect">
                      <a:avLst/>
                    </a:prstGeom>
                    <a:noFill/>
                  </pic:spPr>
                </pic:pic>
              </a:graphicData>
            </a:graphic>
          </wp:anchor>
        </w:drawing>
      </w:r>
    </w:p>
    <w:p>
      <w:pPr>
        <w:spacing w:after="0" w:line="24"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Christopher T. Hatto, Vice President, Global Business Solutions and</w:t>
      </w:r>
    </w:p>
    <w:p>
      <w:pPr>
        <w:ind w:left="5860"/>
        <w:spacing w:after="0"/>
        <w:rPr>
          <w:sz w:val="20"/>
          <w:szCs w:val="20"/>
          <w:color w:val="auto"/>
        </w:rPr>
      </w:pPr>
      <w:r>
        <w:rPr>
          <w:rFonts w:ascii="Arial" w:cs="Arial" w:eastAsia="Arial" w:hAnsi="Arial"/>
          <w:sz w:val="18"/>
          <w:szCs w:val="18"/>
          <w:color w:val="auto"/>
        </w:rPr>
        <w:t>Chief Accounting Officer</w:t>
      </w:r>
    </w:p>
    <w:p>
      <w:pPr>
        <w:spacing w:after="0" w:line="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July 25, 2023</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Exhibit 31.1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firstLine="192"/>
        <w:spacing w:after="0" w:line="275" w:lineRule="auto"/>
        <w:tabs>
          <w:tab w:leader="none" w:pos="76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7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22860</wp:posOffset>
            </wp:positionV>
            <wp:extent cx="25679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56794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July 25, 2023</w:t>
      </w:r>
    </w:p>
    <w:p>
      <w:pPr>
        <w:sectPr>
          <w:pgSz w:w="11900" w:h="16838" w:orient="portrait"/>
          <w:cols w:equalWidth="0" w:num="1">
            <w:col w:w="11240"/>
          </w:cols>
          <w:pgMar w:left="320" w:top="363"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Exhibit 31.2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firstLine="192"/>
        <w:spacing w:after="0" w:line="275" w:lineRule="auto"/>
        <w:tabs>
          <w:tab w:leader="none" w:pos="76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7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22860</wp:posOffset>
            </wp:positionV>
            <wp:extent cx="32766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July 25, 2023</w:t>
      </w:r>
    </w:p>
    <w:p>
      <w:pPr>
        <w:sectPr>
          <w:pgSz w:w="11900" w:h="16838" w:orient="portrait"/>
          <w:cols w:equalWidth="0" w:num="1">
            <w:col w:w="11240"/>
          </w:cols>
          <w:pgMar w:left="320" w:top="363"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ind w:firstLine="202"/>
        <w:spacing w:after="0" w:line="289"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June 30, 2023 as filed with the Securities and Exchange Commission on the date hereof (the “Report”), each of the undersigned officers of the Company, certify, pursuant to 18 U.S.C.</w:t>
      </w:r>
    </w:p>
    <w:p>
      <w:pPr>
        <w:spacing w:after="0" w:line="1" w:lineRule="exact"/>
        <w:rPr>
          <w:sz w:val="20"/>
          <w:szCs w:val="20"/>
          <w:color w:val="auto"/>
        </w:rPr>
      </w:pPr>
    </w:p>
    <w:p>
      <w:pPr>
        <w:ind w:left="140" w:hanging="133"/>
        <w:spacing w:after="0"/>
        <w:tabs>
          <w:tab w:leader="none" w:pos="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such officer's knowledge:</w:t>
      </w:r>
    </w:p>
    <w:p>
      <w:pPr>
        <w:spacing w:after="0" w:line="235" w:lineRule="exact"/>
        <w:rPr>
          <w:rFonts w:ascii="Arial" w:cs="Arial" w:eastAsia="Arial" w:hAnsi="Arial"/>
          <w:sz w:val="18"/>
          <w:szCs w:val="18"/>
          <w:color w:val="auto"/>
        </w:rPr>
      </w:pPr>
    </w:p>
    <w:p>
      <w:pPr>
        <w:ind w:left="740" w:hanging="168"/>
        <w:spacing w:after="0"/>
        <w:tabs>
          <w:tab w:leader="none" w:pos="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9" w:lineRule="exact"/>
        <w:rPr>
          <w:rFonts w:ascii="Arial" w:cs="Arial" w:eastAsia="Arial" w:hAnsi="Arial"/>
          <w:sz w:val="18"/>
          <w:szCs w:val="18"/>
          <w:color w:val="auto"/>
        </w:rPr>
      </w:pPr>
    </w:p>
    <w:p>
      <w:pPr>
        <w:ind w:left="740" w:hanging="168"/>
        <w:spacing w:after="0"/>
        <w:tabs>
          <w:tab w:leader="none" w:pos="7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32848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28485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13970</wp:posOffset>
            </wp:positionV>
            <wp:extent cx="32848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28485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July 25, 2023</w:t>
      </w:r>
    </w:p>
    <w:sectPr>
      <w:pgSz w:w="11900" w:h="16838" w:orient="portrait"/>
      <w:cols w:equalWidth="0" w:num="1">
        <w:col w:w="11240"/>
      </w:cols>
      <w:pgMar w:left="320" w:top="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Letter"/>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decimal"/>
      <w:start w:val="2"/>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2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76" Type="http://schemas.openxmlformats.org/officeDocument/2006/relationships/hyperlink" Target="http://www.sec.gov/Archives/edgar/data/1467858/000119312510279214/dex32.htm" TargetMode="External"/><Relationship Id="rId77" Type="http://schemas.openxmlformats.org/officeDocument/2006/relationships/hyperlink" Target="https://www.sec.gov/Archives/edgar/data/1467858/000119312523110552/d415489dex31.htm" TargetMode="External"/><Relationship Id="rId78" Type="http://schemas.openxmlformats.org/officeDocument/2006/relationships/hyperlink" Target="https://www.sec.gov/ix?doc=/Archives/edgar/data/0001467858/000119312523126270/d333787ddef14a.htm#toc333787_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2023-07-25T15:27:26Z</dcterms:created>
  <dcterms:modified xsi:type="dcterms:W3CDTF">2023-07-25T15:27:26Z</dcterms:modified>
</cp:coreProperties>
</file>