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69780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200" w:lineRule="exact"/>
        <w:rPr>
          <w:sz w:val="24"/>
          <w:szCs w:val="24"/>
          <w:color w:val="auto"/>
        </w:rPr>
      </w:pPr>
    </w:p>
    <w:p>
      <w:pPr>
        <w:spacing w:after="0" w:line="317"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85"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STATE OF DELAWARE</w:t>
            </w:r>
          </w:p>
        </w:tc>
        <w:tc>
          <w:tcPr>
            <w:tcW w:w="3500" w:type="dxa"/>
            <w:vAlign w:val="bottom"/>
            <w:tcBorders>
              <w:bottom w:val="single" w:sz="8" w:color="auto"/>
            </w:tcBorders>
          </w:tcPr>
          <w:p>
            <w:pPr>
              <w:jc w:val="right"/>
              <w:ind w:right="1152"/>
              <w:spacing w:after="0"/>
              <w:rPr>
                <w:sz w:val="20"/>
                <w:szCs w:val="20"/>
                <w:color w:val="auto"/>
              </w:rPr>
            </w:pPr>
            <w:r>
              <w:rPr>
                <w:rFonts w:ascii="Arial" w:cs="Arial" w:eastAsia="Arial" w:hAnsi="Arial"/>
                <w:sz w:val="22"/>
                <w:szCs w:val="22"/>
                <w:b w:val="1"/>
                <w:bCs w:val="1"/>
                <w:color w:val="auto"/>
              </w:rPr>
              <w:t>001-34960</w:t>
            </w:r>
          </w:p>
        </w:tc>
        <w:tc>
          <w:tcPr>
            <w:tcW w:w="3900" w:type="dxa"/>
            <w:vAlign w:val="bottom"/>
            <w:tcBorders>
              <w:bottom w:val="single" w:sz="8" w:color="auto"/>
            </w:tcBorders>
          </w:tcPr>
          <w:p>
            <w:pPr>
              <w:jc w:val="right"/>
              <w:ind w:right="1252"/>
              <w:spacing w:after="0"/>
              <w:rPr>
                <w:sz w:val="20"/>
                <w:szCs w:val="20"/>
                <w:color w:val="auto"/>
              </w:rPr>
            </w:pPr>
            <w:r>
              <w:rPr>
                <w:rFonts w:ascii="Arial" w:cs="Arial" w:eastAsia="Arial" w:hAnsi="Arial"/>
                <w:sz w:val="22"/>
                <w:szCs w:val="22"/>
                <w:b w:val="1"/>
                <w:bCs w:val="1"/>
                <w:color w:val="auto"/>
              </w:rPr>
              <w:t>27-0756180</w:t>
            </w:r>
          </w:p>
        </w:tc>
      </w:tr>
      <w:tr>
        <w:trPr>
          <w:trHeight w:val="203"/>
        </w:trPr>
        <w:tc>
          <w:tcPr>
            <w:tcW w:w="3840" w:type="dxa"/>
            <w:vAlign w:val="bottom"/>
          </w:tcPr>
          <w:p>
            <w:pPr>
              <w:jc w:val="center"/>
              <w:spacing w:after="0" w:line="203" w:lineRule="exact"/>
              <w:rPr>
                <w:sz w:val="20"/>
                <w:szCs w:val="20"/>
                <w:color w:val="auto"/>
              </w:rPr>
            </w:pPr>
            <w:r>
              <w:rPr>
                <w:rFonts w:ascii="Arial" w:cs="Arial" w:eastAsia="Arial" w:hAnsi="Arial"/>
                <w:sz w:val="22"/>
                <w:szCs w:val="22"/>
                <w:i w:val="1"/>
                <w:iCs w:val="1"/>
                <w:color w:val="auto"/>
                <w:w w:val="92"/>
              </w:rPr>
              <w:t>(State or other jurisdiction of</w:t>
            </w:r>
          </w:p>
        </w:tc>
        <w:tc>
          <w:tcPr>
            <w:tcW w:w="3500" w:type="dxa"/>
            <w:vAlign w:val="bottom"/>
          </w:tcPr>
          <w:p>
            <w:pPr>
              <w:jc w:val="center"/>
              <w:spacing w:after="0" w:line="203" w:lineRule="exact"/>
              <w:rPr>
                <w:sz w:val="20"/>
                <w:szCs w:val="20"/>
                <w:color w:val="auto"/>
              </w:rPr>
            </w:pPr>
            <w:r>
              <w:rPr>
                <w:rFonts w:ascii="Arial" w:cs="Arial" w:eastAsia="Arial" w:hAnsi="Arial"/>
                <w:sz w:val="22"/>
                <w:szCs w:val="22"/>
                <w:i w:val="1"/>
                <w:iCs w:val="1"/>
                <w:color w:val="auto"/>
                <w:w w:val="90"/>
              </w:rPr>
              <w:t>(Commission File Number)</w:t>
            </w:r>
          </w:p>
        </w:tc>
        <w:tc>
          <w:tcPr>
            <w:tcW w:w="3900" w:type="dxa"/>
            <w:vAlign w:val="bottom"/>
          </w:tcPr>
          <w:p>
            <w:pPr>
              <w:jc w:val="center"/>
              <w:ind w:left="32"/>
              <w:spacing w:after="0" w:line="203" w:lineRule="exact"/>
              <w:rPr>
                <w:sz w:val="20"/>
                <w:szCs w:val="20"/>
                <w:color w:val="auto"/>
              </w:rPr>
            </w:pPr>
            <w:r>
              <w:rPr>
                <w:rFonts w:ascii="Arial" w:cs="Arial" w:eastAsia="Arial" w:hAnsi="Arial"/>
                <w:sz w:val="22"/>
                <w:szCs w:val="22"/>
                <w:i w:val="1"/>
                <w:iCs w:val="1"/>
                <w:color w:val="auto"/>
                <w:w w:val="91"/>
              </w:rPr>
              <w:t>(IRS Employer Identification No.)</w:t>
            </w:r>
          </w:p>
        </w:tc>
      </w:tr>
      <w:tr>
        <w:trPr>
          <w:trHeight w:val="274"/>
        </w:trPr>
        <w:tc>
          <w:tcPr>
            <w:tcW w:w="3840" w:type="dxa"/>
            <w:vAlign w:val="bottom"/>
          </w:tcPr>
          <w:p>
            <w:pPr>
              <w:jc w:val="center"/>
              <w:spacing w:after="0"/>
              <w:rPr>
                <w:sz w:val="20"/>
                <w:szCs w:val="20"/>
                <w:color w:val="auto"/>
              </w:rPr>
            </w:pPr>
            <w:r>
              <w:rPr>
                <w:rFonts w:ascii="Arial" w:cs="Arial" w:eastAsia="Arial" w:hAnsi="Arial"/>
                <w:sz w:val="22"/>
                <w:szCs w:val="22"/>
                <w:i w:val="1"/>
                <w:iCs w:val="1"/>
                <w:color w:val="auto"/>
                <w:w w:val="93"/>
              </w:rPr>
              <w:t>Incorporation or Organization)</w:t>
            </w:r>
          </w:p>
        </w:tc>
        <w:tc>
          <w:tcPr>
            <w:tcW w:w="3500" w:type="dxa"/>
            <w:vAlign w:val="bottom"/>
          </w:tcPr>
          <w:p>
            <w:pPr>
              <w:spacing w:after="0"/>
              <w:rPr>
                <w:sz w:val="23"/>
                <w:szCs w:val="23"/>
                <w:color w:val="auto"/>
              </w:rPr>
            </w:pPr>
          </w:p>
        </w:tc>
        <w:tc>
          <w:tcPr>
            <w:tcW w:w="3900" w:type="dxa"/>
            <w:vAlign w:val="bottom"/>
          </w:tcPr>
          <w:p>
            <w:pPr>
              <w:spacing w:after="0"/>
              <w:rPr>
                <w:sz w:val="23"/>
                <w:szCs w:val="23"/>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7280" w:type="dxa"/>
            <w:vAlign w:val="bottom"/>
            <w:tcBorders>
              <w:bottom w:val="single" w:sz="8" w:color="auto"/>
            </w:tcBorders>
          </w:tcPr>
          <w:p>
            <w:pPr>
              <w:jc w:val="center"/>
              <w:ind w:left="92"/>
              <w:spacing w:after="0"/>
              <w:rPr>
                <w:sz w:val="20"/>
                <w:szCs w:val="20"/>
                <w:color w:val="auto"/>
              </w:rPr>
            </w:pPr>
            <w:r>
              <w:rPr>
                <w:rFonts w:ascii="Arial" w:cs="Arial" w:eastAsia="Arial" w:hAnsi="Arial"/>
                <w:sz w:val="22"/>
                <w:szCs w:val="22"/>
                <w:b w:val="1"/>
                <w:bCs w:val="1"/>
                <w:color w:val="auto"/>
                <w:w w:val="88"/>
              </w:rPr>
              <w:t>300 Renaissance Center, Detroit, Michigan</w:t>
            </w:r>
          </w:p>
        </w:tc>
        <w:tc>
          <w:tcPr>
            <w:tcW w:w="3960" w:type="dxa"/>
            <w:vAlign w:val="bottom"/>
            <w:tcBorders>
              <w:bottom w:val="single" w:sz="8" w:color="auto"/>
            </w:tcBorders>
          </w:tcPr>
          <w:p>
            <w:pPr>
              <w:jc w:val="right"/>
              <w:ind w:right="1252"/>
              <w:spacing w:after="0"/>
              <w:rPr>
                <w:sz w:val="20"/>
                <w:szCs w:val="20"/>
                <w:color w:val="auto"/>
              </w:rPr>
            </w:pPr>
            <w:r>
              <w:rPr>
                <w:rFonts w:ascii="Arial" w:cs="Arial" w:eastAsia="Arial" w:hAnsi="Arial"/>
                <w:sz w:val="22"/>
                <w:szCs w:val="22"/>
                <w:b w:val="1"/>
                <w:bCs w:val="1"/>
                <w:color w:val="auto"/>
              </w:rPr>
              <w:t>48265-3000</w:t>
            </w:r>
          </w:p>
        </w:tc>
      </w:tr>
      <w:tr>
        <w:trPr>
          <w:trHeight w:val="270"/>
        </w:trPr>
        <w:tc>
          <w:tcPr>
            <w:tcW w:w="7280" w:type="dxa"/>
            <w:vAlign w:val="bottom"/>
          </w:tcPr>
          <w:p>
            <w:pPr>
              <w:jc w:val="center"/>
              <w:ind w:left="112"/>
              <w:spacing w:after="0"/>
              <w:rPr>
                <w:sz w:val="20"/>
                <w:szCs w:val="20"/>
                <w:color w:val="auto"/>
              </w:rPr>
            </w:pPr>
            <w:r>
              <w:rPr>
                <w:rFonts w:ascii="Arial" w:cs="Arial" w:eastAsia="Arial" w:hAnsi="Arial"/>
                <w:sz w:val="22"/>
                <w:szCs w:val="22"/>
                <w:i w:val="1"/>
                <w:iCs w:val="1"/>
                <w:color w:val="auto"/>
                <w:w w:val="89"/>
              </w:rPr>
              <w:t>(Address of principal executive offices)</w:t>
            </w:r>
          </w:p>
        </w:tc>
        <w:tc>
          <w:tcPr>
            <w:tcW w:w="3960" w:type="dxa"/>
            <w:vAlign w:val="bottom"/>
          </w:tcPr>
          <w:p>
            <w:pPr>
              <w:jc w:val="center"/>
              <w:ind w:left="112"/>
              <w:spacing w:after="0"/>
              <w:rPr>
                <w:sz w:val="20"/>
                <w:szCs w:val="20"/>
                <w:color w:val="auto"/>
              </w:rPr>
            </w:pPr>
            <w:r>
              <w:rPr>
                <w:rFonts w:ascii="Arial" w:cs="Arial" w:eastAsia="Arial" w:hAnsi="Arial"/>
                <w:sz w:val="22"/>
                <w:szCs w:val="22"/>
                <w:i w:val="1"/>
                <w:iCs w:val="1"/>
                <w:color w:val="auto"/>
                <w:w w:val="90"/>
              </w:rPr>
              <w:t>(Zip Code)</w:t>
            </w:r>
          </w:p>
        </w:tc>
      </w:tr>
    </w:tbl>
    <w:p>
      <w:pPr>
        <w:jc w:val="center"/>
        <w:spacing w:after="0"/>
        <w:rPr>
          <w:sz w:val="20"/>
          <w:szCs w:val="20"/>
          <w:color w:val="auto"/>
        </w:rPr>
      </w:pPr>
      <w:r>
        <w:rPr>
          <w:rFonts w:ascii="Arial" w:cs="Arial" w:eastAsia="Arial" w:hAnsi="Arial"/>
          <w:sz w:val="20"/>
          <w:szCs w:val="20"/>
          <w:b w:val="1"/>
          <w:bCs w:val="1"/>
          <w:color w:val="auto"/>
        </w:rPr>
        <w:t>Doug L. Parks - Executive Vice President, Global Product Development, Purchasing and Supply Chain (313) 667-1500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(Name and telephone number, including area code, of the person to contact in connection with this report)</w:t>
      </w:r>
    </w:p>
    <w:p>
      <w:pPr>
        <w:spacing w:after="0" w:line="379" w:lineRule="exact"/>
        <w:rPr>
          <w:sz w:val="24"/>
          <w:szCs w:val="24"/>
          <w:color w:val="auto"/>
        </w:rPr>
      </w:pPr>
    </w:p>
    <w:p>
      <w:pPr>
        <w:jc w:val="both"/>
        <w:spacing w:after="0" w:line="263"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364" w:lineRule="exact"/>
        <w:rPr>
          <w:sz w:val="24"/>
          <w:szCs w:val="24"/>
          <w:color w:val="auto"/>
        </w:rPr>
      </w:pPr>
    </w:p>
    <w:p>
      <w:pPr>
        <w:ind w:left="500" w:right="1060" w:hanging="2"/>
        <w:spacing w:after="0" w:line="232" w:lineRule="auto"/>
        <w:tabs>
          <w:tab w:leader="none" w:pos="712"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69780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801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37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 Conflict Minerals Report is filed as Exhibit 1.01 and is also publicly available at the following Internet website: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http://www.gm.com/investors/sec-filings.html.</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36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Conflict Minerals Report required by Item 1.01 and 1.02 is filed as Exhibit 1.01 to this Form SD.</w:t>
      </w: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 * * * * * *</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2 - Exhibits</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361"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Exhibit 1.01 - </w:t>
      </w:r>
      <w:hyperlink w:anchor="page4">
        <w:r>
          <w:rPr>
            <w:rFonts w:ascii="Arial" w:cs="Arial" w:eastAsia="Arial" w:hAnsi="Arial"/>
            <w:sz w:val="22"/>
            <w:szCs w:val="22"/>
            <w:u w:val="single" w:color="auto"/>
            <w:color w:val="0000FF"/>
          </w:rPr>
          <w:t>Conflict Minerals Report</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 * *</w:t>
      </w:r>
    </w:p>
    <w:p>
      <w:pPr>
        <w:sectPr>
          <w:pgSz w:w="11900" w:h="16838" w:orient="portrait"/>
          <w:cols w:equalWidth="0" w:num="1">
            <w:col w:w="11240"/>
          </w:cols>
          <w:pgMar w:left="320" w:top="119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162"/>
        <w:spacing w:after="0" w:line="365"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ind w:left="5900"/>
        <w:spacing w:after="0"/>
        <w:rPr>
          <w:sz w:val="20"/>
          <w:szCs w:val="20"/>
          <w:color w:val="auto"/>
        </w:rPr>
      </w:pPr>
      <w:r>
        <w:rPr>
          <w:rFonts w:ascii="Arial" w:cs="Arial" w:eastAsia="Arial" w:hAnsi="Arial"/>
          <w:sz w:val="22"/>
          <w:szCs w:val="22"/>
          <w:u w:val="single" w:color="auto"/>
          <w:color w:val="auto"/>
        </w:rPr>
        <w:t>GENERAL MOTORS COMPANY</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480" w:type="dxa"/>
        <w:tblCellMar>
          <w:top w:w="0" w:type="dxa"/>
          <w:left w:w="0" w:type="dxa"/>
          <w:bottom w:w="0" w:type="dxa"/>
          <w:right w:w="0" w:type="dxa"/>
        </w:tblCellMar>
      </w:tblPr>
      <w:tr>
        <w:trPr>
          <w:trHeight w:val="276"/>
        </w:trPr>
        <w:tc>
          <w:tcPr>
            <w:tcW w:w="3280" w:type="dxa"/>
            <w:vAlign w:val="bottom"/>
            <w:vMerge w:val="restart"/>
          </w:tcPr>
          <w:p>
            <w:pPr>
              <w:spacing w:after="0"/>
              <w:rPr>
                <w:sz w:val="20"/>
                <w:szCs w:val="20"/>
                <w:color w:val="auto"/>
              </w:rPr>
            </w:pPr>
            <w:r>
              <w:rPr>
                <w:rFonts w:ascii="Arial" w:cs="Arial" w:eastAsia="Arial" w:hAnsi="Arial"/>
                <w:sz w:val="22"/>
                <w:szCs w:val="22"/>
                <w:color w:val="auto"/>
              </w:rPr>
              <w:t>Date: June 1, 2021</w:t>
            </w:r>
          </w:p>
        </w:tc>
        <w:tc>
          <w:tcPr>
            <w:tcW w:w="2120" w:type="dxa"/>
            <w:vAlign w:val="bottom"/>
            <w:vMerge w:val="restart"/>
          </w:tcPr>
          <w:p>
            <w:pPr>
              <w:ind w:left="1660"/>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Doug L. Parks</w:t>
            </w:r>
          </w:p>
        </w:tc>
        <w:tc>
          <w:tcPr>
            <w:tcW w:w="0" w:type="dxa"/>
            <w:vAlign w:val="bottom"/>
          </w:tcPr>
          <w:p>
            <w:pPr>
              <w:spacing w:after="0"/>
              <w:rPr>
                <w:sz w:val="1"/>
                <w:szCs w:val="1"/>
                <w:color w:val="auto"/>
              </w:rPr>
            </w:pPr>
          </w:p>
        </w:tc>
      </w:tr>
      <w:tr>
        <w:trPr>
          <w:trHeight w:val="203"/>
        </w:trPr>
        <w:tc>
          <w:tcPr>
            <w:tcW w:w="328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4900" w:type="dxa"/>
            <w:vAlign w:val="bottom"/>
          </w:tcPr>
          <w:p>
            <w:pPr>
              <w:ind w:left="20"/>
              <w:spacing w:after="0" w:line="203" w:lineRule="exact"/>
              <w:rPr>
                <w:sz w:val="20"/>
                <w:szCs w:val="20"/>
                <w:color w:val="auto"/>
              </w:rPr>
            </w:pPr>
            <w:r>
              <w:rPr>
                <w:rFonts w:ascii="Arial" w:cs="Arial" w:eastAsia="Arial" w:hAnsi="Arial"/>
                <w:sz w:val="22"/>
                <w:szCs w:val="22"/>
                <w:color w:val="auto"/>
              </w:rPr>
              <w:t>Doug L. Parks, Executive Vice President, Global</w:t>
            </w:r>
          </w:p>
        </w:tc>
        <w:tc>
          <w:tcPr>
            <w:tcW w:w="0" w:type="dxa"/>
            <w:vAlign w:val="bottom"/>
          </w:tcPr>
          <w:p>
            <w:pPr>
              <w:spacing w:after="0"/>
              <w:rPr>
                <w:sz w:val="1"/>
                <w:szCs w:val="1"/>
                <w:color w:val="auto"/>
              </w:rPr>
            </w:pPr>
          </w:p>
        </w:tc>
      </w:tr>
      <w:tr>
        <w:trPr>
          <w:trHeight w:val="274"/>
        </w:trPr>
        <w:tc>
          <w:tcPr>
            <w:tcW w:w="32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w w:val="94"/>
              </w:rPr>
              <w:t>Product Development, Purchasing and Supply Chain</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9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Report</w:t>
      </w:r>
    </w:p>
    <w:p>
      <w:pPr>
        <w:spacing w:after="0" w:line="25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This Conflict Minerals Report (CMR) of General Motors Company is for calendar year 2020 in accordance with Rule 13p-1 under the Securities Exchange Act of 1934, as amended (the SEC Rule). The SEC Rule was adopted by the Securities and Exchange Commission (SEC) to implement reporting requirements related to conflict minerals as directed by the Dodd-Frank Wall Street Reform and Consumer Protection Act of 2010 (Dodd-Frank Act). The SEC Rule imposes certain reporting obligations on SEC registrants whose manufactured products contain conflict minerals that are necessary to the functionality or production of said products.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or an adjoining country (Covered Countries).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this CMR, references to General Motors, GM, our, us, or we refer to General Motors Company.</w:t>
      </w:r>
    </w:p>
    <w:p>
      <w:pPr>
        <w:spacing w:after="0" w:line="322" w:lineRule="exact"/>
        <w:rPr>
          <w:sz w:val="20"/>
          <w:szCs w:val="20"/>
          <w:color w:val="auto"/>
        </w:rPr>
      </w:pPr>
    </w:p>
    <w:p>
      <w:pPr>
        <w:ind w:left="360" w:hanging="352"/>
        <w:spacing w:after="0"/>
        <w:tabs>
          <w:tab w:leader="none" w:pos="3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Company and Supply Chain Overview</w:t>
      </w:r>
    </w:p>
    <w:p>
      <w:pPr>
        <w:spacing w:after="0" w:line="3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We, through our direct and indirect subsidiaries, design, build, and sell trucks, crossovers, cars and automobile parts worldwide. Our supply chain is a complex global network of tiered suppliers that directly or indirectly supply raw materials, components, and services to our global facilities.</w:t>
      </w:r>
    </w:p>
    <w:p>
      <w:pPr>
        <w:spacing w:after="0" w:line="212"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With respect to the 3TG in our products, generally, multiple tiers of supplier manufacturers exist between the smelters or refiners (SORs) that process 3TG and the first-tier suppliers that deliver parts to us. We do not have a direct business relationship with any SORs of 3TG. We rely on the suppliers with whom we have direct contracts to provide information on the origin of, and the facilities used to process, the 3TG contained in the components and materials supplied to us.</w:t>
      </w:r>
    </w:p>
    <w:p>
      <w:pPr>
        <w:spacing w:after="0" w:line="277" w:lineRule="exact"/>
        <w:rPr>
          <w:sz w:val="20"/>
          <w:szCs w:val="20"/>
          <w:color w:val="auto"/>
        </w:rPr>
      </w:pPr>
    </w:p>
    <w:p>
      <w:pPr>
        <w:ind w:left="440" w:hanging="432"/>
        <w:spacing w:after="0"/>
        <w:tabs>
          <w:tab w:leader="none" w:pos="4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Reasonable Country of Origin Inquiry</w:t>
      </w:r>
    </w:p>
    <w:p>
      <w:pPr>
        <w:spacing w:after="0" w:line="253"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9"/>
          <w:szCs w:val="19"/>
          <w:color w:val="auto"/>
        </w:rPr>
        <w:t>For our reasonable country of origin inquiry, we developed a targeted list of our first-tier suppliers of original equipment and aftermarket parts that we believe provide products that may contain 3TG which are necessary to the functionality and production of our product portfolio. We identified these suppliers based on information in the International Material Data System (IMDS) and from information previously provided by suppliers regarding conflict minerals. From that list, we incorporated only those suppliers that shipped part(s) to GM during the 2020 calendar year. In addition, we also surveyed employees whose function may provide relevant information regarding the source of potential 3TG within our supply chain.</w:t>
      </w:r>
    </w:p>
    <w:p>
      <w:pPr>
        <w:spacing w:after="0" w:line="176"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We then used the Conflict Minerals Reporting Template (CMRT), a standardized reporting template developed by the Responsible Minerals Initiative (RMI), to obtain information from these suppliers regarding the facilities used to process the necessary 3TG and the country of origin of such minerals. For the 2020 calendar year, we received completed CMRTs from 87% of the 3,079 supplier locations that we believe supply components to GM that contain 3TG.</w:t>
      </w:r>
    </w:p>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We have conducted a Reasonable Country of Origin Inquiry (RCOI) and performed reasonable due diligence on the source and chain of custody of 3TG contained in the components and material supplied to us. Based on the results of our RCOI, and after conducting reasonable due diligence, we are unable to definitively determine the origin of the 3TG utilized in our products.</w:t>
      </w:r>
    </w:p>
    <w:p>
      <w:pPr>
        <w:spacing w:after="0" w:line="23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Design of Due Diligence Process</w:t>
      </w:r>
    </w:p>
    <w:p>
      <w:pPr>
        <w:sectPr>
          <w:pgSz w:w="11900" w:h="16838" w:orient="portrait"/>
          <w:cols w:equalWidth="0" w:num="1">
            <w:col w:w="11240"/>
          </w:cols>
          <w:pgMar w:left="320" w:top="693" w:right="339" w:bottom="1440" w:gutter="0" w:footer="0" w:header="0"/>
        </w:sectPr>
      </w:pPr>
    </w:p>
    <w:bookmarkStart w:id="4" w:name="page5"/>
    <w:bookmarkEnd w:id="4"/>
    <w:p>
      <w:pPr>
        <w:jc w:val="both"/>
        <w:ind w:firstLine="324"/>
        <w:spacing w:after="0" w:line="302" w:lineRule="auto"/>
        <w:rPr>
          <w:sz w:val="20"/>
          <w:szCs w:val="20"/>
          <w:color w:val="auto"/>
        </w:rPr>
      </w:pPr>
      <w:r>
        <w:rPr>
          <w:rFonts w:ascii="Arial" w:cs="Arial" w:eastAsia="Arial" w:hAnsi="Arial"/>
          <w:sz w:val="19"/>
          <w:szCs w:val="19"/>
          <w:color w:val="auto"/>
        </w:rPr>
        <w:t>To obtain information regarding the source and chain of custody of 3TG, we conducted due diligence through our direct suppliers based on the OECD Due Diligence Guidance for Responsible Supply Chains of Minerals from Conflict-Affected and High-Risk Areas (OECD Guidance) published by the Organisation for Economic Co-operation and Development (OECD). The OECD Guidance provides an internationally recognized framework for conflict minerals due diligence.</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19"/>
          <w:szCs w:val="19"/>
          <w:b w:val="1"/>
          <w:bCs w:val="1"/>
          <w:color w:val="auto"/>
        </w:rPr>
        <w:t>Due Diligence Measures Performed</w:t>
      </w:r>
    </w:p>
    <w:p>
      <w:pPr>
        <w:spacing w:after="0" w:line="287" w:lineRule="exact"/>
        <w:rPr>
          <w:sz w:val="20"/>
          <w:szCs w:val="20"/>
          <w:color w:val="auto"/>
        </w:rPr>
      </w:pPr>
    </w:p>
    <w:p>
      <w:pPr>
        <w:ind w:left="740"/>
        <w:spacing w:after="0"/>
        <w:tabs>
          <w:tab w:leader="none" w:pos="1560" w:val="left"/>
        </w:tabs>
        <w:rPr>
          <w:sz w:val="20"/>
          <w:szCs w:val="20"/>
          <w:color w:val="auto"/>
        </w:rPr>
      </w:pPr>
      <w:r>
        <w:rPr>
          <w:rFonts w:ascii="Arial" w:cs="Arial" w:eastAsia="Arial" w:hAnsi="Arial"/>
          <w:sz w:val="22"/>
          <w:szCs w:val="22"/>
          <w:b w:val="1"/>
          <w:bCs w:val="1"/>
          <w:color w:val="auto"/>
        </w:rPr>
        <w:t>Step 1.</w:t>
      </w:r>
      <w:r>
        <w:rPr>
          <w:sz w:val="20"/>
          <w:szCs w:val="20"/>
          <w:color w:val="auto"/>
        </w:rPr>
        <w:tab/>
      </w:r>
      <w:r>
        <w:rPr>
          <w:rFonts w:ascii="Arial" w:cs="Arial" w:eastAsia="Arial" w:hAnsi="Arial"/>
          <w:sz w:val="19"/>
          <w:szCs w:val="19"/>
          <w:b w:val="1"/>
          <w:bCs w:val="1"/>
          <w:color w:val="auto"/>
        </w:rPr>
        <w:t>Establish Strong Company Management Systems</w:t>
      </w:r>
    </w:p>
    <w:p>
      <w:pPr>
        <w:spacing w:after="0" w:line="247"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1. Company Conflict Minerals Policy</w:t>
      </w:r>
    </w:p>
    <w:p>
      <w:pPr>
        <w:spacing w:after="0" w:line="25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 xml:space="preserve">GM’s policies and practices, including its Conflict Minerals Policy, reflect our commitment to responsible sourcing strategies that mitigate negative social and environmental impacts. Through our Supplier Code of Conduct, we expect similar commitments and efforts from our suppliers to source responsibly within their supply chains, including sourcing 3TG. Our Conflict Minerals Policy, which also is incorporated into our Sustainability Report, is found at </w:t>
      </w:r>
      <w:r>
        <w:rPr>
          <w:rFonts w:ascii="Arial" w:cs="Arial" w:eastAsia="Arial" w:hAnsi="Arial"/>
          <w:sz w:val="19"/>
          <w:szCs w:val="19"/>
          <w:i w:val="1"/>
          <w:iCs w:val="1"/>
          <w:color w:val="auto"/>
        </w:rPr>
        <w:t>investor.gm.com/static-files/f995efa6-1046-4ede-8ff6-97a402ead20e</w:t>
      </w:r>
      <w:r>
        <w:rPr>
          <w:rFonts w:ascii="Arial" w:cs="Arial" w:eastAsia="Arial" w:hAnsi="Arial"/>
          <w:sz w:val="19"/>
          <w:szCs w:val="19"/>
          <w:color w:val="auto"/>
        </w:rPr>
        <w:t>. We also communicate this policy to our suppliers through our supplier portal. The policy is as follows: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POLICY</w:t>
      </w:r>
    </w:p>
    <w:p>
      <w:pPr>
        <w:spacing w:after="0" w:line="200" w:lineRule="exact"/>
        <w:rPr>
          <w:sz w:val="20"/>
          <w:szCs w:val="20"/>
          <w:color w:val="auto"/>
        </w:rPr>
      </w:pPr>
    </w:p>
    <w:p>
      <w:pPr>
        <w:spacing w:after="0" w:line="20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i w:val="1"/>
          <w:iCs w:val="1"/>
          <w:color w:val="auto"/>
        </w:rPr>
        <w:t>General Motors is committed to sustainable and responsible sourcing of goods and services throughout our supply chain. GM supports the human rights goals reflected in the adoption of conflict mineral due diligence requirements included in the Dodd-Frank Wall Street Reform and Consumer Protection Act of 2010. GM has a zero tolerance policy against the use of child labor, and prohibits abusive treatment to employees and corrupt business practices in our supply base.</w:t>
      </w:r>
    </w:p>
    <w:p>
      <w:pPr>
        <w:spacing w:after="0" w:line="3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Through industry collaboration, GM has adopted a common methodology to obtain chain of custody declarations from suppliers to increase the transparency of conflict minerals in our global supply chain. GM has been an active contributor within the Automotive Industry Action Group (AIAG) in developing an automotive industry wide approach to reporting the use of conflict minerals, and educating suppliers about their roles and responsibilities.</w:t>
      </w: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i w:val="1"/>
          <w:iCs w:val="1"/>
          <w:color w:val="auto"/>
        </w:rPr>
        <w:t>We require our suppliers to engage in supply chain due diligence to improve understanding and reporting of component content supplied to GM. Further, we encourage our suppliers to source responsibly with validated conflict free smelters, wherever possible, to increase our level of confidence that the components in our vehicles and products contain conflict free minerals. We recognize that our sourcing decisions may cause economic consequences in impacted regions and seek to avoid inadvertent adverse economic impact attributable to conflict mineral due diligence activities.</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 to Sourcing Responsibly</w:t>
      </w:r>
    </w:p>
    <w:p>
      <w:pPr>
        <w:spacing w:after="0" w:line="25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General Motors is committed to upholding human rights across our network of suppliers that support our global operations. Part of that commitment is found in our Supplier Code of Conduct and our Human Rights Policy. GM understands that long-term success starts with a company’s value system and a principled approach to doing business. These documents clearly communicate how we define, approach, govern, and support universal human rights and the dignity of people throughout our operations, the communities in which we operate, and our global supply chain. GM is also a signatory to the UN Global Compact and a member of RMI.</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Internal Management Team</w:t>
      </w:r>
    </w:p>
    <w:p>
      <w:pPr>
        <w:sectPr>
          <w:pgSz w:w="11900" w:h="16838" w:orient="portrait"/>
          <w:cols w:equalWidth="0" w:num="1">
            <w:col w:w="11240"/>
          </w:cols>
          <w:pgMar w:left="320" w:top="456" w:right="339" w:bottom="1440" w:gutter="0" w:footer="0" w:header="0"/>
        </w:sectPr>
      </w:pPr>
    </w:p>
    <w:bookmarkStart w:id="5" w:name="page6"/>
    <w:bookmarkEnd w:id="5"/>
    <w:p>
      <w:pPr>
        <w:jc w:val="both"/>
        <w:ind w:firstLine="324"/>
        <w:spacing w:after="0" w:line="250" w:lineRule="auto"/>
        <w:rPr>
          <w:sz w:val="20"/>
          <w:szCs w:val="20"/>
          <w:color w:val="auto"/>
        </w:rPr>
      </w:pPr>
      <w:r>
        <w:rPr>
          <w:rFonts w:ascii="Arial" w:cs="Arial" w:eastAsia="Arial" w:hAnsi="Arial"/>
          <w:sz w:val="22"/>
          <w:szCs w:val="22"/>
          <w:color w:val="auto"/>
        </w:rPr>
        <w:t>We have created a compliance group within our Global Purchasing and Supply Chain function that is responsible for, among other things, overseeing and enhancing our sustainability and compliance efforts, including conflict minerals, supplier awareness programs, trade restrictions, and similar efforts. By consolidating these efforts under the guidance of a single director, we seek to implement our sustainability policies and achieve our goals.</w:t>
      </w:r>
    </w:p>
    <w:p>
      <w:pPr>
        <w:spacing w:after="0" w:line="21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Within this compliance-focused group, we have a team to lead our conflict minerals compliance program. To support this team, we organized a Conflict Minerals Compliance Committee, composed of representatives from the following functional areas: Global Purchasing and Supply Chain, Legal, Finance, Sustainability, SEC Reporting, and GM Audit Services. The Conflict Minerals Compliance Committee provides cross functional expertise for our conflict minerals compliance program. We also have a Conflict Minerals Executive Steering Committee composed of Executives in Global Purchasing and Supply Chain, Legal, Sustainability, and Public Policy. The Executive Steering Committee exercises oversight over the conflict minerals compliance program.</w:t>
      </w:r>
    </w:p>
    <w:p>
      <w:pPr>
        <w:spacing w:after="0" w:line="217"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3. System of Supply Chain Controls and Transparency</w:t>
      </w:r>
    </w:p>
    <w:p>
      <w:pPr>
        <w:spacing w:after="0" w:line="25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We rely on our first-tier suppliers to solicit information from the suppliers lower in our supply chain regarding the facilities that process the necessary 3TG, including the country of origin of such minerals, and to provide that information in their responses to our request for conflict minerals information. We review our first-tier suppliers’ responses for completeness and consistency and work with them to improve the accuracy of the information we receive, if necessary.</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4. Supplier Engagement</w:t>
      </w:r>
    </w:p>
    <w:p>
      <w:pPr>
        <w:spacing w:after="0" w:line="25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1"/>
          <w:szCs w:val="21"/>
          <w:color w:val="auto"/>
        </w:rPr>
        <w:t>We engage with our suppliers to assist them in building capabilities to improve their chain of custody declarations and increase the transparency of 3TG in our global supply chain. We communicate our conflict minerals reporting requirements to suppliers through various mechanisms, including teleconferences, emails, publications, and webinars. We have also established a direct email address (</w:t>
      </w:r>
      <w:r>
        <w:rPr>
          <w:rFonts w:ascii="Arial" w:cs="Arial" w:eastAsia="Arial" w:hAnsi="Arial"/>
          <w:sz w:val="21"/>
          <w:szCs w:val="21"/>
          <w:i w:val="1"/>
          <w:iCs w:val="1"/>
          <w:color w:val="auto"/>
        </w:rPr>
        <w:t>conflictminerals@gm.com</w:t>
      </w:r>
      <w:r>
        <w:rPr>
          <w:rFonts w:ascii="Arial" w:cs="Arial" w:eastAsia="Arial" w:hAnsi="Arial"/>
          <w:sz w:val="21"/>
          <w:szCs w:val="21"/>
          <w:color w:val="auto"/>
        </w:rPr>
        <w:t>) to provide our suppliers a streamlined path of communication relating to conflict minerals. We make conflict minerals reference documents available through our supplier portal. Some of the documents we have created and provide are frequently asked questions, CMRT completion instructions, webinar presentations, and leadership messages related to conflict minerals.</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5. Grievance Mechanism</w:t>
      </w:r>
    </w:p>
    <w:p>
      <w:pPr>
        <w:spacing w:after="0" w:line="22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 xml:space="preserve">We maintain procedures for reporting potential safety concerns, potential misconduct, and concerns about potential ethical violations, including concerns regarding conflict minerals. One of those methods is the “Awareline,” which allows employees, suppliers, and others to report concerns about us, our management, supervisors, employees, or agents. Reports can be made to the Awareline in over a dozen different languages 24 hours per day, 7 days per week by phone, Internet, or email. Individuals filing reports on the Awareline may remain anonymous as permitted by law. Information about the Awareline is found at: </w:t>
      </w:r>
      <w:r>
        <w:rPr>
          <w:rFonts w:ascii="Arial" w:cs="Arial" w:eastAsia="Arial" w:hAnsi="Arial"/>
          <w:sz w:val="22"/>
          <w:szCs w:val="22"/>
          <w:i w:val="1"/>
          <w:iCs w:val="1"/>
          <w:color w:val="auto"/>
        </w:rPr>
        <w:t>awareline.com.</w:t>
      </w:r>
    </w:p>
    <w:p>
      <w:pPr>
        <w:spacing w:after="0" w:line="214" w:lineRule="exact"/>
        <w:rPr>
          <w:sz w:val="20"/>
          <w:szCs w:val="20"/>
          <w:color w:val="auto"/>
        </w:rPr>
      </w:pPr>
    </w:p>
    <w:p>
      <w:pPr>
        <w:ind w:left="740"/>
        <w:spacing w:after="0"/>
        <w:tabs>
          <w:tab w:leader="none" w:pos="1560" w:val="left"/>
        </w:tabs>
        <w:rPr>
          <w:sz w:val="20"/>
          <w:szCs w:val="20"/>
          <w:color w:val="auto"/>
        </w:rPr>
      </w:pPr>
      <w:r>
        <w:rPr>
          <w:rFonts w:ascii="Arial" w:cs="Arial" w:eastAsia="Arial" w:hAnsi="Arial"/>
          <w:sz w:val="22"/>
          <w:szCs w:val="22"/>
          <w:b w:val="1"/>
          <w:bCs w:val="1"/>
          <w:color w:val="auto"/>
        </w:rPr>
        <w:t>Step 2.</w:t>
      </w:r>
      <w:r>
        <w:rPr>
          <w:sz w:val="20"/>
          <w:szCs w:val="20"/>
          <w:color w:val="auto"/>
        </w:rPr>
        <w:tab/>
      </w:r>
      <w:r>
        <w:rPr>
          <w:rFonts w:ascii="Arial" w:cs="Arial" w:eastAsia="Arial" w:hAnsi="Arial"/>
          <w:sz w:val="19"/>
          <w:szCs w:val="19"/>
          <w:b w:val="1"/>
          <w:bCs w:val="1"/>
          <w:color w:val="auto"/>
        </w:rPr>
        <w:t>Identify and Assess Risk in the Supply Chain</w:t>
      </w:r>
    </w:p>
    <w:p>
      <w:pPr>
        <w:spacing w:after="0" w:line="25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We analyzed our suppliers’ CMRT responses for completeness and consistency. In addition to identifying all the SORs of 3TG in their supply chains, we required our suppliers to identify the country where the minerals were mined (the country of origin). Although we requested that our suppliers include this information in their responses, not all suppliers provided responses with country of origin information. We continue to educate our suppliers on the importance of determining the mine or location of origin with the greatest possible specificity.</w:t>
      </w:r>
    </w:p>
    <w:p>
      <w:pPr>
        <w:spacing w:after="0" w:line="21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Through our membership in RMI (ID #GMOT), we obtained a list of SORs who are in conformance with the Responsible Minerals Assurance Process (RMAP) as well as some of their country of origin sourcing information. The RMAP uses an independent third-party assessment of the management systems and sourcing practices of the SORs to validate conformance with RMAP standards.</w:t>
      </w:r>
    </w:p>
    <w:p>
      <w:pPr>
        <w:sectPr>
          <w:pgSz w:w="11900" w:h="16838" w:orient="portrait"/>
          <w:cols w:equalWidth="0" w:num="1">
            <w:col w:w="11240"/>
          </w:cols>
          <w:pgMar w:left="320" w:top="456" w:right="339" w:bottom="1440" w:gutter="0" w:footer="0" w:header="0"/>
        </w:sectPr>
      </w:pPr>
    </w:p>
    <w:bookmarkStart w:id="6" w:name="page7"/>
    <w:bookmarkEnd w:id="6"/>
    <w:p>
      <w:pPr>
        <w:jc w:val="both"/>
        <w:ind w:firstLine="324"/>
        <w:spacing w:after="0" w:line="253" w:lineRule="auto"/>
        <w:rPr>
          <w:sz w:val="20"/>
          <w:szCs w:val="20"/>
          <w:color w:val="auto"/>
        </w:rPr>
      </w:pPr>
      <w:r>
        <w:rPr>
          <w:rFonts w:ascii="Arial" w:cs="Arial" w:eastAsia="Arial" w:hAnsi="Arial"/>
          <w:sz w:val="22"/>
          <w:szCs w:val="22"/>
          <w:color w:val="auto"/>
        </w:rPr>
        <w:t>We used the RMI smelter and refiner conformant list internally to analyze the SOR lists provided to us from our suppliers’ CMRT submissions. We also utilized RMI member resources to identify those high risk SORs that were listed in our suppliers’ CMRTs as sourcing from the Covered Countries and not listed as conformant to RMAP.</w:t>
      </w:r>
    </w:p>
    <w:p>
      <w:pPr>
        <w:spacing w:after="0" w:line="21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Our team provided individual smelter analysis to specific suppliers that identified SORs in their CMRTs that are not yet in the RMAP. This analysis also identified entities that did not meet the definition of an eligible SOR. By providing the smelter analyses to our suppliers, we are empowering our suppliers to inform their supply chain of the identity of non-RMAP conformant SORs. We requested our suppliers to send letters encouraging SORs to join the RMAP. We also requested our suppliers improve the accuracy of their smelter lists by eliminating the SORs that are no longer in operation and removing those entities that did not meet the definition of eligible SORs.</w:t>
      </w:r>
    </w:p>
    <w:p>
      <w:pPr>
        <w:spacing w:after="0" w:line="214"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22"/>
          <w:szCs w:val="22"/>
          <w:color w:val="auto"/>
        </w:rPr>
        <w:t>S</w:t>
      </w:r>
      <w:r>
        <w:rPr>
          <w:rFonts w:ascii="Arial" w:cs="Arial" w:eastAsia="Arial" w:hAnsi="Arial"/>
          <w:sz w:val="22"/>
          <w:szCs w:val="22"/>
          <w:b w:val="1"/>
          <w:bCs w:val="1"/>
          <w:color w:val="auto"/>
        </w:rPr>
        <w:t>tep 3.</w:t>
      </w:r>
      <w:r>
        <w:rPr>
          <w:sz w:val="20"/>
          <w:szCs w:val="20"/>
          <w:color w:val="auto"/>
        </w:rPr>
        <w:tab/>
      </w:r>
      <w:r>
        <w:rPr>
          <w:rFonts w:ascii="Arial" w:cs="Arial" w:eastAsia="Arial" w:hAnsi="Arial"/>
          <w:sz w:val="19"/>
          <w:szCs w:val="19"/>
          <w:b w:val="1"/>
          <w:bCs w:val="1"/>
          <w:color w:val="auto"/>
        </w:rPr>
        <w:t>Design and Implement a Strategy to Respond to Identified Risk</w:t>
      </w:r>
    </w:p>
    <w:p>
      <w:pPr>
        <w:spacing w:after="0" w:line="25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As previously described, we review each supplier CMRT response to (i) provide feedback to our suppliers and (ii) identify risks in our supply chain related to the use of 3TG. Some key factors in our CMRT analysis were supplier sub-tier response rates, the percentage of non-conformant SORs listed in each supplier’s smelter list, IMDS inconsistency (i.e., when the supplier’s 3TG declaration does not match the IMDS records), and SOR sourcing information.</w:t>
      </w:r>
    </w:p>
    <w:p>
      <w:pPr>
        <w:spacing w:after="0" w:line="20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We also have established a formal escalation process for resolving concerns regarding the use of 3TG in our supply chain. Specifically, when our conflict minerals team identifies defects, inconsistencies, or other problems in a supplier’s CMRT response (including a failure to respond), we first attempt to work directly with the supplier to resolve the issue. If our conflict minerals team does not receive an acceptable response from the supplier, the issue is escalated to the appropriate leadership and eventually to the Conflict Minerals Executive Steering Committee. If necessary, we may preclude a supplier from receiving future business if the concern is not resolved.</w:t>
      </w:r>
    </w:p>
    <w:p>
      <w:pPr>
        <w:spacing w:after="0" w:line="22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1"/>
          <w:szCs w:val="21"/>
          <w:color w:val="auto"/>
        </w:rPr>
        <w:t>The SOR outreach and certification process are also important risk mitigation components of our conflict minerals program. To increase the number of RMAP-conformant SORs, specifically during the 2020 reporting year, GM has conducted outreach to 45 eligible SORs by sending letters to encourage them to join the RMAP. In addition to sending outreach letters to SOR’s, we have had ongoing, direct engagement with a refiner by becoming their SPOC Single Point of Contact (SPOC) through the RMAP assessment process. We also encourage our tier 1 suppliers to send outreach letters to the SORs in their smelter lists who are not determined to be RMAP conformant by RMI.</w:t>
      </w:r>
    </w:p>
    <w:p>
      <w:pPr>
        <w:spacing w:after="0" w:line="20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color w:val="auto"/>
        </w:rPr>
        <w:t>The results of our monitoring and outreach efforts are reported to the Conflict Minerals Executive Steering Committee at regular, periodic meetings and tracked against the prior year’s results.</w:t>
      </w:r>
    </w:p>
    <w:p>
      <w:pPr>
        <w:spacing w:after="0" w:line="196" w:lineRule="exact"/>
        <w:rPr>
          <w:sz w:val="20"/>
          <w:szCs w:val="20"/>
          <w:color w:val="auto"/>
        </w:rPr>
      </w:pPr>
    </w:p>
    <w:p>
      <w:pPr>
        <w:ind w:left="740"/>
        <w:spacing w:after="0"/>
        <w:tabs>
          <w:tab w:leader="none" w:pos="1560" w:val="left"/>
        </w:tabs>
        <w:rPr>
          <w:sz w:val="20"/>
          <w:szCs w:val="20"/>
          <w:color w:val="auto"/>
        </w:rPr>
      </w:pPr>
      <w:r>
        <w:rPr>
          <w:rFonts w:ascii="Arial" w:cs="Arial" w:eastAsia="Arial" w:hAnsi="Arial"/>
          <w:sz w:val="22"/>
          <w:szCs w:val="22"/>
          <w:b w:val="1"/>
          <w:bCs w:val="1"/>
          <w:color w:val="auto"/>
        </w:rPr>
        <w:t>Step 4.</w:t>
      </w:r>
      <w:r>
        <w:rPr>
          <w:sz w:val="20"/>
          <w:szCs w:val="20"/>
          <w:color w:val="auto"/>
        </w:rPr>
        <w:tab/>
      </w:r>
      <w:r>
        <w:rPr>
          <w:rFonts w:ascii="Arial" w:cs="Arial" w:eastAsia="Arial" w:hAnsi="Arial"/>
          <w:sz w:val="19"/>
          <w:szCs w:val="19"/>
          <w:b w:val="1"/>
          <w:bCs w:val="1"/>
          <w:color w:val="auto"/>
        </w:rPr>
        <w:t>Carry Out Independent Third-Party Audit of Supply Chain Due Diligence</w:t>
      </w:r>
    </w:p>
    <w:p>
      <w:pPr>
        <w:spacing w:after="0" w:line="2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Since we do not source directly from SORs, we rely on information from industry involvement and information available through our membership in RMI. We actively support industry-wide initiatives to improve both reporting and knowledge regarding the SORs supplying 3TG for our products.</w:t>
      </w:r>
    </w:p>
    <w:p>
      <w:pPr>
        <w:spacing w:after="0" w:line="21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Through contributions to the AIAG Responsible Materials Work Group, we financially support visits to SORs to encourage them to participate in a third-party audit to become conformant to the RMAP standard. These contributions also are going to the not-for-profit RMI Initial Audit Fund to help support SORs with their first formal audit to join the RMAP.</w:t>
      </w:r>
    </w:p>
    <w:p>
      <w:pPr>
        <w:spacing w:after="0" w:line="154" w:lineRule="exact"/>
        <w:rPr>
          <w:sz w:val="20"/>
          <w:szCs w:val="20"/>
          <w:color w:val="auto"/>
        </w:rPr>
      </w:pPr>
    </w:p>
    <w:p>
      <w:pPr>
        <w:ind w:left="740"/>
        <w:spacing w:after="0"/>
        <w:tabs>
          <w:tab w:leader="none" w:pos="1520" w:val="left"/>
        </w:tabs>
        <w:rPr>
          <w:sz w:val="20"/>
          <w:szCs w:val="20"/>
          <w:color w:val="auto"/>
        </w:rPr>
      </w:pPr>
      <w:r>
        <w:rPr>
          <w:rFonts w:ascii="Arial" w:cs="Arial" w:eastAsia="Arial" w:hAnsi="Arial"/>
          <w:sz w:val="22"/>
          <w:szCs w:val="22"/>
          <w:b w:val="1"/>
          <w:bCs w:val="1"/>
          <w:color w:val="auto"/>
        </w:rPr>
        <w:t>Step 5.</w:t>
      </w:r>
      <w:r>
        <w:rPr>
          <w:sz w:val="20"/>
          <w:szCs w:val="20"/>
          <w:color w:val="auto"/>
        </w:rPr>
        <w:tab/>
      </w:r>
      <w:r>
        <w:rPr>
          <w:rFonts w:ascii="Arial" w:cs="Arial" w:eastAsia="Arial" w:hAnsi="Arial"/>
          <w:sz w:val="19"/>
          <w:szCs w:val="19"/>
          <w:b w:val="1"/>
          <w:bCs w:val="1"/>
          <w:color w:val="auto"/>
        </w:rPr>
        <w:t>Report on Supply Chain Due Diligence</w:t>
      </w:r>
    </w:p>
    <w:p>
      <w:pPr>
        <w:sectPr>
          <w:pgSz w:w="11900" w:h="16838" w:orient="portrait"/>
          <w:cols w:equalWidth="0" w:num="1">
            <w:col w:w="11240"/>
          </w:cols>
          <w:pgMar w:left="320" w:top="699" w:right="339" w:bottom="1440" w:gutter="0" w:footer="0" w:header="0"/>
        </w:sectPr>
      </w:pPr>
    </w:p>
    <w:bookmarkStart w:id="7" w:name="page8"/>
    <w:bookmarkEnd w:id="7"/>
    <w:p>
      <w:pPr>
        <w:ind w:right="20" w:firstLine="324"/>
        <w:spacing w:after="0" w:line="343" w:lineRule="auto"/>
        <w:rPr>
          <w:sz w:val="20"/>
          <w:szCs w:val="20"/>
          <w:color w:val="auto"/>
        </w:rPr>
      </w:pPr>
      <w:r>
        <w:rPr>
          <w:rFonts w:ascii="Arial" w:cs="Arial" w:eastAsia="Arial" w:hAnsi="Arial"/>
          <w:sz w:val="19"/>
          <w:szCs w:val="19"/>
          <w:color w:val="auto"/>
        </w:rPr>
        <w:t xml:space="preserve">We file the Specialized Disclosure Form (Form SD), including the Conflict Minerals Report, annually with the SEC as directed by the Dodd-Frank Act. Our Form SD and CMR are available on our website at </w:t>
      </w:r>
      <w:r>
        <w:rPr>
          <w:rFonts w:ascii="Arial" w:cs="Arial" w:eastAsia="Arial" w:hAnsi="Arial"/>
          <w:sz w:val="19"/>
          <w:szCs w:val="19"/>
          <w:i w:val="1"/>
          <w:iCs w:val="1"/>
          <w:color w:val="auto"/>
        </w:rPr>
        <w:t>gm.com/investors/sec-filings.html.</w:t>
      </w:r>
    </w:p>
    <w:p>
      <w:pPr>
        <w:spacing w:after="0" w:line="206" w:lineRule="exact"/>
        <w:rPr>
          <w:sz w:val="20"/>
          <w:szCs w:val="20"/>
          <w:color w:val="auto"/>
        </w:rPr>
      </w:pPr>
    </w:p>
    <w:p>
      <w:pPr>
        <w:ind w:right="680" w:firstLine="8"/>
        <w:spacing w:after="0" w:line="269" w:lineRule="auto"/>
        <w:tabs>
          <w:tab w:leader="none" w:pos="398"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Steps We Have Taken or Will Take to Mitigate the Risk that Conflict Minerals in Our Products Benefit Armed Groups Including Improving Due Diligence</w:t>
      </w:r>
    </w:p>
    <w:p>
      <w:pPr>
        <w:spacing w:after="0" w:line="19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We are continuing to work with our suppliers to gather more information through the supply chain. Through emails, webinars, and our conflict minerals policy, we are encouraging our suppliers to work with their supply chains to source responsibly, including utilizing conformant SORs.</w:t>
      </w:r>
    </w:p>
    <w:p>
      <w:pPr>
        <w:spacing w:after="0" w:line="21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We will continue to work with AIAG to further educate suppliers and utilize common methods to determine the origin of 3TG in our products. Through this group, we will continue to develop and participate in AIAG training and other 3TG initiatives. We also actively participate in the AIAG Smelter Engagement Team (SET) and the RMI SET to prioritize and conduct outreach and visits to SORs.</w:t>
      </w:r>
    </w:p>
    <w:p>
      <w:pPr>
        <w:spacing w:after="0" w:line="21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9"/>
          <w:szCs w:val="19"/>
          <w:color w:val="auto"/>
        </w:rPr>
        <w:t>As a member company of RMI, we are further developing a reliable SOR list by assisting RMI in identifying eligible SORs. Working with RMI and AIAG, we are sending letters to SORs and holding virtual meetings with SORs who have not yet engaged in the RMAP. We believe that increasing the participation of SORs in this program will not only expand the availability of conflict-free 3TG but will also enhance the ability of our supply base to reliably source 3TG from conformant SORs.</w:t>
      </w:r>
    </w:p>
    <w:p>
      <w:pPr>
        <w:spacing w:after="0" w:line="244"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19"/>
          <w:szCs w:val="19"/>
          <w:b w:val="1"/>
          <w:bCs w:val="1"/>
          <w:color w:val="auto"/>
        </w:rPr>
        <w:t>Product Determination</w:t>
      </w:r>
    </w:p>
    <w:p>
      <w:pPr>
        <w:spacing w:after="0" w:line="25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9"/>
          <w:szCs w:val="19"/>
          <w:color w:val="auto"/>
        </w:rPr>
        <w:t>Based on the results of our RCOI and due diligence, the complexity of our supply chain and the inherent imprecision of reporting information through our supply chain, we cannot confirm whether the 3TG reported to us by our suppliers, some of which may have been sourced from a covered country, are in our products. However, we have not identified any instances where 3TG in our products are directly or indirectly financing or benefiting armed groups in the covered countries.</w:t>
      </w:r>
    </w:p>
    <w:p>
      <w:pPr>
        <w:spacing w:after="0" w:line="24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19"/>
          <w:szCs w:val="19"/>
          <w:b w:val="1"/>
          <w:bCs w:val="1"/>
          <w:color w:val="auto"/>
        </w:rPr>
        <w:t>Appendix</w:t>
      </w:r>
    </w:p>
    <w:p>
      <w:pPr>
        <w:spacing w:after="0" w:line="25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Utilizing the information provided by our first-tier suppliers in their CMRT submissions, we compiled a list of SORs that may provide 3TG used in our products. The SOR list is provided as an appendix in this report. However, because most of our suppliers reported 3TG usage at a company-wide level, the information provided by our suppliers, including the identity of the SORs included in the appendix, may relate to non-GM products. In addition, not all our suppliers provided the SOR identity and country of origin information for 3TG. Further, we understand that SORs generally commingle minerals from different mine sources, which may further impair our suppliers’ ability to track the source of 3TG. Accordingly, we cannot confirm the accuracy or completeness of the attached appendix of potential SORs, and we cannot definitively determine the origin of all the 3TG we utilize in our products.</w:t>
      </w:r>
    </w:p>
    <w:p>
      <w:pPr>
        <w:sectPr>
          <w:pgSz w:w="11900" w:h="16838" w:orient="portrait"/>
          <w:cols w:equalWidth="0" w:num="1">
            <w:col w:w="11240"/>
          </w:cols>
          <w:pgMar w:left="320" w:top="456" w:right="339" w:bottom="1440" w:gutter="0" w:footer="0" w:header="0"/>
        </w:sectPr>
      </w:pPr>
    </w:p>
    <w:bookmarkStart w:id="8" w:name="page9"/>
    <w:bookmarkEnd w:id="8"/>
    <w:p>
      <w:pPr>
        <w:jc w:val="center"/>
        <w:ind w:right="-319"/>
        <w:spacing w:after="0"/>
        <w:rPr>
          <w:sz w:val="20"/>
          <w:szCs w:val="20"/>
          <w:color w:val="auto"/>
        </w:rPr>
      </w:pPr>
      <w:r>
        <w:rPr>
          <w:rFonts w:ascii="Arial" w:cs="Arial" w:eastAsia="Arial" w:hAnsi="Arial"/>
          <w:sz w:val="22"/>
          <w:szCs w:val="22"/>
          <w:b w:val="1"/>
          <w:bCs w:val="1"/>
          <w:u w:val="single" w:color="auto"/>
          <w:color w:val="auto"/>
        </w:rPr>
        <w:t>Appendix</w:t>
      </w:r>
    </w:p>
    <w:p>
      <w:pPr>
        <w:spacing w:after="0" w:line="247" w:lineRule="exact"/>
        <w:rPr>
          <w:sz w:val="20"/>
          <w:szCs w:val="20"/>
          <w:color w:val="auto"/>
        </w:rPr>
      </w:pPr>
    </w:p>
    <w:p>
      <w:pPr>
        <w:ind w:right="400"/>
        <w:spacing w:after="0" w:line="269" w:lineRule="auto"/>
        <w:rPr>
          <w:sz w:val="20"/>
          <w:szCs w:val="20"/>
          <w:color w:val="auto"/>
        </w:rPr>
      </w:pPr>
      <w:r>
        <w:rPr>
          <w:rFonts w:ascii="Arial" w:cs="Arial" w:eastAsia="Arial" w:hAnsi="Arial"/>
          <w:sz w:val="22"/>
          <w:szCs w:val="22"/>
          <w:b w:val="1"/>
          <w:bCs w:val="1"/>
          <w:u w:val="single" w:color="auto"/>
          <w:color w:val="auto"/>
        </w:rPr>
        <w:t>All Smelters or Refiners with an "**" below are conformant to the RMAP assessment, or were actively engaged in the program as of 3/17/2021</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8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Metal</w:t>
            </w:r>
          </w:p>
        </w:tc>
        <w:tc>
          <w:tcPr>
            <w:tcW w:w="666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Standard Smelter Name</w:t>
            </w:r>
          </w:p>
        </w:tc>
        <w:tc>
          <w:tcPr>
            <w:tcW w:w="29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Smelter Identification</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Changsha South Tantalum Niobium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CID000211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 Block Metals, LLC**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CID002504</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Exotech Inc.**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CID000456</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F&amp;X Electro-Materials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CID000460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FIR Metals &amp; Resource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CID002505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Global Advanced Metals Aizu**</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CID002558</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Global Advanced Metals Boyertown**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CID002557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H.C. Starck Hermsdorf GmbH**</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CID002547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H.C. Starck Inc.**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CID002548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Hengyang King Xing Lifeng New Materials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CID002492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Jiangxi Dinghai Tantalum &amp; Niobium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CID002512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Jiangxi Tuohong New Raw Material**</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CID002842</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JiuJiang JinXin Nonferrous Metals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CID000914</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Jiujiang Tanbre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CID000917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Jiujiang Zhongao Tantalum &amp; Niobium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CID002506</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KEMET de Mexico**</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CID002539</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LSM Brasil 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CID001076</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 Materials**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CID002847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Metallurgical Products India Pvt.,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CID001163</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Mitsui Mining and Smelting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CID001192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Ningxia Orient Tantalum Industry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CID001277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NPM Silmet AS**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CID001200</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QuantumClean**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CID001508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Resind Industria e Comercio Ltda.**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CID002707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Solikamsk Magnesium Works OAO**</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CID001769</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Taki Chemical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CID001869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TANIOBIS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CID002544</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TANIOBIS GmbH**</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CID002545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TANIOBIS Japan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CID002549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TANIOBIS Smelting GmbH &amp; Co. KG**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CID002550</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Telex Metals**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CID001891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Ulba Metallurgical Plant JSC**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CID001969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XIMEI RESOURCES (GUANGDONG) LIMITED**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CID000616</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XinXing HaoRong Electronic Material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CID002508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Yanling Jincheng Tantalum &amp; Niobium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CID001522</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Alpha**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CID000292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An Vinh Joint Stock Mineral Processing Company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CID002703</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Chenzhou Yunxiang Mining and Metallurgy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CID000228</w:t>
            </w:r>
          </w:p>
        </w:tc>
      </w:tr>
    </w:tbl>
    <w:p>
      <w:pPr>
        <w:sectPr>
          <w:pgSz w:w="11900" w:h="16838" w:orient="portrait"/>
          <w:cols w:equalWidth="0" w:num="1">
            <w:col w:w="11260"/>
          </w:cols>
          <w:pgMar w:left="320" w:top="450" w:right="3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8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Chifeng Dajingzi Tin Industry Co., Ltd.**</w:t>
            </w:r>
          </w:p>
        </w:tc>
        <w:tc>
          <w:tcPr>
            <w:tcW w:w="29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CID003190</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China Tin Group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CID001070</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CRM Synergies**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CID003524</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CV Ayi Jaya**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CID002570</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CV Venus Inti Perkasa**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CID002455</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Dongguan CiEXPO Environmental Engineering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CID003356</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Dowa**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CID000402</w:t>
            </w:r>
          </w:p>
        </w:tc>
        <w:tc>
          <w:tcPr>
            <w:tcW w:w="0" w:type="dxa"/>
            <w:vAlign w:val="bottom"/>
          </w:tcPr>
          <w:p>
            <w:pPr>
              <w:spacing w:after="0"/>
              <w:rPr>
                <w:sz w:val="1"/>
                <w:szCs w:val="1"/>
                <w:color w:val="auto"/>
              </w:rPr>
            </w:pPr>
          </w:p>
        </w:tc>
      </w:tr>
      <w:tr>
        <w:trPr>
          <w:trHeight w:val="202"/>
        </w:trPr>
        <w:tc>
          <w:tcPr>
            <w:tcW w:w="168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22"/>
                <w:szCs w:val="22"/>
                <w:color w:val="auto"/>
                <w:w w:val="94"/>
              </w:rPr>
              <w:t>Electro-Mechanical Facility of the Cao Bang Minerals &amp; Metallurgy Joint</w:t>
            </w:r>
          </w:p>
        </w:tc>
        <w:tc>
          <w:tcPr>
            <w:tcW w:w="29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2"/>
                <w:szCs w:val="22"/>
                <w:color w:val="auto"/>
              </w:rPr>
              <w:t>CID002572</w:t>
            </w:r>
          </w:p>
        </w:tc>
        <w:tc>
          <w:tcPr>
            <w:tcW w:w="0" w:type="dxa"/>
            <w:vAlign w:val="bottom"/>
          </w:tcPr>
          <w:p>
            <w:pPr>
              <w:spacing w:after="0"/>
              <w:rPr>
                <w:sz w:val="1"/>
                <w:szCs w:val="1"/>
                <w:color w:val="auto"/>
              </w:rPr>
            </w:pPr>
          </w:p>
        </w:tc>
      </w:tr>
      <w:tr>
        <w:trPr>
          <w:trHeight w:val="166"/>
        </w:trPr>
        <w:tc>
          <w:tcPr>
            <w:tcW w:w="1680" w:type="dxa"/>
            <w:vAlign w:val="bottom"/>
            <w:tcBorders>
              <w:left w:val="single" w:sz="8" w:color="00000A"/>
              <w:right w:val="single" w:sz="8" w:color="00000A"/>
            </w:tcBorders>
            <w:vMerge w:val="continue"/>
          </w:tcPr>
          <w:p>
            <w:pPr>
              <w:spacing w:after="0"/>
              <w:rPr>
                <w:sz w:val="14"/>
                <w:szCs w:val="14"/>
                <w:color w:val="auto"/>
              </w:rPr>
            </w:pPr>
          </w:p>
        </w:tc>
        <w:tc>
          <w:tcPr>
            <w:tcW w:w="66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2"/>
                <w:szCs w:val="22"/>
                <w:color w:val="auto"/>
              </w:rPr>
              <w:t>Stock Company</w:t>
            </w:r>
          </w:p>
        </w:tc>
        <w:tc>
          <w:tcPr>
            <w:tcW w:w="2920" w:type="dxa"/>
            <w:vAlign w:val="bottom"/>
            <w:tcBorders>
              <w:right w:val="single" w:sz="8" w:color="00000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80" w:type="dxa"/>
            <w:vAlign w:val="bottom"/>
            <w:tcBorders>
              <w:left w:val="single" w:sz="8" w:color="00000A"/>
              <w:bottom w:val="single" w:sz="8" w:color="00000A"/>
              <w:right w:val="single" w:sz="8" w:color="00000A"/>
            </w:tcBorders>
          </w:tcPr>
          <w:p>
            <w:pPr>
              <w:spacing w:after="0"/>
              <w:rPr>
                <w:sz w:val="9"/>
                <w:szCs w:val="9"/>
                <w:color w:val="auto"/>
              </w:rPr>
            </w:pPr>
          </w:p>
        </w:tc>
        <w:tc>
          <w:tcPr>
            <w:tcW w:w="6660" w:type="dxa"/>
            <w:vAlign w:val="bottom"/>
            <w:tcBorders>
              <w:bottom w:val="single" w:sz="8" w:color="00000A"/>
              <w:right w:val="single" w:sz="8" w:color="00000A"/>
            </w:tcBorders>
            <w:vMerge w:val="continue"/>
          </w:tcPr>
          <w:p>
            <w:pPr>
              <w:spacing w:after="0"/>
              <w:rPr>
                <w:sz w:val="9"/>
                <w:szCs w:val="9"/>
                <w:color w:val="auto"/>
              </w:rPr>
            </w:pPr>
          </w:p>
        </w:tc>
        <w:tc>
          <w:tcPr>
            <w:tcW w:w="292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EM Vinto**</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CID000438</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Estanho de Rondonia 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CID000448</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Fenix Metals**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CID000468</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Gejiu City Fuxiang Industry and Trade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CID003410</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Gejiu Fengming Metallurgy Chemical Plant**</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CID002848</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Gejiu Kai Meng Industry and Trade LLC**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CID000942</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Gejiu Non-Ferrous Metal Processing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CID000538</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Gejiu Yunxin Nonferrous Electrolysis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CID001908</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Gejiu Zili Mining And Metallurgy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CID000555</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Guangdong Hanhe Non-Ferrous Metal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CID003116</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HuiChang Hill Tin Industry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CID002844</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Jiangxi New Nanshan Technology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CID001231</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Luna Smelter,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CID003387</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Ma'anshan Weitai Tin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CID003379</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Magnu's Minerais Metais e Ligas Ltda.**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CID002468</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Malaysia Smelting Corporation (MSC)**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CID001105</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Melt Metais e Ligas 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CID002500</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Metallic Resources, Inc.**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CID001142</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Metallo Belgium N.V.**</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CID002773</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Metallo Spain S.L.U.**</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CID002774</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Mineracao Taboca 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CID001173</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Minsur**</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CID001182</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Mitsubishi Materials Corporation**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CID001191</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Modeltech Sdn Bhd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CID002858</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Nghe Tinh Non-Ferrous Metals Joint Stock Company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CID002573</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Novosibirsk Processing Plant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CID001305</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O.M. Manufacturing (Thailand)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CID001314</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O.M. Manufacturing Philippines, Inc.**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CID002517</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Operaciones Metalurgicas 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CID001337</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Pongpipat Company Limited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CID003208</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Precious Minerals and Smelting Limited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CID003409</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Aries Kencana Sejahtera**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CID000309</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Artha Cipta Langgeng**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CID001399</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ATD Makmur Mandiri Jaya**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CID002503</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Babel Surya Alam Lestari**</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CID001406</w:t>
            </w:r>
          </w:p>
        </w:tc>
        <w:tc>
          <w:tcPr>
            <w:tcW w:w="0" w:type="dxa"/>
            <w:vAlign w:val="bottom"/>
          </w:tcPr>
          <w:p>
            <w:pPr>
              <w:spacing w:after="0"/>
              <w:rPr>
                <w:sz w:val="1"/>
                <w:szCs w:val="1"/>
                <w:color w:val="auto"/>
              </w:rPr>
            </w:pPr>
          </w:p>
        </w:tc>
      </w:tr>
    </w:tbl>
    <w:p>
      <w:pPr>
        <w:sectPr>
          <w:pgSz w:w="11900" w:h="16838" w:orient="portrait"/>
          <w:cols w:equalWidth="0" w:num="1">
            <w:col w:w="11260"/>
          </w:cols>
          <w:pgMar w:left="320" w:top="470" w:right="3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8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Bangka Serumpun**</w:t>
            </w:r>
          </w:p>
        </w:tc>
        <w:tc>
          <w:tcPr>
            <w:tcW w:w="29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CID003205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Lautan Harmonis Sejahtera**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CID002870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Menara Cipta Mulia**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CID002835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Mitra Stania Prima**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CID001453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Prima Timah Utama**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CID001458</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Rajawali Rimba Perkasa**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CID003381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Rajehan Ariq**</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CID002593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Refined Bangka Tin**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CID001460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Stanindo Inti Perkasa**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CID001468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Timah Nusantara**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CID001486</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Timah Tbk Kundur**</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CID001477</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Timah Tbk Mentok**</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CID001482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Tinindo Inter Nusa**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CID001490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Resind Industria e Comercio Ltda.**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CID002706</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Rui Da Hung**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CID001539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Soft Metais Ltda.**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CID001758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Super Ligas**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CID002756</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Thai Nguyen Mining and Metallurgy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CID002834</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Thaisarco**</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CID001898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Tin Technology &amp; Refining**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CID003325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Tuyen Quang Non-Ferrous Metals Joint Stock Company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CID002574</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VQB Mineral and Trading Group JSC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CID002015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White Solder Metalurgia e Mineracao Ltda.**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CID002036</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Yunnan Chengfeng Non-ferrous Metals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CID002158</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Yunnan Tin Company Limited**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CID002180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Yunnan Yunfan Non-ferrous Metals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CID003397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A.L.M.T. Corp.**</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CID000004</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ACL Metais Eireli**</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CID002833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Albasteel Industria e Comercio de Ligas Para Fundicao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CID003427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Asia Tungsten Products Vietnam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CID002502</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Chenzhou Diamond Tungsten Products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CID002513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China Molybdenum Tungsten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CID002641</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Chongyi Zhangyuan Tungsten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CID000258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CNMC (Guangxi) PGMA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CID000281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Cronimet Brasil Ltda**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CID003468</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Fujian Ganmin RareMetal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CID003401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Ganzhou Haichuang Tungsten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CID002645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Ganzhou Huaxing Tungsten Products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CID000875</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Ganzhou Jiangwu Ferrotungsten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CID002315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Ganzhou Seadragon W &amp; Mo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CID002494</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GEM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CID003417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Global Tungsten &amp; Powders Corp.**</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CID000568</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Guangdong Xianglu Tungsten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CID000218</w:t>
            </w:r>
          </w:p>
        </w:tc>
      </w:tr>
    </w:tbl>
    <w:p>
      <w:pPr>
        <w:sectPr>
          <w:pgSz w:w="11900" w:h="16838" w:orient="portrait"/>
          <w:cols w:equalWidth="0" w:num="1">
            <w:col w:w="11260"/>
          </w:cols>
          <w:pgMar w:left="320" w:top="471" w:right="3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8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H.C. Starck Tungsten GmbH**</w:t>
            </w:r>
          </w:p>
        </w:tc>
        <w:tc>
          <w:tcPr>
            <w:tcW w:w="29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CID002541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Hunan Chenzhou Mining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CID000766</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Hunan Chunchang Nonferrous Metals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CID000769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Hunan Litian Tungsten Industry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CID003182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Hydrometallurg, JSC**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CID002649</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Japan New Metals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CID000825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Jiangwu H.C. Starck Tungsten Products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CID002551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Jiangxi Gan Bei Tungsten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CID002321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Jiangxi Minmetals Gao'an Non-ferrous Metals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CID002313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Jiangxi Tonggu Non-ferrous Metallurgical &amp; Chemical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CID002318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Jiangxi Xinsheng Tungsten Industry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CID002317</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Jiangxi Yaosheng Tungsten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CID002316</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JSC "Kirovgrad Hard Alloys Plant"**</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CID003408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Kennametal Fallon**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CID000966</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Kennametal Huntsville**</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CID000105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KGETS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CID003388</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Lianyou Metals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CID003407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Malipo Haiyu Tungsten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CID002319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Masan High-Tech Materials**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CID002543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Moliren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CID002845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Niagara Refining LLC**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CID002589</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NPP Tyazhmetprom LLC**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CID003416</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Philippine Chuangxin Industrial Co., Inc.**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CID002827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TANIOBIS Smelting GmbH &amp; Co. KG**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CID002542</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Unecha Refractory metals plant**</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CID002724</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Wolfram Bergbau und Hutten AG**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CID002044</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Woltech Korea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CID002843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Xiamen Tungsten (H.C.)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CID002320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Xiamen Tungsten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CID002082</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Xinfeng Huarui Tungsten &amp; Molybdenum New Material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CID002830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8853 S.p.A.**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CID002763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Abington Reldan Metals, LLC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CID002708</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Advanced Chemical Company**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CID000015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African Gold Refinery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CID003185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Aida Chemical Industries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CID000019</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Al Etihad Gold Refinery DMCC**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CID002560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Allgemeine Gold-und Silberscheideanstalt A.G.**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CID000035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Almalyk Mining and Metallurgical Complex (AMMC)**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CID000041</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AngloGold Ashanti Corrego do Sitio Mineracao**</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CID000058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Argor-Heraeus 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CID000077</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Asahi Pretec Corp.**</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CID000082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Asahi Refining Canada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CID000924</w:t>
            </w:r>
          </w:p>
        </w:tc>
      </w:tr>
    </w:tbl>
    <w:p>
      <w:pPr>
        <w:sectPr>
          <w:pgSz w:w="11900" w:h="16838" w:orient="portrait"/>
          <w:cols w:equalWidth="0" w:num="1">
            <w:col w:w="11260"/>
          </w:cols>
          <w:pgMar w:left="320" w:top="471"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8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Asahi Refining USA Inc.**</w:t>
            </w:r>
          </w:p>
        </w:tc>
        <w:tc>
          <w:tcPr>
            <w:tcW w:w="29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CID000920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Asaka Riken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CID000090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Atasay Kuyumculuk Sanayi Ve Ticaret A.S.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CID000103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AU Traders and Refiners**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CID002850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Augmont Enterprises Private Limited**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CID003461</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Aurubis AG**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CID000113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Bangalore Refinery**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CID002863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Bangko Sentral ng Pilipinas (Central Bank of the Philippines)**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CID000128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Boliden AB**</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CID000157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 Hafner GmbH + Co. KG**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CID000176</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 Metales Procesados Industriales SAS**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CID003421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Caridad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CID000180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CCR Refinery - Glencore Canada Corporation**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CID000185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Cendres + Metaux 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CID000189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CGR Metalloys Pvt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CID003382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Chimet S.p.A.**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CID000233</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Chugai Mining**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CID000264</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Daye Non-Ferrous Metals Mining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CID000343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Degussa Sonne / Mond Goldhandel GmbH</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CID002867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Dijllah Gold Refinery FZC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CID003348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DODUCO Contacts and Refining GmbH**</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CID000362</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Dowa**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CID000401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DSC (Do Sung Corporation)**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CID000359</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Eco-System Recycling Co., Ltd. East Plant**</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CID000425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Eco-System Recycling Co., Ltd. North Plant**</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CID003424</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Eco-System Recycling Co., Ltd. West Plant**</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CID003425</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Emirates Gold DMCC**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CID002561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Fidelity Printers and Refiners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CID002515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Fujairah Gold FZC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CID002584</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GCC Gujrat Gold Centre Pvt.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CID002852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Geib Refining Corporation**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CID002459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Gold Coast Refinery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CID003186</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Gold Refinery of Zijin Mining Group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CID002243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Great Wall Precious Metals Co., Ltd. of CBPM</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CID001909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Guangdong Jinding Gold Limited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CID002312</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Guoda Safina High-Tech Environmental Refinery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CID000651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Hangzhou Fuchunjiang Smelting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CID000671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Heimerle + Meule GmbH**</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CID000694</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Heraeus Germany GmbH Co. KG**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CID000711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Heraeus Metals Hong Kong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CID000707</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Hunan Chenzhou Mining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CID000767</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Hunan Guiyang yinxing Nonferrous Smelting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CID000773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HwaSeong CJ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CID000778</w:t>
            </w:r>
          </w:p>
        </w:tc>
      </w:tr>
    </w:tbl>
    <w:p>
      <w:pPr>
        <w:sectPr>
          <w:pgSz w:w="11900" w:h="16838" w:orient="portrait"/>
          <w:cols w:equalWidth="0" w:num="1">
            <w:col w:w="11260"/>
          </w:cols>
          <w:pgMar w:left="320" w:top="471"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8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Industrial Refining Company</w:t>
            </w:r>
          </w:p>
        </w:tc>
        <w:tc>
          <w:tcPr>
            <w:tcW w:w="29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CID002587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Inner Mongolia Qiankun Gold and Silver Refinery Share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CID000801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International Precious Metal Refiners**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CID002562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Ishifuku Metal Industry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CID000807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Istanbul Gold Refinery**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CID000814</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Italpreziosi**</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CID002765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JALAN &amp; Company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CID002893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Japan Mint**</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CID000823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Jiangxi Copper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CID000855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JSC Ekaterinburg Non-Ferrous Metal Processing Plant</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CID000927</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JSC Novosibirsk Refinery**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CID000493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JSC Uralelectromed**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CID000929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JX Nippon Mining &amp; Metals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CID000937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K.A. Rasmussen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CID003497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Kaloti Precious Metals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CID002563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Kazakhmys Smelting LLC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CID000956</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Kazzinc**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CID000957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Kennecott Utah Copper LLC**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CID000969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KGHM Polska Miedz Spolka Akcyjna**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CID002511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Kojima Chemicals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CID000981</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Korea Zinc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CID002605</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Kundan Care Products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CID003463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Kyrgyzaltyn JSC**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CID001029</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Kyshtym Copper-Electrolytic Plant ZAO</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CID002865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L'azurde Company For Jewelry</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CID001032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Lingbao Gold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CID001056</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Lingbao Jinyuan Tonghui Refinery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CID001058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L'Orfebre 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CID002762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LS-NIKKO Copper Inc.**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CID001078</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LT Metal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CID000689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Luoyang Zijin Yinhui Gold Refinery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CID001093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Marsam Metals**</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CID002606</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Materion**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CID001113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Matsuda Sangyo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CID001119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Metalor Technologies (Hong Kong)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CID001149</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Metalor Technologies (Singapore) Pte.,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CID001152</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Metalor Technologies (Suzhou)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CID001147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Metalor Technologies 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CID001153</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Metalor USA Refining Corporation**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CID001157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Metalurgica Met-Mex Penoles S.A. De C.V.**</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CID001161</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Mitsui Mining and Smelting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CID001193</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MMTC-PAMP India Pvt.,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CID002509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Morris and Watson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CID002282</w:t>
            </w:r>
          </w:p>
        </w:tc>
      </w:tr>
    </w:tbl>
    <w:p>
      <w:pPr>
        <w:sectPr>
          <w:pgSz w:w="11900" w:h="16838" w:orient="portrait"/>
          <w:cols w:equalWidth="0" w:num="1">
            <w:col w:w="11260"/>
          </w:cols>
          <w:pgMar w:left="320" w:top="471" w:right="3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8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Moscow Special Alloys Processing Plant**</w:t>
            </w:r>
          </w:p>
        </w:tc>
        <w:tc>
          <w:tcPr>
            <w:tcW w:w="294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CID001204</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Nadir Metal Rafineri San. Ve Tic. A.S.**</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CID001220</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Navoi Mining and Metallurgical Combinat**</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CID001236</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NH Recytech Company</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CID003189</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Nihon Material Co.,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CID001259</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Ogussa Osterreichische Gold- und Silber-Scheideanstalt GmbH**</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CID002779</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Ohura Precious Metal Industry Co.,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CID001325</w:t>
            </w:r>
          </w:p>
        </w:tc>
        <w:tc>
          <w:tcPr>
            <w:tcW w:w="0" w:type="dxa"/>
            <w:vAlign w:val="bottom"/>
          </w:tcPr>
          <w:p>
            <w:pPr>
              <w:spacing w:after="0"/>
              <w:rPr>
                <w:sz w:val="1"/>
                <w:szCs w:val="1"/>
                <w:color w:val="auto"/>
              </w:rPr>
            </w:pPr>
          </w:p>
        </w:tc>
      </w:tr>
      <w:tr>
        <w:trPr>
          <w:trHeight w:val="202"/>
        </w:trPr>
        <w:tc>
          <w:tcPr>
            <w:tcW w:w="168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22"/>
                <w:szCs w:val="22"/>
                <w:color w:val="auto"/>
              </w:rPr>
              <w:t>OJSC "The Gulidov Krasnoyarsk Non-Ferrous Metals Plant" (OJSC</w:t>
            </w:r>
          </w:p>
        </w:tc>
        <w:tc>
          <w:tcPr>
            <w:tcW w:w="29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2"/>
                <w:szCs w:val="22"/>
                <w:color w:val="auto"/>
              </w:rPr>
              <w:t>CID001326</w:t>
            </w:r>
          </w:p>
        </w:tc>
        <w:tc>
          <w:tcPr>
            <w:tcW w:w="0" w:type="dxa"/>
            <w:vAlign w:val="bottom"/>
          </w:tcPr>
          <w:p>
            <w:pPr>
              <w:spacing w:after="0"/>
              <w:rPr>
                <w:sz w:val="1"/>
                <w:szCs w:val="1"/>
                <w:color w:val="auto"/>
              </w:rPr>
            </w:pPr>
          </w:p>
        </w:tc>
      </w:tr>
      <w:tr>
        <w:trPr>
          <w:trHeight w:val="166"/>
        </w:trPr>
        <w:tc>
          <w:tcPr>
            <w:tcW w:w="1680" w:type="dxa"/>
            <w:vAlign w:val="bottom"/>
            <w:tcBorders>
              <w:left w:val="single" w:sz="8" w:color="00000A"/>
              <w:right w:val="single" w:sz="8" w:color="00000A"/>
            </w:tcBorders>
            <w:vMerge w:val="continue"/>
          </w:tcPr>
          <w:p>
            <w:pPr>
              <w:spacing w:after="0"/>
              <w:rPr>
                <w:sz w:val="14"/>
                <w:szCs w:val="14"/>
                <w:color w:val="auto"/>
              </w:rPr>
            </w:pPr>
          </w:p>
        </w:tc>
        <w:tc>
          <w:tcPr>
            <w:tcW w:w="66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2"/>
                <w:szCs w:val="22"/>
                <w:color w:val="auto"/>
              </w:rPr>
              <w:t>Krastsvetmet)**</w:t>
            </w:r>
          </w:p>
        </w:tc>
        <w:tc>
          <w:tcPr>
            <w:tcW w:w="2940" w:type="dxa"/>
            <w:vAlign w:val="bottom"/>
            <w:tcBorders>
              <w:right w:val="single" w:sz="8" w:color="00000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80" w:type="dxa"/>
            <w:vAlign w:val="bottom"/>
            <w:tcBorders>
              <w:left w:val="single" w:sz="8" w:color="00000A"/>
              <w:bottom w:val="single" w:sz="8" w:color="00000A"/>
              <w:right w:val="single" w:sz="8" w:color="00000A"/>
            </w:tcBorders>
          </w:tcPr>
          <w:p>
            <w:pPr>
              <w:spacing w:after="0"/>
              <w:rPr>
                <w:sz w:val="9"/>
                <w:szCs w:val="9"/>
                <w:color w:val="auto"/>
              </w:rPr>
            </w:pPr>
          </w:p>
        </w:tc>
        <w:tc>
          <w:tcPr>
            <w:tcW w:w="6660" w:type="dxa"/>
            <w:vAlign w:val="bottom"/>
            <w:tcBorders>
              <w:bottom w:val="single" w:sz="8" w:color="00000A"/>
              <w:right w:val="single" w:sz="8" w:color="00000A"/>
            </w:tcBorders>
            <w:vMerge w:val="continue"/>
          </w:tcPr>
          <w:p>
            <w:pPr>
              <w:spacing w:after="0"/>
              <w:rPr>
                <w:sz w:val="9"/>
                <w:szCs w:val="9"/>
                <w:color w:val="auto"/>
              </w:rPr>
            </w:pPr>
          </w:p>
        </w:tc>
        <w:tc>
          <w:tcPr>
            <w:tcW w:w="294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PAMP S.A.**</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CID001352</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Pease &amp; Curren</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CID002872</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Penglai Penggang Gold Industry Co.,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CID001362</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Planta Recuperadora de Metales SpA**</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CID002919</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Prioksky Plant of Non-Ferrous Metals**</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CID001386</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PT Aneka Tambang (Persero) Tbk**</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CID001397</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PX Precinox S.A.**</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CID001498</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QG Refining, LLC</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CID003324</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Rand Refinery (Pty)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CID001512</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Refinery of Seemine Gold Co.,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CID000522</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REMONDIS PMR B.V.**</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CID002582</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Royal Canadian Mint**</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CID001534</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SAAMP**</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CID002761</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Sabin Metal Corp.</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CID001546</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Safimet S.p.A**</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CID002973</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SAFINA A.S.**</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CID002290</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Sai Refinery</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CID002853</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Samduck Precious Metals**</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CID001555</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Samwon Metals Corp.</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CID001562</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SAXONIA Edelmetalle GmbH**</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CID002777</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SEMPSA Joyeria Plateria S.A.**</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CID001585</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Shandong Gold Smelting Co.,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CID001916</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Shandong Humon Smelting Co.,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CID002525</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Shandong Tiancheng Biological Gold Industrial Co.,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CID001619</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Shandong Zhaojin Gold &amp; Silver Refinery Co.,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CID001622</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22"/>
                <w:szCs w:val="22"/>
                <w:color w:val="auto"/>
              </w:rPr>
              <w:t>Shenzhen Zhonghenglong Real Industry Co., Ltd.</w:t>
            </w:r>
          </w:p>
        </w:tc>
        <w:tc>
          <w:tcPr>
            <w:tcW w:w="294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22"/>
                <w:szCs w:val="22"/>
                <w:color w:val="auto"/>
              </w:rPr>
              <w:t>CID002527</w:t>
            </w:r>
          </w:p>
        </w:tc>
        <w:tc>
          <w:tcPr>
            <w:tcW w:w="0" w:type="dxa"/>
            <w:vAlign w:val="bottom"/>
          </w:tcPr>
          <w:p>
            <w:pPr>
              <w:spacing w:after="0"/>
              <w:rPr>
                <w:sz w:val="1"/>
                <w:szCs w:val="1"/>
                <w:color w:val="auto"/>
              </w:rPr>
            </w:pPr>
          </w:p>
        </w:tc>
      </w:tr>
      <w:tr>
        <w:trPr>
          <w:trHeight w:val="263"/>
        </w:trPr>
        <w:tc>
          <w:tcPr>
            <w:tcW w:w="1680" w:type="dxa"/>
            <w:vAlign w:val="bottom"/>
            <w:tcBorders>
              <w:left w:val="single" w:sz="8" w:color="auto"/>
              <w:bottom w:val="single" w:sz="8" w:color="auto"/>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22"/>
                <w:szCs w:val="22"/>
                <w:color w:val="auto"/>
              </w:rPr>
              <w:t>Shirpur Gold Refinery Ltd.</w:t>
            </w:r>
          </w:p>
        </w:tc>
        <w:tc>
          <w:tcPr>
            <w:tcW w:w="2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CID002588</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Sichuan Tianze Precious Metals Co.,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CID001736</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Singway Technology Co., Ltd.**</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CID002516</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SOE Shyolkovsky Factory of Secondary Precious Metals**</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CID001756</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Solar Applied Materials Technology Corp.**</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CID001761</w:t>
            </w:r>
          </w:p>
        </w:tc>
        <w:tc>
          <w:tcPr>
            <w:tcW w:w="0" w:type="dxa"/>
            <w:vAlign w:val="bottom"/>
          </w:tcPr>
          <w:p>
            <w:pPr>
              <w:spacing w:after="0"/>
              <w:rPr>
                <w:sz w:val="1"/>
                <w:szCs w:val="1"/>
                <w:color w:val="auto"/>
              </w:rPr>
            </w:pPr>
          </w:p>
        </w:tc>
      </w:tr>
      <w:tr>
        <w:trPr>
          <w:trHeight w:val="264"/>
        </w:trPr>
        <w:tc>
          <w:tcPr>
            <w:tcW w:w="168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22"/>
                <w:szCs w:val="22"/>
                <w:color w:val="auto"/>
              </w:rPr>
              <w:t>Sovereign Metals</w:t>
            </w:r>
          </w:p>
        </w:tc>
        <w:tc>
          <w:tcPr>
            <w:tcW w:w="294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22"/>
                <w:szCs w:val="22"/>
                <w:color w:val="auto"/>
              </w:rPr>
              <w:t>CID003383</w:t>
            </w:r>
          </w:p>
        </w:tc>
        <w:tc>
          <w:tcPr>
            <w:tcW w:w="0" w:type="dxa"/>
            <w:vAlign w:val="bottom"/>
          </w:tcPr>
          <w:p>
            <w:pPr>
              <w:spacing w:after="0"/>
              <w:rPr>
                <w:sz w:val="1"/>
                <w:szCs w:val="1"/>
                <w:color w:val="auto"/>
              </w:rPr>
            </w:pPr>
          </w:p>
        </w:tc>
      </w:tr>
      <w:tr>
        <w:trPr>
          <w:trHeight w:val="264"/>
        </w:trPr>
        <w:tc>
          <w:tcPr>
            <w:tcW w:w="1680" w:type="dxa"/>
            <w:vAlign w:val="bottom"/>
            <w:tcBorders>
              <w:left w:val="single" w:sz="8" w:color="auto"/>
              <w:bottom w:val="single" w:sz="8" w:color="auto"/>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22"/>
                <w:szCs w:val="22"/>
                <w:color w:val="auto"/>
                <w:w w:val="96"/>
              </w:rPr>
              <w:t>State Research Institute Center for Physical Sciences and Technology</w:t>
            </w:r>
          </w:p>
        </w:tc>
        <w:tc>
          <w:tcPr>
            <w:tcW w:w="2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CID003153</w:t>
            </w:r>
          </w:p>
        </w:tc>
        <w:tc>
          <w:tcPr>
            <w:tcW w:w="0" w:type="dxa"/>
            <w:vAlign w:val="bottom"/>
          </w:tcPr>
          <w:p>
            <w:pPr>
              <w:spacing w:after="0"/>
              <w:rPr>
                <w:sz w:val="1"/>
                <w:szCs w:val="1"/>
                <w:color w:val="auto"/>
              </w:rPr>
            </w:pPr>
          </w:p>
        </w:tc>
      </w:tr>
    </w:tbl>
    <w:p>
      <w:pPr>
        <w:sectPr>
          <w:pgSz w:w="11900" w:h="16838" w:orient="portrait"/>
          <w:cols w:equalWidth="0" w:num="1">
            <w:col w:w="11260"/>
          </w:cols>
          <w:pgMar w:left="320" w:top="471" w:right="3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80" w:type="dxa"/>
            <w:vAlign w:val="bottom"/>
            <w:tcBorders>
              <w:top w:val="single" w:sz="8" w:color="auto"/>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top w:val="single" w:sz="8" w:color="auto"/>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Sudan Gold Refinery</w:t>
            </w:r>
          </w:p>
        </w:tc>
        <w:tc>
          <w:tcPr>
            <w:tcW w:w="2920" w:type="dxa"/>
            <w:vAlign w:val="bottom"/>
            <w:tcBorders>
              <w:top w:val="single" w:sz="8" w:color="auto"/>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CID002567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Sumitomo Metal Mining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CID001798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SungEel HiMetal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CID002918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T.C.A S.p.A**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CID002580</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Tanaka Kikinzoku Kogyo K.K.**</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CID001875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Tokuriki Honten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CID001938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Tongling Nonferrous Metals Group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CID001947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TOO Tau-Ken-Altyn**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CID002615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Torecom**</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CID001955</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TSK Pretech**</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CID003195</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Umicore Precious Metals Thailand**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CID002314</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Umicore S.A. Business Unit Precious Metals Refining**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CID001980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United Precious Metal Refining, Inc.**</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CID001993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Valcambi S.A.**</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CID002003</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Value Trading</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CID003617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Western Australian Mint (T/a The Perth Mint)**</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CID002030</w:t>
            </w:r>
          </w:p>
        </w:tc>
      </w:tr>
      <w:tr>
        <w:trPr>
          <w:trHeight w:val="264"/>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WIELAND Edelmetalle GmbH**</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CID002778</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Yamakin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CID002100</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Yokohama Metal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CID002129</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Yunnan Copper Industry Co., Ltd.</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CID000197</w:t>
            </w:r>
          </w:p>
        </w:tc>
      </w:tr>
      <w:tr>
        <w:trPr>
          <w:trHeight w:val="263"/>
        </w:trPr>
        <w:tc>
          <w:tcPr>
            <w:tcW w:w="1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Zhongyuan Gold Smelter of Zhongjin Gold Corporation**</w:t>
            </w:r>
          </w:p>
        </w:tc>
        <w:tc>
          <w:tcPr>
            <w:tcW w:w="29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CID002224</w:t>
            </w:r>
          </w:p>
        </w:tc>
      </w:tr>
    </w:tbl>
    <w:p>
      <w:pPr>
        <w:spacing w:after="0" w:line="1" w:lineRule="exact"/>
        <w:rPr>
          <w:sz w:val="20"/>
          <w:szCs w:val="20"/>
          <w:color w:val="auto"/>
        </w:rPr>
      </w:pPr>
    </w:p>
    <w:sectPr>
      <w:pgSz w:w="11900" w:h="16838" w:orient="portrait"/>
      <w:cols w:equalWidth="0" w:num="1">
        <w:col w:w="11260"/>
      </w:cols>
      <w:pgMar w:left="320" w:top="47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9"/>
    </w:lvl>
  </w:abstractNum>
  <w:abstractNum w:abstractNumId="2">
    <w:nsid w:val="625558EC"/>
    <w:multiLevelType w:val="hybridMultilevel"/>
    <w:lvl w:ilvl="0">
      <w:lvlJc w:val="left"/>
      <w:lvlText w:val="%1."/>
      <w:numFmt w:val="upperLetter"/>
      <w:start w:val="35"/>
    </w:lvl>
  </w:abstractNum>
  <w:abstractNum w:abstractNumId="3">
    <w:nsid w:val="238E1F29"/>
    <w:multiLevelType w:val="hybridMultilevel"/>
    <w:lvl w:ilvl="0">
      <w:lvlJc w:val="left"/>
      <w:lvlText w:val="%1."/>
      <w:numFmt w:val="upperLetter"/>
      <w:start w:val="61"/>
    </w:lvl>
  </w:abstractNum>
  <w:abstractNum w:abstractNumId="4">
    <w:nsid w:val="46E87CCD"/>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2021-06-01T12:08:37Z</dcterms:created>
  <dcterms:modified xsi:type="dcterms:W3CDTF">2021-06-01T12:08:37Z</dcterms:modified>
</cp:coreProperties>
</file>