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2"/>
        </w:trPr>
        <w:tc>
          <w:tcPr>
            <w:tcW w:w="2160" w:type="dxa"/>
            <w:vAlign w:val="bottom"/>
          </w:tcPr>
          <w:p>
            <w:pPr>
              <w:spacing w:after="0"/>
              <w:rPr>
                <w:sz w:val="20"/>
                <w:szCs w:val="20"/>
                <w:color w:val="auto"/>
              </w:rPr>
            </w:pPr>
            <w:r>
              <w:rPr>
                <w:rFonts w:ascii="Arial" w:cs="Arial" w:eastAsia="Arial" w:hAnsi="Arial"/>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60" w:type="dxa"/>
            <w:vAlign w:val="bottom"/>
          </w:tcPr>
          <w:p>
            <w:pPr>
              <w:ind w:left="760"/>
              <w:spacing w:after="0"/>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04" w:lineRule="exact"/>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2160" w:type="dxa"/>
            <w:vAlign w:val="bottom"/>
          </w:tcPr>
          <w:p>
            <w:pPr>
              <w:spacing w:after="0"/>
              <w:rPr>
                <w:sz w:val="5"/>
                <w:szCs w:val="5"/>
                <w:color w:val="auto"/>
              </w:rPr>
            </w:pPr>
          </w:p>
        </w:tc>
        <w:tc>
          <w:tcPr>
            <w:tcW w:w="6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7" w:lineRule="exact"/>
              <w:rPr>
                <w:sz w:val="20"/>
                <w:szCs w:val="20"/>
                <w:color w:val="auto"/>
              </w:rPr>
            </w:pPr>
            <w:r>
              <w:rPr>
                <w:rFonts w:ascii="Arial" w:cs="Arial" w:eastAsia="Arial" w:hAnsi="Arial"/>
                <w:sz w:val="17"/>
                <w:szCs w:val="17"/>
                <w:b w:val="1"/>
                <w:bCs w:val="1"/>
                <w:color w:val="auto"/>
                <w:w w:val="97"/>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6962775</wp:posOffset>
            </wp:positionH>
            <wp:positionV relativeFrom="paragraph">
              <wp:posOffset>-486410</wp:posOffset>
            </wp:positionV>
            <wp:extent cx="6350" cy="487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87045"/>
                    </a:xfrm>
                    <a:prstGeom prst="rect">
                      <a:avLst/>
                    </a:prstGeom>
                    <a:noFill/>
                  </pic:spPr>
                </pic:pic>
              </a:graphicData>
            </a:graphic>
          </wp:anchor>
        </w:drawing>
        <w:drawing>
          <wp:anchor simplePos="0" relativeHeight="251657728" behindDoc="1" locked="0" layoutInCell="0" allowOverlap="1">
            <wp:simplePos x="0" y="0"/>
            <wp:positionH relativeFrom="column">
              <wp:posOffset>5627370</wp:posOffset>
            </wp:positionH>
            <wp:positionV relativeFrom="paragraph">
              <wp:posOffset>-492760</wp:posOffset>
            </wp:positionV>
            <wp:extent cx="6350" cy="493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93395"/>
                    </a:xfrm>
                    <a:prstGeom prst="rect">
                      <a:avLst/>
                    </a:prstGeom>
                    <a:noFill/>
                  </pic:spPr>
                </pic:pic>
              </a:graphicData>
            </a:graphic>
          </wp:anchor>
        </w:drawing>
        <w:drawing>
          <wp:anchor simplePos="0" relativeHeight="251657728" behindDoc="1" locked="0" layoutInCell="0" allowOverlap="1">
            <wp:simplePos x="0" y="0"/>
            <wp:positionH relativeFrom="column">
              <wp:posOffset>5647055</wp:posOffset>
            </wp:positionH>
            <wp:positionV relativeFrom="paragraph">
              <wp:posOffset>-473075</wp:posOffset>
            </wp:positionV>
            <wp:extent cx="1303020" cy="454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45402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6993890" cy="1401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1401445"/>
                    </a:xfrm>
                    <a:prstGeom prst="rect">
                      <a:avLst/>
                    </a:prstGeom>
                    <a:noFill/>
                  </pic:spPr>
                </pic:pic>
              </a:graphicData>
            </a:graphic>
          </wp:anchor>
        </w:drawing>
      </w:r>
    </w:p>
    <w:p>
      <w:pPr>
        <w:sectPr>
          <w:pgSz w:w="11900" w:h="16838" w:orient="portrait"/>
          <w:cols w:equalWidth="0" w:num="1">
            <w:col w:w="11020"/>
          </w:cols>
          <w:pgMar w:left="440" w:top="206"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10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60" w:type="dxa"/>
            <w:vAlign w:val="bottom"/>
            <w:gridSpan w:val="2"/>
            <w:vMerge w:val="restart"/>
          </w:tcPr>
          <w:p>
            <w:pPr>
              <w:ind w:left="2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Stapleton John P.</w:t>
              </w:r>
            </w:hyperlink>
          </w:p>
        </w:tc>
        <w:tc>
          <w:tcPr>
            <w:tcW w:w="1100" w:type="dxa"/>
            <w:vAlign w:val="bottom"/>
          </w:tcPr>
          <w:p>
            <w:pPr>
              <w:spacing w:after="0"/>
              <w:rPr>
                <w:sz w:val="8"/>
                <w:szCs w:val="8"/>
                <w:color w:val="auto"/>
              </w:rPr>
            </w:pPr>
          </w:p>
        </w:tc>
        <w:tc>
          <w:tcPr>
            <w:tcW w:w="1420" w:type="dxa"/>
            <w:vAlign w:val="bottom"/>
          </w:tcPr>
          <w:p>
            <w:pPr>
              <w:ind w:left="120"/>
              <w:spacing w:after="0" w:line="96"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2520" w:type="dxa"/>
            <w:vAlign w:val="bottom"/>
            <w:gridSpan w:val="2"/>
          </w:tcPr>
          <w:p>
            <w:pPr>
              <w:ind w:left="1220"/>
              <w:spacing w:after="0"/>
              <w:rPr>
                <w:sz w:val="20"/>
                <w:szCs w:val="20"/>
                <w:color w:val="auto"/>
              </w:rPr>
            </w:pPr>
            <w:r>
              <w:rPr>
                <w:rFonts w:ascii="Arial" w:cs="Arial" w:eastAsia="Arial" w:hAnsi="Arial"/>
                <w:sz w:val="13"/>
                <w:szCs w:val="13"/>
                <w:color w:val="0000FF"/>
              </w:rPr>
              <w:t>08/15/2020</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0"/>
                <w:szCs w:val="10"/>
                <w:color w:val="auto"/>
              </w:rPr>
              <w:t>(Last)</w:t>
            </w:r>
          </w:p>
        </w:tc>
        <w:tc>
          <w:tcPr>
            <w:tcW w:w="1220" w:type="dxa"/>
            <w:vAlign w:val="bottom"/>
          </w:tcPr>
          <w:p>
            <w:pPr>
              <w:ind w:left="24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6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60" w:type="dxa"/>
            <w:vAlign w:val="bottom"/>
            <w:gridSpan w:val="2"/>
          </w:tcPr>
          <w:p>
            <w:pPr>
              <w:ind w:left="20"/>
              <w:spacing w:after="0"/>
              <w:rPr>
                <w:sz w:val="20"/>
                <w:szCs w:val="20"/>
                <w:color w:val="auto"/>
              </w:rPr>
            </w:pPr>
            <w:r>
              <w:rPr>
                <w:rFonts w:ascii="Arial" w:cs="Arial" w:eastAsia="Arial" w:hAnsi="Arial"/>
                <w:sz w:val="13"/>
                <w:szCs w:val="13"/>
                <w:color w:val="0000FF"/>
              </w:rPr>
              <w:t>300 RENAISSANCE CENTER</w:t>
            </w: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60" w:type="dxa"/>
            <w:vAlign w:val="bottom"/>
            <w:gridSpan w:val="2"/>
          </w:tcPr>
          <w:p>
            <w:pPr>
              <w:ind w:left="20"/>
              <w:spacing w:after="0"/>
              <w:rPr>
                <w:sz w:val="20"/>
                <w:szCs w:val="20"/>
                <w:color w:val="auto"/>
              </w:rPr>
            </w:pPr>
            <w:r>
              <w:rPr>
                <w:rFonts w:ascii="Arial" w:cs="Arial" w:eastAsia="Arial" w:hAnsi="Arial"/>
                <w:sz w:val="13"/>
                <w:szCs w:val="13"/>
                <w:color w:val="0000FF"/>
              </w:rPr>
              <w:t>M/C: 482-C24-A68</w:t>
            </w: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86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0000FF"/>
              </w:rPr>
              <w:t>DETROIT</w:t>
            </w:r>
          </w:p>
        </w:tc>
        <w:tc>
          <w:tcPr>
            <w:tcW w:w="1220" w:type="dxa"/>
            <w:vAlign w:val="bottom"/>
          </w:tcPr>
          <w:p>
            <w:pPr>
              <w:ind w:left="240"/>
              <w:spacing w:after="0"/>
              <w:rPr>
                <w:sz w:val="20"/>
                <w:szCs w:val="20"/>
                <w:color w:val="auto"/>
              </w:rPr>
            </w:pPr>
            <w:r>
              <w:rPr>
                <w:rFonts w:ascii="Arial" w:cs="Arial" w:eastAsia="Arial" w:hAnsi="Arial"/>
                <w:sz w:val="13"/>
                <w:szCs w:val="13"/>
                <w:color w:val="0000FF"/>
              </w:rPr>
              <w:t>MI</w:t>
            </w:r>
          </w:p>
        </w:tc>
        <w:tc>
          <w:tcPr>
            <w:tcW w:w="1100" w:type="dxa"/>
            <w:vAlign w:val="bottom"/>
          </w:tcPr>
          <w:p>
            <w:pPr>
              <w:ind w:left="60"/>
              <w:spacing w:after="0"/>
              <w:rPr>
                <w:sz w:val="20"/>
                <w:szCs w:val="20"/>
                <w:color w:val="auto"/>
              </w:rPr>
            </w:pPr>
            <w:r>
              <w:rPr>
                <w:rFonts w:ascii="Arial" w:cs="Arial" w:eastAsia="Arial" w:hAnsi="Arial"/>
                <w:sz w:val="13"/>
                <w:szCs w:val="13"/>
                <w:color w:val="0000FF"/>
              </w:rPr>
              <w:t>48265</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9" w:lineRule="exact"/>
        <w:rPr>
          <w:sz w:val="24"/>
          <w:szCs w:val="24"/>
          <w:color w:val="auto"/>
        </w:rPr>
      </w:pPr>
    </w:p>
    <w:p>
      <w:pPr>
        <w:spacing w:after="0"/>
        <w:rPr>
          <w:rFonts w:ascii="Arial" w:cs="Arial" w:eastAsia="Arial" w:hAnsi="Arial"/>
          <w:sz w:val="17"/>
          <w:szCs w:val="17"/>
          <w:color w:val="0000EE"/>
        </w:rPr>
      </w:pPr>
      <w:hyperlink r:id="rId13">
        <w:r>
          <w:rPr>
            <w:rFonts w:ascii="Arial" w:cs="Arial" w:eastAsia="Arial" w:hAnsi="Arial"/>
            <w:sz w:val="17"/>
            <w:szCs w:val="17"/>
            <w:u w:val="single" w:color="auto"/>
            <w:color w:val="0000EE"/>
          </w:rPr>
          <w:t>General Motors Co</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3"/>
          <w:szCs w:val="13"/>
          <w:color w:val="0000FF"/>
        </w:rPr>
        <w:t>GM</w:t>
      </w:r>
      <w:r>
        <w:rPr>
          <w:rFonts w:ascii="Arial" w:cs="Arial" w:eastAsia="Arial" w:hAnsi="Arial"/>
          <w:sz w:val="17"/>
          <w:szCs w:val="17"/>
          <w:color w:val="0000EE"/>
        </w:rPr>
        <w:t xml:space="preserve"> </w:t>
      </w:r>
      <w:r>
        <w:rPr>
          <w:rFonts w:ascii="Arial" w:cs="Arial" w:eastAsia="Arial" w:hAnsi="Arial"/>
          <w:sz w:val="17"/>
          <w:szCs w:val="17"/>
          <w:color w:val="000000"/>
        </w:rPr>
        <w:t>]</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60" w:type="dxa"/>
            <w:vAlign w:val="bottom"/>
            <w:gridSpan w:val="3"/>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4"/>
        </w:trPr>
        <w:tc>
          <w:tcPr>
            <w:tcW w:w="170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1280" w:type="dxa"/>
            <w:vAlign w:val="bottom"/>
          </w:tcPr>
          <w:p>
            <w:pPr>
              <w:ind w:left="100"/>
              <w:spacing w:after="0" w:line="95" w:lineRule="exact"/>
              <w:rPr>
                <w:sz w:val="20"/>
                <w:szCs w:val="20"/>
                <w:color w:val="auto"/>
              </w:rPr>
            </w:pPr>
            <w:r>
              <w:rPr>
                <w:rFonts w:ascii="Arial" w:cs="Arial" w:eastAsia="Arial" w:hAnsi="Arial"/>
                <w:sz w:val="10"/>
                <w:szCs w:val="10"/>
                <w:color w:val="auto"/>
              </w:rPr>
              <w:t>Director</w:t>
            </w:r>
          </w:p>
        </w:tc>
        <w:tc>
          <w:tcPr>
            <w:tcW w:w="1560" w:type="dxa"/>
            <w:vAlign w:val="bottom"/>
          </w:tcPr>
          <w:p>
            <w:pPr>
              <w:ind w:left="420"/>
              <w:spacing w:after="0" w:line="95" w:lineRule="exact"/>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420" w:type="dxa"/>
            <w:vAlign w:val="bottom"/>
            <w:vMerge w:val="restart"/>
          </w:tcPr>
          <w:p>
            <w:pPr>
              <w:ind w:left="220"/>
              <w:spacing w:after="0"/>
              <w:rPr>
                <w:sz w:val="20"/>
                <w:szCs w:val="20"/>
                <w:color w:val="auto"/>
              </w:rPr>
            </w:pPr>
            <w:r>
              <w:rPr>
                <w:rFonts w:ascii="Arial" w:cs="Arial" w:eastAsia="Arial" w:hAnsi="Arial"/>
                <w:sz w:val="13"/>
                <w:szCs w:val="13"/>
                <w:color w:val="0000FF"/>
              </w:rPr>
              <w:t>X</w:t>
            </w:r>
          </w:p>
        </w:tc>
        <w:tc>
          <w:tcPr>
            <w:tcW w:w="1280" w:type="dxa"/>
            <w:vAlign w:val="bottom"/>
          </w:tcPr>
          <w:p>
            <w:pPr>
              <w:ind w:left="10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140" w:type="dxa"/>
            <w:vAlign w:val="bottom"/>
          </w:tcPr>
          <w:p>
            <w:pPr>
              <w:jc w:val="right"/>
              <w:spacing w:after="0"/>
              <w:rPr>
                <w:sz w:val="20"/>
                <w:szCs w:val="20"/>
                <w:color w:val="auto"/>
              </w:rPr>
            </w:pPr>
            <w:r>
              <w:rPr>
                <w:rFonts w:ascii="Arial" w:cs="Arial" w:eastAsia="Arial" w:hAnsi="Arial"/>
                <w:sz w:val="10"/>
                <w:szCs w:val="10"/>
                <w:color w:val="auto"/>
              </w:rPr>
              <w:t>6.</w:t>
            </w:r>
          </w:p>
        </w:tc>
        <w:tc>
          <w:tcPr>
            <w:tcW w:w="2600" w:type="dxa"/>
            <w:vAlign w:val="bottom"/>
            <w:gridSpan w:val="2"/>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82"/>
        </w:trPr>
        <w:tc>
          <w:tcPr>
            <w:tcW w:w="420" w:type="dxa"/>
            <w:vAlign w:val="bottom"/>
            <w:vMerge w:val="continue"/>
          </w:tcPr>
          <w:p>
            <w:pPr>
              <w:spacing w:after="0"/>
              <w:rPr>
                <w:sz w:val="7"/>
                <w:szCs w:val="7"/>
                <w:color w:val="auto"/>
              </w:rPr>
            </w:pPr>
          </w:p>
        </w:tc>
        <w:tc>
          <w:tcPr>
            <w:tcW w:w="1280" w:type="dxa"/>
            <w:vAlign w:val="bottom"/>
            <w:vMerge w:val="restart"/>
          </w:tcPr>
          <w:p>
            <w:pPr>
              <w:ind w:left="100"/>
              <w:spacing w:after="0"/>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vMerge w:val="restart"/>
          </w:tcPr>
          <w:p>
            <w:pPr>
              <w:ind w:left="80"/>
              <w:spacing w:after="0"/>
              <w:rPr>
                <w:sz w:val="20"/>
                <w:szCs w:val="20"/>
                <w:color w:val="auto"/>
              </w:rPr>
            </w:pPr>
            <w:r>
              <w:rPr>
                <w:rFonts w:ascii="Arial" w:cs="Arial" w:eastAsia="Arial" w:hAnsi="Arial"/>
                <w:sz w:val="13"/>
                <w:szCs w:val="13"/>
                <w:color w:val="0000FF"/>
              </w:rPr>
              <w:t>X</w:t>
            </w:r>
          </w:p>
        </w:tc>
        <w:tc>
          <w:tcPr>
            <w:tcW w:w="2340" w:type="dxa"/>
            <w:vAlign w:val="bottom"/>
            <w:vMerge w:val="restart"/>
          </w:tcPr>
          <w:p>
            <w:pPr>
              <w:ind w:left="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78"/>
        </w:trPr>
        <w:tc>
          <w:tcPr>
            <w:tcW w:w="4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2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1480" w:type="dxa"/>
        <w:tblCellMar>
          <w:top w:w="0" w:type="dxa"/>
          <w:left w:w="0" w:type="dxa"/>
          <w:bottom w:w="0" w:type="dxa"/>
          <w:right w:w="0" w:type="dxa"/>
        </w:tblCellMar>
      </w:tblPr>
      <w:tr>
        <w:trPr>
          <w:trHeight w:val="161"/>
        </w:trPr>
        <w:tc>
          <w:tcPr>
            <w:tcW w:w="1260" w:type="dxa"/>
            <w:vAlign w:val="bottom"/>
          </w:tcPr>
          <w:p>
            <w:pPr>
              <w:spacing w:after="0"/>
              <w:rPr>
                <w:sz w:val="20"/>
                <w:szCs w:val="20"/>
                <w:color w:val="auto"/>
              </w:rPr>
            </w:pPr>
            <w:r>
              <w:rPr>
                <w:rFonts w:ascii="Arial" w:cs="Arial" w:eastAsia="Arial" w:hAnsi="Arial"/>
                <w:sz w:val="13"/>
                <w:szCs w:val="13"/>
                <w:color w:val="0000FF"/>
              </w:rPr>
              <w:t>CFO</w:t>
            </w:r>
          </w:p>
        </w:tc>
        <w:tc>
          <w:tcPr>
            <w:tcW w:w="3160" w:type="dxa"/>
            <w:vAlign w:val="bottom"/>
            <w:vMerge w:val="restart"/>
          </w:tcPr>
          <w:p>
            <w:pPr>
              <w:ind w:left="10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30"/>
        </w:trPr>
        <w:tc>
          <w:tcPr>
            <w:tcW w:w="1260" w:type="dxa"/>
            <w:vAlign w:val="bottom"/>
          </w:tcPr>
          <w:p>
            <w:pPr>
              <w:spacing w:after="0"/>
              <w:rPr>
                <w:sz w:val="2"/>
                <w:szCs w:val="2"/>
                <w:color w:val="auto"/>
              </w:rPr>
            </w:pPr>
          </w:p>
        </w:tc>
        <w:tc>
          <w:tcPr>
            <w:tcW w:w="3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5" w:lineRule="exact"/>
        <w:rPr>
          <w:sz w:val="24"/>
          <w:szCs w:val="24"/>
          <w:color w:val="auto"/>
        </w:rPr>
      </w:pPr>
    </w:p>
    <w:p>
      <w:pPr>
        <w:sectPr>
          <w:pgSz w:w="11900" w:h="16838" w:orient="portrait"/>
          <w:cols w:equalWidth="0" w:num="2">
            <w:col w:w="4660" w:space="340"/>
            <w:col w:w="6020"/>
          </w:cols>
          <w:pgMar w:left="440" w:top="206" w:right="439" w:bottom="1440" w:gutter="0" w:footer="0" w:header="0"/>
          <w:type w:val="continuous"/>
        </w:sectPr>
      </w:pPr>
    </w:p>
    <w:p>
      <w:pPr>
        <w:spacing w:after="0" w:line="5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993890" cy="63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3890" cy="63182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36"/>
        </w:trPr>
        <w:tc>
          <w:tcPr>
            <w:tcW w:w="31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1"/>
                <w:szCs w:val="11"/>
                <w:color w:val="auto"/>
              </w:rPr>
            </w:pPr>
          </w:p>
        </w:tc>
      </w:tr>
      <w:tr>
        <w:trPr>
          <w:trHeight w:val="33"/>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tcPr>
          <w:p>
            <w:pPr>
              <w:ind w:left="720"/>
              <w:spacing w:after="0"/>
              <w:rPr>
                <w:sz w:val="20"/>
                <w:szCs w:val="20"/>
                <w:color w:val="auto"/>
              </w:rPr>
            </w:pPr>
            <w:r>
              <w:rPr>
                <w:rFonts w:ascii="Arial" w:cs="Arial" w:eastAsia="Arial" w:hAnsi="Arial"/>
                <w:sz w:val="13"/>
                <w:szCs w:val="13"/>
                <w:color w:val="0000FF"/>
              </w:rPr>
              <w:t>21,388</w:t>
            </w:r>
          </w:p>
        </w:tc>
        <w:tc>
          <w:tcPr>
            <w:tcW w:w="640" w:type="dxa"/>
            <w:vAlign w:val="bottom"/>
          </w:tcPr>
          <w:p>
            <w:pPr>
              <w:ind w:left="36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40" w:type="dxa"/>
            <w:vAlign w:val="bottom"/>
            <w:tcBorders>
              <w:bottom w:val="single" w:sz="8" w:color="2C2C2C"/>
            </w:tcBorders>
            <w:gridSpan w:val="3"/>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29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344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820" w:type="dxa"/>
            <w:vAlign w:val="bottom"/>
            <w:gridSpan w:val="5"/>
          </w:tcPr>
          <w:p>
            <w:pPr>
              <w:ind w:left="70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9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4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74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86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Conversion</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or Exercise</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40"/>
              <w:spacing w:after="0" w:line="114" w:lineRule="exact"/>
              <w:rPr>
                <w:sz w:val="20"/>
                <w:szCs w:val="20"/>
                <w:color w:val="auto"/>
              </w:rPr>
            </w:pPr>
            <w:r>
              <w:rPr>
                <w:rFonts w:ascii="Arial" w:cs="Arial" w:eastAsia="Arial" w:hAnsi="Arial"/>
                <w:sz w:val="10"/>
                <w:szCs w:val="10"/>
                <w:b w:val="1"/>
                <w:bCs w:val="1"/>
                <w:color w:val="auto"/>
              </w:rPr>
              <w:t>Price of</w:t>
            </w:r>
          </w:p>
        </w:tc>
        <w:tc>
          <w:tcPr>
            <w:tcW w:w="86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64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40"/>
              <w:spacing w:after="0" w:line="106" w:lineRule="exact"/>
              <w:rPr>
                <w:sz w:val="20"/>
                <w:szCs w:val="20"/>
                <w:color w:val="auto"/>
              </w:rPr>
            </w:pPr>
            <w:r>
              <w:rPr>
                <w:rFonts w:ascii="Arial" w:cs="Arial" w:eastAsia="Arial" w:hAnsi="Arial"/>
                <w:sz w:val="10"/>
                <w:szCs w:val="10"/>
                <w:b w:val="1"/>
                <w:bCs w:val="1"/>
                <w:color w:val="auto"/>
              </w:rPr>
              <w:t>Derivative</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21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Security</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40" w:type="dxa"/>
            <w:vAlign w:val="bottom"/>
            <w:vMerge w:val="continue"/>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9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Restricted Stock Units</w:t>
            </w:r>
            <w:r>
              <w:rPr>
                <w:rFonts w:ascii="Arial" w:cs="Arial" w:eastAsia="Arial" w:hAnsi="Arial"/>
                <w:sz w:val="17"/>
                <w:szCs w:val="17"/>
                <w:color w:val="008000"/>
                <w:vertAlign w:val="superscript"/>
              </w:rPr>
              <w:t>(1)</w:t>
            </w:r>
          </w:p>
        </w:tc>
        <w:tc>
          <w:tcPr>
            <w:tcW w:w="1420" w:type="dxa"/>
            <w:vAlign w:val="bottom"/>
            <w:tcBorders>
              <w:bottom w:val="single" w:sz="8" w:color="2C2C2C"/>
            </w:tcBorders>
            <w:gridSpan w:val="2"/>
          </w:tcPr>
          <w:p>
            <w:pPr>
              <w:jc w:val="right"/>
              <w:ind w:right="226"/>
              <w:spacing w:after="0"/>
              <w:rPr>
                <w:sz w:val="20"/>
                <w:szCs w:val="20"/>
                <w:color w:val="auto"/>
              </w:rPr>
            </w:pPr>
            <w:r>
              <w:rPr>
                <w:rFonts w:ascii="Arial" w:cs="Arial" w:eastAsia="Arial" w:hAnsi="Arial"/>
                <w:sz w:val="9"/>
                <w:szCs w:val="9"/>
                <w:color w:val="008000"/>
              </w:rPr>
              <w:t>(1)</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9"/>
                <w:szCs w:val="9"/>
                <w:color w:val="008000"/>
                <w:w w:val="90"/>
              </w:rPr>
              <w:t>(1)</w:t>
            </w:r>
          </w:p>
        </w:tc>
        <w:tc>
          <w:tcPr>
            <w:tcW w:w="2140" w:type="dxa"/>
            <w:vAlign w:val="bottom"/>
            <w:tcBorders>
              <w:bottom w:val="single" w:sz="8" w:color="2C2C2C"/>
            </w:tcBorders>
          </w:tcPr>
          <w:p>
            <w:pPr>
              <w:ind w:left="640"/>
              <w:spacing w:after="0"/>
              <w:rPr>
                <w:sz w:val="20"/>
                <w:szCs w:val="20"/>
                <w:color w:val="auto"/>
              </w:rPr>
            </w:pPr>
            <w:r>
              <w:rPr>
                <w:rFonts w:ascii="Arial" w:cs="Arial" w:eastAsia="Arial" w:hAnsi="Arial"/>
                <w:sz w:val="13"/>
                <w:szCs w:val="13"/>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5"/>
              </w:rPr>
              <w:t>18,799</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8"/>
              </w:rPr>
              <w:t>0.0</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Employee Stock Option (Right to Buy)</w:t>
            </w:r>
            <w:r>
              <w:rPr>
                <w:rFonts w:ascii="Arial" w:cs="Arial" w:eastAsia="Arial" w:hAnsi="Arial"/>
                <w:sz w:val="17"/>
                <w:szCs w:val="17"/>
                <w:color w:val="008000"/>
                <w:vertAlign w:val="superscript"/>
              </w:rPr>
              <w:t>(2)</w:t>
            </w:r>
          </w:p>
        </w:tc>
        <w:tc>
          <w:tcPr>
            <w:tcW w:w="1420" w:type="dxa"/>
            <w:vAlign w:val="bottom"/>
            <w:tcBorders>
              <w:bottom w:val="single" w:sz="8" w:color="2C2C2C"/>
            </w:tcBorders>
            <w:gridSpan w:val="2"/>
          </w:tcPr>
          <w:p>
            <w:pPr>
              <w:jc w:val="right"/>
              <w:ind w:right="226"/>
              <w:spacing w:after="0"/>
              <w:rPr>
                <w:sz w:val="20"/>
                <w:szCs w:val="20"/>
                <w:color w:val="auto"/>
              </w:rPr>
            </w:pPr>
            <w:r>
              <w:rPr>
                <w:rFonts w:ascii="Arial" w:cs="Arial" w:eastAsia="Arial" w:hAnsi="Arial"/>
                <w:sz w:val="9"/>
                <w:szCs w:val="9"/>
                <w:color w:val="008000"/>
              </w:rPr>
              <w:t>(2)</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07/28/2025</w:t>
            </w:r>
          </w:p>
        </w:tc>
        <w:tc>
          <w:tcPr>
            <w:tcW w:w="2140" w:type="dxa"/>
            <w:vAlign w:val="bottom"/>
            <w:tcBorders>
              <w:bottom w:val="single" w:sz="8" w:color="2C2C2C"/>
            </w:tcBorders>
          </w:tcPr>
          <w:p>
            <w:pPr>
              <w:ind w:left="640"/>
              <w:spacing w:after="0"/>
              <w:rPr>
                <w:sz w:val="20"/>
                <w:szCs w:val="20"/>
                <w:color w:val="auto"/>
              </w:rPr>
            </w:pPr>
            <w:r>
              <w:rPr>
                <w:rFonts w:ascii="Arial" w:cs="Arial" w:eastAsia="Arial" w:hAnsi="Arial"/>
                <w:sz w:val="13"/>
                <w:szCs w:val="13"/>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5"/>
              </w:rPr>
              <w:t>68,329</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31.32</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Employee Stock Option (Right to Buy)</w:t>
            </w:r>
            <w:r>
              <w:rPr>
                <w:rFonts w:ascii="Arial" w:cs="Arial" w:eastAsia="Arial" w:hAnsi="Arial"/>
                <w:sz w:val="17"/>
                <w:szCs w:val="17"/>
                <w:color w:val="008000"/>
                <w:vertAlign w:val="superscript"/>
              </w:rPr>
              <w:t>(3)</w:t>
            </w:r>
          </w:p>
        </w:tc>
        <w:tc>
          <w:tcPr>
            <w:tcW w:w="1420" w:type="dxa"/>
            <w:vAlign w:val="bottom"/>
            <w:tcBorders>
              <w:bottom w:val="single" w:sz="8" w:color="2C2C2C"/>
            </w:tcBorders>
            <w:gridSpan w:val="2"/>
          </w:tcPr>
          <w:p>
            <w:pPr>
              <w:jc w:val="right"/>
              <w:ind w:right="226"/>
              <w:spacing w:after="0"/>
              <w:rPr>
                <w:sz w:val="20"/>
                <w:szCs w:val="20"/>
                <w:color w:val="auto"/>
              </w:rPr>
            </w:pPr>
            <w:r>
              <w:rPr>
                <w:rFonts w:ascii="Arial" w:cs="Arial" w:eastAsia="Arial" w:hAnsi="Arial"/>
                <w:sz w:val="9"/>
                <w:szCs w:val="9"/>
                <w:color w:val="008000"/>
              </w:rPr>
              <w:t>(3)</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06/07/2027</w:t>
            </w:r>
          </w:p>
        </w:tc>
        <w:tc>
          <w:tcPr>
            <w:tcW w:w="2140" w:type="dxa"/>
            <w:vAlign w:val="bottom"/>
            <w:tcBorders>
              <w:bottom w:val="single" w:sz="8" w:color="2C2C2C"/>
            </w:tcBorders>
          </w:tcPr>
          <w:p>
            <w:pPr>
              <w:ind w:left="640"/>
              <w:spacing w:after="0"/>
              <w:rPr>
                <w:sz w:val="20"/>
                <w:szCs w:val="20"/>
                <w:color w:val="auto"/>
              </w:rPr>
            </w:pPr>
            <w:r>
              <w:rPr>
                <w:rFonts w:ascii="Arial" w:cs="Arial" w:eastAsia="Arial" w:hAnsi="Arial"/>
                <w:sz w:val="13"/>
                <w:szCs w:val="13"/>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5"/>
              </w:rPr>
              <w:t>36,898</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34.34</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Employee Stock Option (Right to Buy)</w:t>
            </w:r>
            <w:r>
              <w:rPr>
                <w:rFonts w:ascii="Arial" w:cs="Arial" w:eastAsia="Arial" w:hAnsi="Arial"/>
                <w:sz w:val="17"/>
                <w:szCs w:val="17"/>
                <w:color w:val="008000"/>
                <w:vertAlign w:val="superscript"/>
              </w:rPr>
              <w:t>(4)</w:t>
            </w:r>
          </w:p>
        </w:tc>
        <w:tc>
          <w:tcPr>
            <w:tcW w:w="1420" w:type="dxa"/>
            <w:vAlign w:val="bottom"/>
            <w:tcBorders>
              <w:bottom w:val="single" w:sz="8" w:color="2C2C2C"/>
            </w:tcBorders>
            <w:gridSpan w:val="2"/>
          </w:tcPr>
          <w:p>
            <w:pPr>
              <w:jc w:val="right"/>
              <w:ind w:right="226"/>
              <w:spacing w:after="0"/>
              <w:rPr>
                <w:sz w:val="20"/>
                <w:szCs w:val="20"/>
                <w:color w:val="auto"/>
              </w:rPr>
            </w:pPr>
            <w:r>
              <w:rPr>
                <w:rFonts w:ascii="Arial" w:cs="Arial" w:eastAsia="Arial" w:hAnsi="Arial"/>
                <w:sz w:val="9"/>
                <w:szCs w:val="9"/>
                <w:color w:val="008000"/>
              </w:rPr>
              <w:t>(4)</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02/11/2028</w:t>
            </w:r>
          </w:p>
        </w:tc>
        <w:tc>
          <w:tcPr>
            <w:tcW w:w="2140" w:type="dxa"/>
            <w:vAlign w:val="bottom"/>
            <w:tcBorders>
              <w:bottom w:val="single" w:sz="8" w:color="2C2C2C"/>
            </w:tcBorders>
          </w:tcPr>
          <w:p>
            <w:pPr>
              <w:ind w:left="640"/>
              <w:spacing w:after="0"/>
              <w:rPr>
                <w:sz w:val="20"/>
                <w:szCs w:val="20"/>
                <w:color w:val="auto"/>
              </w:rPr>
            </w:pPr>
            <w:r>
              <w:rPr>
                <w:rFonts w:ascii="Arial" w:cs="Arial" w:eastAsia="Arial" w:hAnsi="Arial"/>
                <w:sz w:val="13"/>
                <w:szCs w:val="13"/>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5"/>
              </w:rPr>
              <w:t>22,193</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4"/>
              </w:rPr>
              <w:t>41.4</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Employee Stock Option (Right to Buy)</w:t>
            </w:r>
            <w:r>
              <w:rPr>
                <w:rFonts w:ascii="Arial" w:cs="Arial" w:eastAsia="Arial" w:hAnsi="Arial"/>
                <w:sz w:val="17"/>
                <w:szCs w:val="17"/>
                <w:color w:val="008000"/>
                <w:vertAlign w:val="superscript"/>
              </w:rPr>
              <w:t>(5)</w:t>
            </w:r>
          </w:p>
        </w:tc>
        <w:tc>
          <w:tcPr>
            <w:tcW w:w="1420" w:type="dxa"/>
            <w:vAlign w:val="bottom"/>
            <w:tcBorders>
              <w:bottom w:val="single" w:sz="8" w:color="2C2C2C"/>
            </w:tcBorders>
            <w:gridSpan w:val="2"/>
          </w:tcPr>
          <w:p>
            <w:pPr>
              <w:jc w:val="right"/>
              <w:ind w:right="226"/>
              <w:spacing w:after="0"/>
              <w:rPr>
                <w:sz w:val="20"/>
                <w:szCs w:val="20"/>
                <w:color w:val="auto"/>
              </w:rPr>
            </w:pPr>
            <w:r>
              <w:rPr>
                <w:rFonts w:ascii="Arial" w:cs="Arial" w:eastAsia="Arial" w:hAnsi="Arial"/>
                <w:sz w:val="9"/>
                <w:szCs w:val="9"/>
                <w:color w:val="008000"/>
              </w:rPr>
              <w:t>(5)</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02/13/2029</w:t>
            </w:r>
          </w:p>
        </w:tc>
        <w:tc>
          <w:tcPr>
            <w:tcW w:w="2140" w:type="dxa"/>
            <w:vAlign w:val="bottom"/>
            <w:tcBorders>
              <w:bottom w:val="single" w:sz="8" w:color="2C2C2C"/>
            </w:tcBorders>
          </w:tcPr>
          <w:p>
            <w:pPr>
              <w:ind w:left="640"/>
              <w:spacing w:after="0"/>
              <w:rPr>
                <w:sz w:val="20"/>
                <w:szCs w:val="20"/>
                <w:color w:val="auto"/>
              </w:rPr>
            </w:pPr>
            <w:r>
              <w:rPr>
                <w:rFonts w:ascii="Arial" w:cs="Arial" w:eastAsia="Arial" w:hAnsi="Arial"/>
                <w:sz w:val="13"/>
                <w:szCs w:val="13"/>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5"/>
              </w:rPr>
              <w:t>30,000</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2"/>
              </w:rPr>
              <w:t>39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2C2C2C"/>
            </w:tcBorders>
          </w:tcPr>
          <w:p>
            <w:pPr>
              <w:spacing w:after="0"/>
              <w:rPr>
                <w:sz w:val="21"/>
                <w:szCs w:val="21"/>
                <w:color w:val="auto"/>
              </w:rPr>
            </w:pPr>
          </w:p>
        </w:tc>
        <w:tc>
          <w:tcPr>
            <w:tcW w:w="29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Employee Stock Option (Right to Buy)</w:t>
            </w:r>
            <w:r>
              <w:rPr>
                <w:rFonts w:ascii="Arial" w:cs="Arial" w:eastAsia="Arial" w:hAnsi="Arial"/>
                <w:sz w:val="17"/>
                <w:szCs w:val="17"/>
                <w:color w:val="008000"/>
                <w:vertAlign w:val="superscript"/>
              </w:rPr>
              <w:t>(6)</w:t>
            </w:r>
          </w:p>
        </w:tc>
        <w:tc>
          <w:tcPr>
            <w:tcW w:w="1420" w:type="dxa"/>
            <w:vAlign w:val="bottom"/>
            <w:tcBorders>
              <w:bottom w:val="single" w:sz="8" w:color="2C2C2C"/>
            </w:tcBorders>
            <w:gridSpan w:val="2"/>
          </w:tcPr>
          <w:p>
            <w:pPr>
              <w:jc w:val="right"/>
              <w:ind w:right="226"/>
              <w:spacing w:after="0"/>
              <w:rPr>
                <w:sz w:val="20"/>
                <w:szCs w:val="20"/>
                <w:color w:val="auto"/>
              </w:rPr>
            </w:pPr>
            <w:r>
              <w:rPr>
                <w:rFonts w:ascii="Arial" w:cs="Arial" w:eastAsia="Arial" w:hAnsi="Arial"/>
                <w:sz w:val="9"/>
                <w:szCs w:val="9"/>
                <w:color w:val="008000"/>
              </w:rPr>
              <w:t>(6)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02/12/2030</w:t>
            </w:r>
          </w:p>
        </w:tc>
        <w:tc>
          <w:tcPr>
            <w:tcW w:w="2140" w:type="dxa"/>
            <w:vAlign w:val="bottom"/>
            <w:tcBorders>
              <w:bottom w:val="single" w:sz="8" w:color="2C2C2C"/>
            </w:tcBorders>
          </w:tcPr>
          <w:p>
            <w:pPr>
              <w:ind w:left="640"/>
              <w:spacing w:after="0"/>
              <w:rPr>
                <w:sz w:val="20"/>
                <w:szCs w:val="20"/>
                <w:color w:val="auto"/>
              </w:rPr>
            </w:pPr>
            <w:r>
              <w:rPr>
                <w:rFonts w:ascii="Arial" w:cs="Arial" w:eastAsia="Arial" w:hAnsi="Arial"/>
                <w:sz w:val="13"/>
                <w:szCs w:val="13"/>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5"/>
              </w:rPr>
              <w:t>44,643</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35.49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4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-1965960</wp:posOffset>
            </wp:positionV>
            <wp:extent cx="6993890" cy="1868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890" cy="1868805"/>
                    </a:xfrm>
                    <a:prstGeom prst="rect">
                      <a:avLst/>
                    </a:prstGeom>
                    <a:noFill/>
                  </pic:spPr>
                </pic:pic>
              </a:graphicData>
            </a:graphic>
          </wp:anchor>
        </w:drawing>
      </w:r>
    </w:p>
    <w:p>
      <w:pPr>
        <w:spacing w:after="0" w:line="5" w:lineRule="exact"/>
        <w:rPr>
          <w:sz w:val="24"/>
          <w:szCs w:val="24"/>
          <w:color w:val="auto"/>
        </w:rPr>
      </w:pPr>
    </w:p>
    <w:p>
      <w:pPr>
        <w:ind w:left="40" w:right="260" w:hanging="6"/>
        <w:spacing w:after="0" w:line="269" w:lineRule="auto"/>
        <w:tabs>
          <w:tab w:leader="none" w:pos="14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Restricted Stock Units ("RSUs") reported in this item were awarded pursuant to the Company's 2017 Long-Term Incentive Plan. Of these RSUs, 1,255 will vest on April 1, 2021, and 17,544 will vest on October 1, 2021. Upon vesting, the RSUs will be settled in shares of the Company's common stock.</w:t>
      </w:r>
    </w:p>
    <w:p>
      <w:pPr>
        <w:spacing w:after="0" w:line="11" w:lineRule="exact"/>
        <w:rPr>
          <w:rFonts w:ascii="Arial" w:cs="Arial" w:eastAsia="Arial" w:hAnsi="Arial"/>
          <w:sz w:val="10"/>
          <w:szCs w:val="10"/>
          <w:color w:val="008000"/>
        </w:rPr>
      </w:pPr>
    </w:p>
    <w:p>
      <w:pPr>
        <w:ind w:left="40" w:right="180" w:hanging="6"/>
        <w:spacing w:after="0" w:line="269" w:lineRule="auto"/>
        <w:tabs>
          <w:tab w:leader="none" w:pos="14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Stock Options were granted on July 28, 2015, under the Company's 2014 Long-Term Incentive Plan. Forty percent of the options became exercisable on February 15, 2017; the remaining 60% became exercisable in three equal installments on February 15, 2018, February 15, 2019, and February 15, 2020.</w:t>
      </w:r>
    </w:p>
    <w:p>
      <w:pPr>
        <w:spacing w:after="0" w:line="11" w:lineRule="exact"/>
        <w:rPr>
          <w:rFonts w:ascii="Arial" w:cs="Arial" w:eastAsia="Arial" w:hAnsi="Arial"/>
          <w:sz w:val="10"/>
          <w:szCs w:val="10"/>
          <w:color w:val="008000"/>
        </w:rPr>
      </w:pPr>
    </w:p>
    <w:p>
      <w:pPr>
        <w:ind w:left="40" w:right="380" w:hanging="6"/>
        <w:spacing w:after="0" w:line="269" w:lineRule="auto"/>
        <w:tabs>
          <w:tab w:leader="none" w:pos="14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Stock Options were granted on June 7, 2017, under the Company's 2017 Long-Term Incentive Plan. The Options became exercisable in three equal installments. One-third became exercisable on February 14, 2018; one-third became exercisable on February 14, 2019; and one-third became exercisable February 14, 2020.</w:t>
      </w:r>
    </w:p>
    <w:p>
      <w:pPr>
        <w:spacing w:after="0" w:line="11" w:lineRule="exact"/>
        <w:rPr>
          <w:rFonts w:ascii="Arial" w:cs="Arial" w:eastAsia="Arial" w:hAnsi="Arial"/>
          <w:sz w:val="10"/>
          <w:szCs w:val="10"/>
          <w:color w:val="008000"/>
        </w:rPr>
      </w:pPr>
    </w:p>
    <w:p>
      <w:pPr>
        <w:ind w:left="40" w:right="220" w:hanging="6"/>
        <w:spacing w:after="0" w:line="269" w:lineRule="auto"/>
        <w:tabs>
          <w:tab w:leader="none" w:pos="14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Stock Options were granted on February 13, 2018, under the Company's 2017 Long-Term Incentive Plan. One-third became exercisable on February 13, 2019; one-third became exercisable February 13, 2020; and one-third will become exercisable on February 13, 2021.</w:t>
      </w:r>
    </w:p>
    <w:p>
      <w:pPr>
        <w:spacing w:after="0" w:line="11" w:lineRule="exact"/>
        <w:rPr>
          <w:rFonts w:ascii="Arial" w:cs="Arial" w:eastAsia="Arial" w:hAnsi="Arial"/>
          <w:sz w:val="10"/>
          <w:szCs w:val="10"/>
          <w:color w:val="008000"/>
        </w:rPr>
      </w:pPr>
    </w:p>
    <w:p>
      <w:pPr>
        <w:ind w:left="40" w:right="40" w:hanging="6"/>
        <w:spacing w:after="0" w:line="269" w:lineRule="auto"/>
        <w:tabs>
          <w:tab w:leader="none" w:pos="14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Stock Options were granted on February 13, 2019, under the Company's 2017 Long-Term Incentive Plan. One-third became exercisable on February 13, 2020; one-third will become exercisable on February 13, 2021; and one-third will become exercisable on February 13, 2022.</w:t>
      </w:r>
    </w:p>
    <w:p>
      <w:pPr>
        <w:spacing w:after="0" w:line="11" w:lineRule="exact"/>
        <w:rPr>
          <w:rFonts w:ascii="Arial" w:cs="Arial" w:eastAsia="Arial" w:hAnsi="Arial"/>
          <w:sz w:val="10"/>
          <w:szCs w:val="10"/>
          <w:color w:val="008000"/>
        </w:rPr>
      </w:pPr>
    </w:p>
    <w:p>
      <w:pPr>
        <w:ind w:left="140" w:hanging="106"/>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Stock Options were granted on February 12, 2020, under the Company's 2017 Long-Term Incentive Plan. One-third will vest on February 12, 2021; one-third will vest on February 12, 2022; and one-third will vest on February 12, 2023.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8"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95"/>
              </w:rPr>
              <w:t>/s/ Tia Y. Turk, Attorney-In-Fact for</w:t>
            </w:r>
          </w:p>
        </w:tc>
        <w:tc>
          <w:tcPr>
            <w:tcW w:w="120" w:type="dxa"/>
            <w:vAlign w:val="bottom"/>
          </w:tcPr>
          <w:p>
            <w:pPr>
              <w:spacing w:after="0"/>
              <w:rPr>
                <w:sz w:val="12"/>
                <w:szCs w:val="12"/>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color w:val="0000FF"/>
                <w:w w:val="92"/>
              </w:rPr>
              <w:t>08/24/2020</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060" w:type="dxa"/>
            <w:vAlign w:val="bottom"/>
            <w:gridSpan w:val="3"/>
            <w:vMerge w:val="restart"/>
          </w:tcPr>
          <w:p>
            <w:pPr>
              <w:spacing w:after="0" w:line="146" w:lineRule="exact"/>
              <w:rPr>
                <w:sz w:val="20"/>
                <w:szCs w:val="20"/>
                <w:color w:val="auto"/>
              </w:rPr>
            </w:pPr>
            <w:r>
              <w:rPr>
                <w:rFonts w:ascii="Arial" w:cs="Arial" w:eastAsia="Arial" w:hAnsi="Arial"/>
                <w:sz w:val="13"/>
                <w:szCs w:val="13"/>
                <w:color w:val="0000FF"/>
              </w:rPr>
              <w:t>Mr. Stapleton</w:t>
            </w: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80" w:type="dxa"/>
            <w:vAlign w:val="bottom"/>
          </w:tcPr>
          <w:p>
            <w:pPr>
              <w:spacing w:after="0"/>
              <w:rPr>
                <w:sz w:val="15"/>
                <w:szCs w:val="15"/>
                <w:color w:val="auto"/>
              </w:rPr>
            </w:pPr>
          </w:p>
        </w:tc>
        <w:tc>
          <w:tcPr>
            <w:tcW w:w="206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760" w:type="dxa"/>
            <w:vAlign w:val="bottom"/>
            <w:gridSpan w:val="2"/>
          </w:tcPr>
          <w:p>
            <w:pPr>
              <w:ind w:left="14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64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4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4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4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4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1308"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2020-08-24T16:12:15Z</dcterms:created>
  <dcterms:modified xsi:type="dcterms:W3CDTF">2020-08-24T16:12:15Z</dcterms:modified>
</cp:coreProperties>
</file>