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327573.xml.htm"/>
      <w:bookmarkStart w:id="1" w:name="kswkform4_17703275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Paul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17,673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340,331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6,337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86.29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333,994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32,610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("RSUs") are awarded pursuant to the Company's 2020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do not have a conversion or exercise price. Upon vesting, they will be settled in shares of the Company's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Of these RSUs, one-third will vest on February 3, 2027, one-third will vest on February 3, 2028, and one-third will vest on February 3,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do not have a date on which they will expire.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Jacobson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655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752</Words>
  <Characters>3963</Characters>
  <CharactersWithSpaces>4625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