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us37045v1008_020419.txt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8"/>
          <w:szCs w:val="18"/>
          <w:color w:val="auto"/>
        </w:rPr>
        <w:t>2)</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GENERAL MOTORS CO</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37045V100</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37045V100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67432668</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78211614</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78211614</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5.5%</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GENERAL MOTORS CO</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300 RENAISSANCE CENTER</w:t>
      </w:r>
    </w:p>
    <w:p>
      <w:pPr>
        <w:ind w:left="6"/>
        <w:spacing w:after="0" w:line="238" w:lineRule="auto"/>
        <w:rPr>
          <w:sz w:val="20"/>
          <w:szCs w:val="20"/>
          <w:color w:val="auto"/>
        </w:rPr>
      </w:pPr>
      <w:r>
        <w:rPr>
          <w:rFonts w:ascii="Courier New" w:cs="Courier New" w:eastAsia="Courier New" w:hAnsi="Courier New"/>
          <w:sz w:val="19"/>
          <w:szCs w:val="19"/>
          <w:color w:val="auto"/>
        </w:rPr>
        <w:t>DETROIT MI 48265-3000</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78211614</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5.5%</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67432668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78211614</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GENERAL MOTORS CO.</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GENERAL MOTORS CO</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4,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Life Limited</w:t>
      </w:r>
    </w:p>
    <w:p>
      <w:pPr>
        <w:ind w:left="100"/>
        <w:spacing w:after="0" w:line="238" w:lineRule="auto"/>
        <w:rPr>
          <w:sz w:val="20"/>
          <w:szCs w:val="20"/>
          <w:color w:val="auto"/>
        </w:rPr>
      </w:pPr>
      <w:r>
        <w:rPr>
          <w:rFonts w:ascii="Courier New" w:cs="Courier New" w:eastAsia="Courier New" w:hAnsi="Courier New"/>
          <w:sz w:val="19"/>
          <w:szCs w:val="19"/>
          <w:color w:val="auto"/>
        </w:rPr>
        <w:t>BlackRock International Limited</w:t>
      </w:r>
    </w:p>
    <w:p>
      <w:pPr>
        <w:ind w:left="100"/>
        <w:spacing w:after="0"/>
        <w:rPr>
          <w:sz w:val="20"/>
          <w:szCs w:val="20"/>
          <w:color w:val="auto"/>
        </w:rPr>
      </w:pPr>
      <w:r>
        <w:rPr>
          <w:rFonts w:ascii="Courier New" w:cs="Courier New" w:eastAsia="Courier New" w:hAnsi="Courier New"/>
          <w:sz w:val="19"/>
          <w:szCs w:val="19"/>
          <w:color w:val="auto"/>
        </w:rPr>
        <w:t>BlackRock Advisors, LLC</w:t>
      </w:r>
    </w:p>
    <w:p>
      <w:pPr>
        <w:ind w:left="100"/>
        <w:spacing w:after="0" w:line="237" w:lineRule="auto"/>
        <w:rPr>
          <w:sz w:val="20"/>
          <w:szCs w:val="20"/>
          <w:color w:val="auto"/>
        </w:rPr>
      </w:pPr>
      <w:r>
        <w:rPr>
          <w:rFonts w:ascii="Courier New" w:cs="Courier New" w:eastAsia="Courier New" w:hAnsi="Courier New"/>
          <w:sz w:val="19"/>
          <w:szCs w:val="19"/>
          <w:color w:val="auto"/>
        </w:rPr>
        <w:t>BlackRock (Netherlands) B.V.</w:t>
      </w:r>
    </w:p>
    <w:p>
      <w:pPr>
        <w:ind w:left="100"/>
        <w:spacing w:after="0"/>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rPr>
          <w:sz w:val="20"/>
          <w:szCs w:val="20"/>
          <w:color w:val="auto"/>
        </w:rPr>
      </w:pPr>
      <w:r>
        <w:rPr>
          <w:rFonts w:ascii="Courier New" w:cs="Courier New" w:eastAsia="Courier New" w:hAnsi="Courier New"/>
          <w:sz w:val="19"/>
          <w:szCs w:val="19"/>
          <w:color w:val="auto"/>
        </w:rPr>
        <w:t>BlackRock Financial Management, Inc.</w:t>
      </w:r>
    </w:p>
    <w:p>
      <w:pPr>
        <w:ind w:left="100"/>
        <w:spacing w:after="0" w:line="237" w:lineRule="auto"/>
        <w:rPr>
          <w:sz w:val="20"/>
          <w:szCs w:val="20"/>
          <w:color w:val="auto"/>
        </w:rPr>
      </w:pPr>
      <w:r>
        <w:rPr>
          <w:rFonts w:ascii="Courier New" w:cs="Courier New" w:eastAsia="Courier New" w:hAnsi="Courier New"/>
          <w:sz w:val="19"/>
          <w:szCs w:val="19"/>
          <w:color w:val="auto"/>
        </w:rPr>
        <w:t>BlackRock Japan Co., Ltd.</w:t>
      </w:r>
    </w:p>
    <w:p>
      <w:pPr>
        <w:ind w:left="100"/>
        <w:spacing w:after="0"/>
        <w:rPr>
          <w:sz w:val="20"/>
          <w:szCs w:val="20"/>
          <w:color w:val="auto"/>
        </w:rPr>
      </w:pPr>
      <w:r>
        <w:rPr>
          <w:rFonts w:ascii="Courier New" w:cs="Courier New" w:eastAsia="Courier New" w:hAnsi="Courier New"/>
          <w:sz w:val="19"/>
          <w:szCs w:val="19"/>
          <w:color w:val="auto"/>
        </w:rPr>
        <w:t>BlackRock Asset Management Schweiz AG</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LLC</w:t>
      </w:r>
    </w:p>
    <w:p>
      <w:pPr>
        <w:ind w:left="100"/>
        <w:spacing w:after="0"/>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rPr>
          <w:sz w:val="20"/>
          <w:szCs w:val="20"/>
          <w:color w:val="auto"/>
        </w:rPr>
      </w:pPr>
      <w:r>
        <w:rPr>
          <w:rFonts w:ascii="Courier New" w:cs="Courier New" w:eastAsia="Courier New" w:hAnsi="Courier New"/>
          <w:sz w:val="19"/>
          <w:szCs w:val="19"/>
          <w:color w:val="auto"/>
        </w:rPr>
        <w:t>BlackRock (Luxembourg) S.A.</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Advisors (UK) Limited</w:t>
      </w:r>
    </w:p>
    <w:p>
      <w:pPr>
        <w:ind w:left="100"/>
        <w:spacing w:after="0" w:line="238" w:lineRule="auto"/>
        <w:rPr>
          <w:sz w:val="20"/>
          <w:szCs w:val="20"/>
          <w:color w:val="auto"/>
        </w:rPr>
      </w:pPr>
      <w:r>
        <w:rPr>
          <w:rFonts w:ascii="Courier New" w:cs="Courier New" w:eastAsia="Courier New" w:hAnsi="Courier New"/>
          <w:sz w:val="19"/>
          <w:szCs w:val="19"/>
          <w:color w:val="auto"/>
        </w:rPr>
        <w:t>BlackRock Fund Advisors</w:t>
      </w:r>
    </w:p>
    <w:p>
      <w:pPr>
        <w:ind w:left="100"/>
        <w:spacing w:after="0" w:line="238" w:lineRule="auto"/>
        <w:rPr>
          <w:sz w:val="20"/>
          <w:szCs w:val="20"/>
          <w:color w:val="auto"/>
        </w:rPr>
      </w:pPr>
      <w:r>
        <w:rPr>
          <w:rFonts w:ascii="Courier New" w:cs="Courier New" w:eastAsia="Courier New" w:hAnsi="Courier New"/>
          <w:sz w:val="19"/>
          <w:szCs w:val="19"/>
          <w:color w:val="auto"/>
        </w:rPr>
        <w:t>BlackRock Asset Management North Asia Limited</w:t>
      </w:r>
    </w:p>
    <w:p>
      <w:pPr>
        <w:ind w:left="100"/>
        <w:spacing w:after="0"/>
        <w:rPr>
          <w:sz w:val="20"/>
          <w:szCs w:val="20"/>
          <w:color w:val="auto"/>
        </w:rPr>
      </w:pPr>
      <w:r>
        <w:rPr>
          <w:rFonts w:ascii="Courier New" w:cs="Courier New" w:eastAsia="Courier New" w:hAnsi="Courier New"/>
          <w:sz w:val="19"/>
          <w:szCs w:val="19"/>
          <w:color w:val="auto"/>
        </w:rPr>
        <w:t>BlackRock (Singapore) Limited</w:t>
      </w:r>
    </w:p>
    <w:p>
      <w:pPr>
        <w:ind w:left="100"/>
        <w:spacing w:after="0" w:line="237" w:lineRule="auto"/>
        <w:rPr>
          <w:sz w:val="20"/>
          <w:szCs w:val="20"/>
          <w:color w:val="auto"/>
        </w:rPr>
      </w:pPr>
      <w:r>
        <w:rPr>
          <w:rFonts w:ascii="Courier New" w:cs="Courier New" w:eastAsia="Courier New" w:hAnsi="Courier New"/>
          <w:sz w:val="19"/>
          <w:szCs w:val="19"/>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4"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w:t>
      </w:r>
    </w:p>
    <w:p>
      <w:pPr>
        <w:sectPr>
          <w:pgSz w:w="12240" w:h="15840" w:orient="portrait"/>
          <w:cols w:equalWidth="0" w:num="1">
            <w:col w:w="10680"/>
          </w:cols>
          <w:pgMar w:left="120" w:top="209" w:right="1440" w:bottom="0" w:gutter="0" w:footer="0" w:header="0"/>
        </w:sectPr>
      </w:pPr>
    </w:p>
    <w:bookmarkStart w:id="5" w:name="page6"/>
    <w:bookmarkEnd w:id="5"/>
    <w:p>
      <w:pPr>
        <w:ind w:right="2120"/>
        <w:spacing w:after="0" w:line="236" w:lineRule="auto"/>
        <w:rPr>
          <w:sz w:val="20"/>
          <w:szCs w:val="20"/>
          <w:color w:val="auto"/>
        </w:rPr>
      </w:pPr>
      <w:r>
        <w:rPr>
          <w:rFonts w:ascii="Courier New" w:cs="Courier New" w:eastAsia="Courier New" w:hAnsi="Courier New"/>
          <w:sz w:val="19"/>
          <w:szCs w:val="19"/>
          <w:color w:val="auto"/>
        </w:rPr>
        <w:t>individually or as representative of others, any and all documents, is acting certificates, instruments, statements, other filings and amendments to the foregoing (collectively, "documents") determined by such person to</w:t>
      </w:r>
    </w:p>
    <w:p>
      <w:pPr>
        <w:spacing w:after="0" w:line="7" w:lineRule="exact"/>
        <w:rPr>
          <w:sz w:val="20"/>
          <w:szCs w:val="20"/>
          <w:color w:val="auto"/>
        </w:rPr>
      </w:pPr>
    </w:p>
    <w:p>
      <w:pPr>
        <w:ind w:right="2680"/>
        <w:spacing w:after="0" w:line="251"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4"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2019-12-15T14:20:58Z</dcterms:created>
  <dcterms:modified xsi:type="dcterms:W3CDTF">2019-12-15T14:20:58Z</dcterms:modified>
</cp:coreProperties>
</file>