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15240</wp:posOffset>
            </wp:positionV>
            <wp:extent cx="6994525" cy="4891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4891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Carlisle Stephen K.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20"/>
        <w:spacing w:after="0" w:line="3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-10" w:right="640" w:firstLine="10"/>
        <w:spacing w:after="0" w:line="237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86,955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644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57.8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86,311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1,560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04/01/2021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04/01/2021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-1837690</wp:posOffset>
            </wp:positionV>
            <wp:extent cx="29210" cy="1842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42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were granted on May 7, 2020, under the Company's 2017 Long-Term Incentive Plan.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Tia Y. Turk,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Carlisle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1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779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2021-04-05T16:38:52Z</dcterms:created>
  <dcterms:modified xsi:type="dcterms:W3CDTF">2021-04-05T16:38:52Z</dcterms:modified>
</cp:coreProperties>
</file>