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March 1, 2012</w:t>
      </w:r>
    </w:p>
    <w:p>
      <w:pPr>
        <w:sectPr>
          <w:pgSz w:w="11900" w:h="16838" w:orient="portrait"/>
          <w:cols w:equalWidth="0" w:num="1">
            <w:col w:w="10219"/>
          </w:cols>
          <w:pgMar w:left="240" w:top="1013"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March 1, 2012, General Motors Company (GM) issued a news release announcing February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February 1,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080"/>
          </w:cols>
          <w:pgMar w:left="240" w:top="1229" w:right="5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140" w:type="dxa"/>
            <w:vAlign w:val="bottom"/>
            <w:vMerge w:val="restart"/>
          </w:tcPr>
          <w:p>
            <w:pPr>
              <w:spacing w:after="0"/>
              <w:rPr>
                <w:sz w:val="20"/>
                <w:szCs w:val="20"/>
                <w:color w:val="auto"/>
              </w:rPr>
            </w:pPr>
            <w:r>
              <w:rPr>
                <w:rFonts w:ascii="Arial" w:cs="Arial" w:eastAsia="Arial" w:hAnsi="Arial"/>
                <w:sz w:val="18"/>
                <w:szCs w:val="18"/>
                <w:color w:val="auto"/>
              </w:rPr>
              <w:t>Date: March 2, 2012</w:t>
            </w:r>
          </w:p>
        </w:tc>
        <w:tc>
          <w:tcPr>
            <w:tcW w:w="2260" w:type="dxa"/>
            <w:vAlign w:val="bottom"/>
            <w:vMerge w:val="restart"/>
          </w:tcPr>
          <w:p>
            <w:pPr>
              <w:ind w:left="16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101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0</wp:posOffset>
            </wp:positionV>
            <wp:extent cx="3275965" cy="943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596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March 1, 2012, 10 a.m. 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February Sales Beat Expectations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Small and Compact Car Sales up 43 percent</w:t>
      </w:r>
    </w:p>
    <w:p>
      <w:pPr>
        <w:spacing w:after="0" w:line="207" w:lineRule="exact"/>
        <w:rPr>
          <w:sz w:val="20"/>
          <w:szCs w:val="20"/>
          <w:color w:val="auto"/>
        </w:rPr>
      </w:pPr>
    </w:p>
    <w:p>
      <w:pPr>
        <w:ind w:right="100"/>
        <w:spacing w:after="0" w:line="272"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total sales of 209,306 vehicles in February, up 1.1 percent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company's very strong February 2011 results.</w:t>
      </w:r>
    </w:p>
    <w:p>
      <w:pPr>
        <w:spacing w:after="0" w:line="7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“Chevrolet's 6 percent sales increase, which was driven by new models, as well as a stronger economy, helped GM exceed last February's remarkably strong result,” said Don Johnson, vice president, U.S. Sales Operations. “It's an affirmation of our progress. We are continuing to execute the same disciplined sales strategy that was the key to our success in 2011.”</w:t>
      </w:r>
    </w:p>
    <w:p>
      <w:pPr>
        <w:spacing w:after="0" w:line="206" w:lineRule="exact"/>
        <w:rPr>
          <w:sz w:val="20"/>
          <w:szCs w:val="20"/>
          <w:color w:val="auto"/>
        </w:rPr>
      </w:pPr>
    </w:p>
    <w:p>
      <w:pPr>
        <w:ind w:right="620"/>
        <w:spacing w:after="0" w:line="247" w:lineRule="auto"/>
        <w:rPr>
          <w:sz w:val="20"/>
          <w:szCs w:val="20"/>
          <w:color w:val="auto"/>
        </w:rPr>
      </w:pPr>
      <w:r>
        <w:rPr>
          <w:rFonts w:ascii="Arial" w:cs="Arial" w:eastAsia="Arial" w:hAnsi="Arial"/>
          <w:sz w:val="20"/>
          <w:szCs w:val="20"/>
          <w:color w:val="auto"/>
        </w:rPr>
        <w:t>Industry wide, February light vehicle sales will top 1.1 million units, thanks to stronger employment and credit availability, an improving housing market and the recovery in consumer sentiment, he added.</w:t>
      </w:r>
    </w:p>
    <w:p>
      <w:pPr>
        <w:spacing w:after="0" w:line="202"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“Commercial sales are a good barometer for the economy,” Johnson said. “GM's commercial deliveries increased 35 percent in February, driven by strong sales of heavy-duty pickups.”</w:t>
      </w:r>
    </w:p>
    <w:p>
      <w:pPr>
        <w:spacing w:after="0" w:line="202"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Year over year sales of the Chevrolet Silverado HD and GMC Sierra HD were up 28 percent and 20 percent, respectively. Other sales highlights for February include double-digit sales increases for the Buick LaCrosse, which features the 36-mpg eAssist powertrain as standard equipment, the Chevrolet Equinox and Camaro, and the GMC Terrain.</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Chevrolet passenger car sales were up 13 percent. The all-new Chevrolet Sonic had its best month ever, with sales of 7,900 units. Chevrolet Cruze exceeded 20,000 units for the sixth time, marking its sixth-consecutive month of year-over-year sales gains. GM's small and compact car portfolio, which now includes the Chevrolet Sonic, Cruze and Volt, and the new Buick Verano, were up a combined 43 percent versus February 2011.</w:t>
      </w:r>
    </w:p>
    <w:p>
      <w:pPr>
        <w:spacing w:after="0" w:line="207"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GM's year-over-year incentive spending, expressed as a percentage of average transaction prices, was down 3.5 percentage points to 9.5 percent in February, according to J.D. Power PIN estimates. Incentive spending was down about one-half point from January.</w:t>
      </w:r>
    </w:p>
    <w:p>
      <w:pPr>
        <w:spacing w:after="0" w:line="200" w:lineRule="exact"/>
        <w:rPr>
          <w:sz w:val="20"/>
          <w:szCs w:val="20"/>
          <w:color w:val="auto"/>
        </w:rPr>
      </w:pPr>
    </w:p>
    <w:p>
      <w:pPr>
        <w:spacing w:after="0" w:line="233"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14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93"/>
              </w:rPr>
              <w:t>Highlights</w:t>
            </w:r>
          </w:p>
        </w:tc>
        <w:tc>
          <w:tcPr>
            <w:tcW w:w="1420" w:type="dxa"/>
            <w:vAlign w:val="bottom"/>
            <w:tcBorders>
              <w:top w:val="single" w:sz="8" w:color="auto"/>
              <w:right w:val="single" w:sz="8" w:color="auto"/>
            </w:tcBorders>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w w:val="91"/>
              </w:rPr>
              <w:t>Feb. 2012 Total Sales</w:t>
            </w:r>
          </w:p>
        </w:tc>
        <w:tc>
          <w:tcPr>
            <w:tcW w:w="1480" w:type="dxa"/>
            <w:vAlign w:val="bottom"/>
            <w:tcBorders>
              <w:top w:val="single" w:sz="8" w:color="auto"/>
              <w:right w:val="single" w:sz="8" w:color="auto"/>
            </w:tcBorders>
          </w:tcPr>
          <w:p>
            <w:pPr>
              <w:jc w:val="right"/>
              <w:ind w:right="22"/>
              <w:spacing w:after="0"/>
              <w:rPr>
                <w:sz w:val="20"/>
                <w:szCs w:val="20"/>
                <w:color w:val="auto"/>
              </w:rPr>
            </w:pPr>
            <w:r>
              <w:rPr>
                <w:rFonts w:ascii="Arial" w:cs="Arial" w:eastAsia="Arial" w:hAnsi="Arial"/>
                <w:sz w:val="14"/>
                <w:szCs w:val="14"/>
                <w:b w:val="1"/>
                <w:bCs w:val="1"/>
                <w:i w:val="1"/>
                <w:iCs w:val="1"/>
                <w:color w:val="auto"/>
                <w:w w:val="93"/>
              </w:rPr>
              <w:t>Total Change vs. Feb.</w:t>
            </w:r>
          </w:p>
        </w:tc>
        <w:tc>
          <w:tcPr>
            <w:tcW w:w="1880" w:type="dxa"/>
            <w:vAlign w:val="bottom"/>
            <w:tcBorders>
              <w:top w:val="single" w:sz="8" w:color="auto"/>
              <w:right w:val="single" w:sz="8" w:color="auto"/>
            </w:tcBorders>
          </w:tcPr>
          <w:p>
            <w:pPr>
              <w:jc w:val="right"/>
              <w:ind w:right="202"/>
              <w:spacing w:after="0"/>
              <w:rPr>
                <w:sz w:val="20"/>
                <w:szCs w:val="20"/>
                <w:color w:val="auto"/>
              </w:rPr>
            </w:pPr>
            <w:r>
              <w:rPr>
                <w:rFonts w:ascii="Arial" w:cs="Arial" w:eastAsia="Arial" w:hAnsi="Arial"/>
                <w:sz w:val="14"/>
                <w:szCs w:val="14"/>
                <w:b w:val="1"/>
                <w:bCs w:val="1"/>
                <w:i w:val="1"/>
                <w:iCs w:val="1"/>
                <w:color w:val="auto"/>
              </w:rPr>
              <w:t>Feb. 2012 Retail Sales</w:t>
            </w:r>
          </w:p>
        </w:tc>
        <w:tc>
          <w:tcPr>
            <w:tcW w:w="1220" w:type="dxa"/>
            <w:vAlign w:val="bottom"/>
            <w:tcBorders>
              <w:top w:val="single" w:sz="8" w:color="auto"/>
              <w:right w:val="single" w:sz="8" w:color="auto"/>
            </w:tcBorders>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w w:val="94"/>
              </w:rPr>
              <w:t>CYTD Total Sales</w:t>
            </w:r>
          </w:p>
        </w:tc>
        <w:tc>
          <w:tcPr>
            <w:tcW w:w="1500" w:type="dxa"/>
            <w:vAlign w:val="bottom"/>
            <w:tcBorders>
              <w:top w:val="single" w:sz="8" w:color="auto"/>
              <w:right w:val="single" w:sz="8" w:color="auto"/>
            </w:tcBorders>
          </w:tcPr>
          <w:p>
            <w:pPr>
              <w:jc w:val="right"/>
              <w:ind w:right="162"/>
              <w:spacing w:after="0"/>
              <w:rPr>
                <w:sz w:val="20"/>
                <w:szCs w:val="20"/>
                <w:color w:val="auto"/>
              </w:rPr>
            </w:pPr>
            <w:r>
              <w:rPr>
                <w:rFonts w:ascii="Arial" w:cs="Arial" w:eastAsia="Arial" w:hAnsi="Arial"/>
                <w:sz w:val="14"/>
                <w:szCs w:val="14"/>
                <w:b w:val="1"/>
                <w:bCs w:val="1"/>
                <w:i w:val="1"/>
                <w:iCs w:val="1"/>
                <w:color w:val="auto"/>
              </w:rPr>
              <w:t>CYTD Total Sales</w:t>
            </w:r>
          </w:p>
        </w:tc>
        <w:tc>
          <w:tcPr>
            <w:tcW w:w="1440" w:type="dxa"/>
            <w:vAlign w:val="bottom"/>
            <w:tcBorders>
              <w:top w:val="single" w:sz="8" w:color="auto"/>
              <w:right w:val="single" w:sz="8" w:color="auto"/>
            </w:tcBorders>
          </w:tcPr>
          <w:p>
            <w:pPr>
              <w:jc w:val="right"/>
              <w:ind w:right="102"/>
              <w:spacing w:after="0"/>
              <w:rPr>
                <w:sz w:val="20"/>
                <w:szCs w:val="20"/>
                <w:color w:val="auto"/>
              </w:rPr>
            </w:pPr>
            <w:r>
              <w:rPr>
                <w:rFonts w:ascii="Arial" w:cs="Arial" w:eastAsia="Arial" w:hAnsi="Arial"/>
                <w:sz w:val="14"/>
                <w:szCs w:val="14"/>
                <w:b w:val="1"/>
                <w:bCs w:val="1"/>
                <w:i w:val="1"/>
                <w:iCs w:val="1"/>
                <w:color w:val="auto"/>
              </w:rPr>
              <w:t>CYTD Retail Sales</w:t>
            </w:r>
          </w:p>
        </w:tc>
        <w:tc>
          <w:tcPr>
            <w:tcW w:w="0" w:type="dxa"/>
            <w:vAlign w:val="bottom"/>
          </w:tcPr>
          <w:p>
            <w:pPr>
              <w:spacing w:after="0"/>
              <w:rPr>
                <w:sz w:val="1"/>
                <w:szCs w:val="1"/>
                <w:color w:val="auto"/>
              </w:rPr>
            </w:pPr>
          </w:p>
        </w:tc>
      </w:tr>
      <w:tr>
        <w:trPr>
          <w:trHeight w:val="101"/>
        </w:trPr>
        <w:tc>
          <w:tcPr>
            <w:tcW w:w="146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i w:val="1"/>
                <w:iCs w:val="1"/>
                <w:color w:val="auto"/>
              </w:rPr>
              <w:t>2011</w:t>
            </w:r>
          </w:p>
        </w:tc>
        <w:tc>
          <w:tcPr>
            <w:tcW w:w="1880" w:type="dxa"/>
            <w:vAlign w:val="bottom"/>
            <w:tcBorders>
              <w:right w:val="single" w:sz="8" w:color="auto"/>
            </w:tcBorders>
            <w:vMerge w:val="restart"/>
          </w:tcPr>
          <w:p>
            <w:pPr>
              <w:jc w:val="right"/>
              <w:ind w:right="242"/>
              <w:spacing w:after="0"/>
              <w:rPr>
                <w:sz w:val="20"/>
                <w:szCs w:val="20"/>
                <w:color w:val="auto"/>
              </w:rPr>
            </w:pPr>
            <w:r>
              <w:rPr>
                <w:rFonts w:ascii="Arial" w:cs="Arial" w:eastAsia="Arial" w:hAnsi="Arial"/>
                <w:sz w:val="14"/>
                <w:szCs w:val="14"/>
                <w:b w:val="1"/>
                <w:bCs w:val="1"/>
                <w:i w:val="1"/>
                <w:iCs w:val="1"/>
                <w:color w:val="auto"/>
              </w:rPr>
              <w:t>Change vs. Feb. 2011</w:t>
            </w:r>
          </w:p>
        </w:tc>
        <w:tc>
          <w:tcPr>
            <w:tcW w:w="12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jc w:val="right"/>
              <w:ind w:right="202"/>
              <w:spacing w:after="0"/>
              <w:rPr>
                <w:sz w:val="20"/>
                <w:szCs w:val="20"/>
                <w:color w:val="auto"/>
              </w:rPr>
            </w:pPr>
            <w:r>
              <w:rPr>
                <w:rFonts w:ascii="Arial" w:cs="Arial" w:eastAsia="Arial" w:hAnsi="Arial"/>
                <w:sz w:val="14"/>
                <w:szCs w:val="14"/>
                <w:b w:val="1"/>
                <w:bCs w:val="1"/>
                <w:i w:val="1"/>
                <w:iCs w:val="1"/>
                <w:color w:val="auto"/>
              </w:rPr>
              <w:t>Change vs. 2011</w:t>
            </w:r>
          </w:p>
        </w:tc>
        <w:tc>
          <w:tcPr>
            <w:tcW w:w="1440" w:type="dxa"/>
            <w:vAlign w:val="bottom"/>
            <w:tcBorders>
              <w:right w:val="single" w:sz="8" w:color="auto"/>
            </w:tcBorders>
            <w:vMerge w:val="restart"/>
          </w:tcPr>
          <w:p>
            <w:pPr>
              <w:jc w:val="right"/>
              <w:ind w:right="162"/>
              <w:spacing w:after="0"/>
              <w:rPr>
                <w:sz w:val="20"/>
                <w:szCs w:val="20"/>
                <w:color w:val="auto"/>
              </w:rPr>
            </w:pPr>
            <w:r>
              <w:rPr>
                <w:rFonts w:ascii="Arial" w:cs="Arial" w:eastAsia="Arial" w:hAnsi="Arial"/>
                <w:sz w:val="14"/>
                <w:szCs w:val="14"/>
                <w:b w:val="1"/>
                <w:bCs w:val="1"/>
                <w:i w:val="1"/>
                <w:iCs w:val="1"/>
                <w:color w:val="auto"/>
              </w:rPr>
              <w:t>Change vs. 2011</w:t>
            </w:r>
          </w:p>
        </w:tc>
        <w:tc>
          <w:tcPr>
            <w:tcW w:w="0" w:type="dxa"/>
            <w:vAlign w:val="bottom"/>
          </w:tcPr>
          <w:p>
            <w:pPr>
              <w:spacing w:after="0"/>
              <w:rPr>
                <w:sz w:val="1"/>
                <w:szCs w:val="1"/>
                <w:color w:val="auto"/>
              </w:rPr>
            </w:pPr>
          </w:p>
        </w:tc>
      </w:tr>
      <w:tr>
        <w:trPr>
          <w:trHeight w:val="87"/>
        </w:trPr>
        <w:tc>
          <w:tcPr>
            <w:tcW w:w="146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vMerge w:val="continue"/>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3"/>
              </w:rPr>
              <w:t>Chevrolet</w:t>
            </w:r>
          </w:p>
        </w:tc>
        <w:tc>
          <w:tcPr>
            <w:tcW w:w="1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151,197</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275,061</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6"/>
              </w:rPr>
              <w:t>GMC</w:t>
            </w:r>
          </w:p>
        </w:tc>
        <w:tc>
          <w:tcPr>
            <w:tcW w:w="1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32,581</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57,547</w:t>
            </w:r>
          </w:p>
        </w:tc>
        <w:tc>
          <w:tcPr>
            <w:tcW w:w="150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(4.4%)</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Buick</w:t>
            </w:r>
          </w:p>
        </w:tc>
        <w:tc>
          <w:tcPr>
            <w:tcW w:w="1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14,023</w:t>
            </w:r>
          </w:p>
        </w:tc>
        <w:tc>
          <w:tcPr>
            <w:tcW w:w="148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(11.3%)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24,231</w:t>
            </w:r>
          </w:p>
        </w:tc>
        <w:tc>
          <w:tcPr>
            <w:tcW w:w="150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(16.7%)</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8"/>
              </w:rPr>
              <w:t>Cadillac</w:t>
            </w:r>
          </w:p>
        </w:tc>
        <w:tc>
          <w:tcPr>
            <w:tcW w:w="1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11,505</w:t>
            </w:r>
          </w:p>
        </w:tc>
        <w:tc>
          <w:tcPr>
            <w:tcW w:w="148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(27.0%)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2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20,429</w:t>
            </w:r>
          </w:p>
        </w:tc>
        <w:tc>
          <w:tcPr>
            <w:tcW w:w="150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(27.9%)</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Total GM</w:t>
            </w:r>
          </w:p>
        </w:tc>
        <w:tc>
          <w:tcPr>
            <w:tcW w:w="14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209,306</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377,268</w:t>
            </w:r>
          </w:p>
        </w:tc>
        <w:tc>
          <w:tcPr>
            <w:tcW w:w="150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(2.2%)</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5" w:name="page6"/>
    <w:bookmarkEnd w:id="5"/>
    <w:p>
      <w:pPr>
        <w:spacing w:after="0" w:line="1" w:lineRule="exact"/>
        <w:rPr>
          <w:sz w:val="20"/>
          <w:szCs w:val="20"/>
          <w:color w:val="auto"/>
        </w:rPr>
      </w:pPr>
    </w:p>
    <w:tbl>
      <w:tblPr>
        <w:tblLayout w:type="fixed"/>
        <w:tblInd w:w="1490" w:type="dxa"/>
        <w:tblCellMar>
          <w:top w:w="0" w:type="dxa"/>
          <w:left w:w="0" w:type="dxa"/>
          <w:bottom w:w="0" w:type="dxa"/>
          <w:right w:w="0" w:type="dxa"/>
        </w:tblCellMar>
      </w:tblPr>
      <w:tr>
        <w:trPr>
          <w:trHeight w:val="184"/>
        </w:trPr>
        <w:tc>
          <w:tcPr>
            <w:tcW w:w="1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91"/>
              </w:rPr>
              <w:t>Inventory</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Units @</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Days Supply (selling days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Units @</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Days Supply (selling days</w:t>
            </w:r>
          </w:p>
        </w:tc>
        <w:tc>
          <w:tcPr>
            <w:tcW w:w="0" w:type="dxa"/>
            <w:vAlign w:val="bottom"/>
          </w:tcPr>
          <w:p>
            <w:pPr>
              <w:spacing w:after="0"/>
              <w:rPr>
                <w:sz w:val="1"/>
                <w:szCs w:val="1"/>
                <w:color w:val="auto"/>
              </w:rPr>
            </w:pPr>
          </w:p>
        </w:tc>
      </w:tr>
      <w:tr>
        <w:trPr>
          <w:trHeight w:val="101"/>
        </w:trPr>
        <w:tc>
          <w:tcPr>
            <w:tcW w:w="1640" w:type="dxa"/>
            <w:vAlign w:val="bottom"/>
            <w:tcBorders>
              <w:left w:val="single" w:sz="8" w:color="auto"/>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rPr>
              <w:t>Feb. 29, 2012</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86"/>
              </w:rPr>
              <w:t>adjusted)</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rPr>
              <w:t>Jan. 31, 2012</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86"/>
              </w:rPr>
              <w:t>adjusted)</w:t>
            </w:r>
          </w:p>
        </w:tc>
        <w:tc>
          <w:tcPr>
            <w:tcW w:w="0" w:type="dxa"/>
            <w:vAlign w:val="bottom"/>
          </w:tcPr>
          <w:p>
            <w:pPr>
              <w:spacing w:after="0"/>
              <w:rPr>
                <w:sz w:val="1"/>
                <w:szCs w:val="1"/>
                <w:color w:val="auto"/>
              </w:rPr>
            </w:pPr>
          </w:p>
        </w:tc>
      </w:tr>
      <w:tr>
        <w:trPr>
          <w:trHeight w:val="101"/>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All Vehicles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667,096</w:t>
            </w:r>
          </w:p>
        </w:tc>
        <w:tc>
          <w:tcPr>
            <w:tcW w:w="1700" w:type="dxa"/>
            <w:vAlign w:val="bottom"/>
            <w:tcBorders>
              <w:right w:val="single" w:sz="8" w:color="auto"/>
            </w:tcBorders>
          </w:tcPr>
          <w:p>
            <w:pPr>
              <w:jc w:val="right"/>
              <w:ind w:right="703"/>
              <w:spacing w:after="0"/>
              <w:rPr>
                <w:sz w:val="20"/>
                <w:szCs w:val="20"/>
                <w:color w:val="auto"/>
              </w:rPr>
            </w:pPr>
            <w:r>
              <w:rPr>
                <w:rFonts w:ascii="Arial" w:cs="Arial" w:eastAsia="Arial" w:hAnsi="Arial"/>
                <w:sz w:val="16"/>
                <w:szCs w:val="16"/>
                <w:color w:val="auto"/>
              </w:rPr>
              <w:t>80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619,455</w:t>
            </w:r>
          </w:p>
        </w:tc>
        <w:tc>
          <w:tcPr>
            <w:tcW w:w="1760" w:type="dxa"/>
            <w:vAlign w:val="bottom"/>
            <w:tcBorders>
              <w:right w:val="single" w:sz="8" w:color="auto"/>
            </w:tcBorders>
          </w:tcPr>
          <w:p>
            <w:pPr>
              <w:jc w:val="right"/>
              <w:ind w:right="743"/>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3"/>
              </w:rPr>
              <w:t>Full-size Pickups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210,463</w:t>
            </w:r>
          </w:p>
        </w:tc>
        <w:tc>
          <w:tcPr>
            <w:tcW w:w="1700" w:type="dxa"/>
            <w:vAlign w:val="bottom"/>
            <w:tcBorders>
              <w:right w:val="single" w:sz="8" w:color="auto"/>
            </w:tcBorders>
          </w:tcPr>
          <w:p>
            <w:pPr>
              <w:jc w:val="right"/>
              <w:ind w:right="663"/>
              <w:spacing w:after="0"/>
              <w:rPr>
                <w:sz w:val="20"/>
                <w:szCs w:val="20"/>
                <w:color w:val="auto"/>
              </w:rPr>
            </w:pPr>
            <w:r>
              <w:rPr>
                <w:rFonts w:ascii="Arial" w:cs="Arial" w:eastAsia="Arial" w:hAnsi="Arial"/>
                <w:sz w:val="16"/>
                <w:szCs w:val="16"/>
                <w:color w:val="auto"/>
              </w:rPr>
              <w:t>116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188,568</w:t>
            </w:r>
          </w:p>
        </w:tc>
        <w:tc>
          <w:tcPr>
            <w:tcW w:w="1760" w:type="dxa"/>
            <w:vAlign w:val="bottom"/>
            <w:tcBorders>
              <w:right w:val="single" w:sz="8" w:color="auto"/>
            </w:tcBorders>
          </w:tcPr>
          <w:p>
            <w:pPr>
              <w:jc w:val="right"/>
              <w:ind w:right="703"/>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89"/>
              </w:rPr>
              <w:t>Industry Sales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Full Year 2012</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91"/>
              </w:rPr>
              <w:t>Jan. 2012 SAAR</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91"/>
              </w:rPr>
              <w:t>Feb. 2012 SAAR (est.)</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93"/>
              </w:rPr>
              <w:t>Feb. 2011 SAAR</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rPr>
              <w:t>(est.)</w:t>
            </w:r>
          </w:p>
        </w:tc>
        <w:tc>
          <w:tcPr>
            <w:tcW w:w="170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3"/>
              </w:rPr>
              <w:t>Total Light Vehicles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13.5 million - 14.0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14.1 million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14.5 million - 14.9</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13.3 million</w:t>
            </w:r>
          </w:p>
        </w:tc>
        <w:tc>
          <w:tcPr>
            <w:tcW w:w="0" w:type="dxa"/>
            <w:vAlign w:val="bottom"/>
          </w:tcPr>
          <w:p>
            <w:pPr>
              <w:spacing w:after="0"/>
              <w:rPr>
                <w:sz w:val="1"/>
                <w:szCs w:val="1"/>
                <w:color w:val="auto"/>
              </w:rPr>
            </w:pPr>
          </w:p>
        </w:tc>
      </w:tr>
      <w:tr>
        <w:trPr>
          <w:trHeight w:val="98"/>
        </w:trPr>
        <w:tc>
          <w:tcPr>
            <w:tcW w:w="1640" w:type="dxa"/>
            <w:vAlign w:val="bottom"/>
            <w:tcBorders>
              <w:left w:val="single" w:sz="8" w:color="auto"/>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million</w:t>
            </w:r>
          </w:p>
        </w:tc>
        <w:tc>
          <w:tcPr>
            <w:tcW w:w="170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million</w:t>
            </w: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General Motors Co</w:t>
      </w:r>
      <w:r>
        <w:rPr>
          <w:rFonts w:ascii="Arial" w:cs="Arial" w:eastAsia="Arial" w:hAnsi="Arial"/>
          <w:sz w:val="18"/>
          <w:szCs w:val="18"/>
          <w:color w:val="auto"/>
        </w:rPr>
        <w:t>. (NYSE:GM,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14"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9"/>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February</w:t>
            </w:r>
          </w:p>
        </w:tc>
        <w:tc>
          <w:tcPr>
            <w:tcW w:w="108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(Calendar Year-to-Date)</w:t>
            </w:r>
          </w:p>
        </w:tc>
        <w:tc>
          <w:tcPr>
            <w:tcW w:w="960" w:type="dxa"/>
            <w:vAlign w:val="bottom"/>
            <w:tcBorders>
              <w:top w:val="single" w:sz="8" w:color="auto"/>
              <w:right w:val="single" w:sz="8" w:color="auto"/>
            </w:tcBorders>
          </w:tcPr>
          <w:p>
            <w:pPr>
              <w:spacing w:after="0"/>
              <w:rPr>
                <w:sz w:val="24"/>
                <w:szCs w:val="24"/>
                <w:color w:val="auto"/>
              </w:rPr>
            </w:pPr>
          </w:p>
        </w:tc>
      </w:tr>
      <w:tr>
        <w:trPr>
          <w:trHeight w:val="303"/>
        </w:trPr>
        <w:tc>
          <w:tcPr>
            <w:tcW w:w="2480" w:type="dxa"/>
            <w:vAlign w:val="bottom"/>
            <w:tcBorders>
              <w:left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w:t>
            </w: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99"/>
              </w:rPr>
              <w:t>February</w:t>
            </w:r>
          </w:p>
        </w:tc>
        <w:tc>
          <w:tcPr>
            <w:tcW w:w="96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2012</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2011</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4,167</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5,199</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(19.8)</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7,291</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9,546</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(23.6)</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5,228</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4,329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20.8</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9,241</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8,100</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14.1</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304</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2,574</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(88.2)</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725</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5,390</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(86.5)</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2,636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3,705</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(28.9)</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4,491</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6,040</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(25.6)</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1,688</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2,483</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14,023</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15,807</w:t>
            </w:r>
          </w:p>
        </w:tc>
        <w:tc>
          <w:tcPr>
            <w:tcW w:w="108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(11.3)</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24,231</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29,076</w:t>
            </w:r>
          </w:p>
        </w:tc>
        <w:tc>
          <w:tcPr>
            <w:tcW w:w="9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(16.7)</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4,570</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6,033</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(24.2)</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7,589</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10,395</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(27.0)</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1,512</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(95.5)</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157</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2,877</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(94.5)</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1,011</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1,279</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(21.0)</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1,996</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2,793</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(28.5)</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690</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756</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(8.7)</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1,221</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1,348</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167</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(10.2)</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258</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320</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(19.4)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4,983</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5,502</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(9.4)</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9,149</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9,738</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(6.0)</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519</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(93.6)</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59</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878</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(93.3)</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11,505</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15,768</w:t>
            </w:r>
          </w:p>
        </w:tc>
        <w:tc>
          <w:tcPr>
            <w:tcW w:w="108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(27.0)</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20,429</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28,348</w:t>
            </w:r>
          </w:p>
        </w:tc>
        <w:tc>
          <w:tcPr>
            <w:tcW w:w="9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(27.9)</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1,794</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1,414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26.9</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3,411</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2,811</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2,760</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(99.4)</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33</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5,499</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6,923</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6,245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10.9</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12,632</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11,008</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14.8</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155</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247</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2,289</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4,550</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153</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(98.7)</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559</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(99.5)</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3,532</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2,606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35.5</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6,404</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4,810</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33.1</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927</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955</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(2.9)</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1,556</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1,676</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(7.2)</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20,427</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18,556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10.1</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35,476</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32,187</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10.2</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17,851</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15,434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15.7</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31,513</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28,281</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5,257</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4,021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30.7</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9,789</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9,294</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6,398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5</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13,785</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15,333</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16,290</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(5.9)</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31,342</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31,478</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(0.4)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19,987</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19,092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4.7</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34,663</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33,194</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32,297</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31,728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59,147</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59,900</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7,900</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13,612</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3,304</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2,383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38.6</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6,239</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4,726</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32.0</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4,212</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5,068</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(16.9)</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8,207</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10,349</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(20.7)</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11</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7,966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9,533</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(16.4)</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14,606</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18,138</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(19.5)</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1,023</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264.1</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1,626</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602</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170.1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151,197</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142,919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5.8</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275,061</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4"/>
              </w:rPr>
              <w:t>268,308</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2.5</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6,630</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7,547</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(12.2)</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11,500</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13,270</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(13.3)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1,064</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765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39.1</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2,123</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1,459</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45.5</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2,126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673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215.9</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2,964</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1,391</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113.1</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11,306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11,696</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20,823</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22,323</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(6.7)</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8,086</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7,190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12.5</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13,735</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13,559</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2,125</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2,817</w:t>
            </w:r>
          </w:p>
        </w:tc>
        <w:tc>
          <w:tcPr>
            <w:tcW w:w="10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(24.6)</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4,147</w:t>
            </w: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4,893</w:t>
            </w:r>
          </w:p>
        </w:tc>
        <w:tc>
          <w:tcPr>
            <w:tcW w:w="9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(15.2)</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1,244</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1,846</w:t>
            </w:r>
          </w:p>
        </w:tc>
        <w:tc>
          <w:tcPr>
            <w:tcW w:w="108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(32.6)</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2,255</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3,296</w:t>
            </w:r>
          </w:p>
        </w:tc>
        <w:tc>
          <w:tcPr>
            <w:tcW w:w="9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(31.6)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32,581</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32,534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0.1</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57,547</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60,192</w:t>
            </w:r>
          </w:p>
        </w:tc>
        <w:tc>
          <w:tcPr>
            <w:tcW w:w="9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(4.4)</w:t>
            </w:r>
          </w:p>
        </w:tc>
      </w:tr>
      <w:tr>
        <w:trPr>
          <w:trHeight w:val="291"/>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209,306</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207,028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w:t>
            </w:r>
          </w:p>
        </w:tc>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377,268</w:t>
            </w: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4"/>
              </w:rPr>
              <w:t>385,924</w:t>
            </w:r>
          </w:p>
        </w:tc>
        <w:tc>
          <w:tcPr>
            <w:tcW w:w="9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0</wp:posOffset>
            </wp:positionV>
            <wp:extent cx="8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17145</wp:posOffset>
            </wp:positionV>
            <wp:extent cx="8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34290</wp:posOffset>
            </wp:positionV>
            <wp:extent cx="8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0</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17145</wp:posOffset>
            </wp:positionV>
            <wp:extent cx="8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34290</wp:posOffset>
            </wp:positionV>
            <wp:extent cx="8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0</wp:posOffset>
            </wp:positionV>
            <wp:extent cx="8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17145</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34290</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17145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0</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17145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34290</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-196850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-170815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-153670</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-136525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-119380</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-102235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-85090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-67945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-50800</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-33655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-196850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-170815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-153670</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-136525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-119380</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-102235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-85090</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-67945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-50800</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-33655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-196850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-170815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-136525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-119380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-102235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-85090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-67945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-50800</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-33655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-196850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-170815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-153670</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-136525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-119380</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-102235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-85090</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-67945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-50800</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-33655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-196850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-170815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-153670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-136525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-119380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-102235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-85090</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-67945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-50800</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-33655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-196850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-170815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-153670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-136525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-119380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-102235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-85090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-67945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-50800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-33655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-385445</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-359410</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-342265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-325120</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-307975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-290830</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-273685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-256540</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-239395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-222250</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-385445</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-359410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-342265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-325120</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-307975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-290830</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-273685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-256540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-239395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-222250</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-385445</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-359410</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-342265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-325120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-307975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-290830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-273685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-256540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-239395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-222250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-385445</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-359410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-342265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-325120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-307975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-290830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-273685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-256540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-239395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-222250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-385445</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-359410</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-342265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-325120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-307975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-290830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-273685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-256540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-239395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-222250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-385445</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-359410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-342265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-325120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-307975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-290830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-273685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-256540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-239395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-222250</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-556895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-539750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-522605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-505460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-488315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-471170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-454025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-436880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-419735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-402590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-556895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-539750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-522605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-505460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-488315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-471170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-454025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-436880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-419735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-402590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-556895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-539750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-522605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-505460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-488315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-471170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-454025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-436880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-419735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-402590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-556895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-539750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-522605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-505460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-488315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-471170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-454025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-436880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-419735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-402590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-556895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-539750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-522605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-505460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-488315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-471170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-454025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-436880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-419735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-402590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-556895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-539750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-522605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-505460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-488315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-471170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-454025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-436880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-419735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-402590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-574040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-574040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-574040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-574040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-9501505</wp:posOffset>
            </wp:positionV>
            <wp:extent cx="5942965" cy="89357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42965" cy="8935720"/>
                    </a:xfrm>
                    <a:prstGeom prst="rect">
                      <a:avLst/>
                    </a:prstGeom>
                    <a:noFill/>
                  </pic:spPr>
                </pic:pic>
              </a:graphicData>
            </a:graphic>
          </wp:anchor>
        </w:drawing>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25 selling days for the February period this year and 24 for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20955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20955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20955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20955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-98425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-81280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-64135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-46990</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-29845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-12700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3810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20955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20955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20955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20955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5261610</wp:posOffset>
            </wp:positionH>
            <wp:positionV relativeFrom="paragraph">
              <wp:posOffset>20955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20955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20955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20955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20955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20955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5364480</wp:posOffset>
            </wp:positionH>
            <wp:positionV relativeFrom="paragraph">
              <wp:posOffset>20955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20955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20955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20955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20955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20955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20955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20955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5501640</wp:posOffset>
            </wp:positionH>
            <wp:positionV relativeFrom="paragraph">
              <wp:posOffset>20955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20955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20955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20955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20955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20955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20955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20955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20955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20955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20955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20955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20955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20955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20955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20955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20955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20955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20955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20955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20955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20955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20955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-98425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-81280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-64135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-46990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-29845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-12700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3810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20955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20955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20955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20955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20955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20955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20955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20955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20955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20955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20955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20955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20955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20955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20955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20955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20955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20955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20955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20955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20955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20955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20955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20955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20955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20955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20955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20955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20955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4987290</wp:posOffset>
            </wp:positionH>
            <wp:positionV relativeFrom="paragraph">
              <wp:posOffset>20955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20955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20955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20955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20955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20955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20955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20955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20955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20955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20955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20955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-98425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-81280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-64135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-46990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-29845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-12700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3810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20955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20955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20955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20955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20955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20955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20955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20955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20955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20955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20955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20955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20955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20955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20955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20955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20955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20955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20955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20955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20955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20955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20955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20955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20955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20955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20955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20955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20955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20955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20955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20955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20955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20955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20955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20955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20955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20955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20955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20955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20955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20955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20955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20955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20955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20955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20955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20955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20955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20955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20955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20955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20955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20955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20955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20955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20955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20955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20955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20955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20955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20955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20955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20955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20955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20955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20955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20955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20955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20955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20955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20955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20955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20955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20955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20955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20955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20955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20955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20955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20955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20955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20955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20955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20955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20955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20955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20955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20955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20955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20955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20955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20955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20955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20955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20955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20955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20955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20955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20955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20955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20955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20955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20955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20955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20955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20955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20955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20955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20955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20955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20955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20955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20955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20955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20955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20955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20955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20955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20955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20955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20955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20955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20955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20955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20955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20955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20955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20955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20955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20955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20955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20955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20955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20955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20955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20955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20955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20955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20955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20955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20955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20955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20955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20955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20955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20955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20955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20955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20955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20955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20955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20955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20955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20955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20955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20955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20955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20955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20955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20955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20955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20955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20955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20955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20955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20955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20955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20955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20955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20955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20955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20955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20955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20955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20955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20955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20955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20955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20955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20955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20955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20955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20955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20955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20955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20955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20955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20955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20955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20955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20955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20955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20955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20955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20955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20955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20955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20955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20955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20955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20955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20955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20955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20955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20955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20955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20955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20955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20955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20955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20955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20955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20955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20955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20955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20955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20955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20955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20955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20955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20955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20955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20955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20955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20955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20955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20955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20955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20955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20955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20955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20955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20955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20955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20955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20955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20955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20955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20955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20955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20955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20955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20955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20955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20955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20955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20955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20955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20955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20955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20955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20955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20955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20955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20955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20955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20955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20955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20955</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-81280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-64135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-46990</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-29845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-12700</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3810</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20955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-98425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-81280</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-64135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-46990</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-29845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-12700</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3810</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20955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9440"/>
          </w:cols>
          <w:pgMar w:left="1240" w:top="714" w:right="1219" w:bottom="28"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2019-12-09T18:54:23Z</dcterms:created>
  <dcterms:modified xsi:type="dcterms:W3CDTF">2019-12-09T18:54:23Z</dcterms:modified>
</cp:coreProperties>
</file>