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2"/>
                </w:rPr>
                <w:t>BHUSRI ANEEL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1,228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1,228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58.65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1,228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40" w:hanging="6"/>
        <w:spacing w:after="0" w:line="253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 The deferred portion of the retainer fee is pro-rated for a partial year of service and converted to DSUs based on the average closing price of the Company's Common Stock during the period of service.</w:t>
      </w:r>
    </w:p>
    <w:p>
      <w:pPr>
        <w:spacing w:after="0" w:line="19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Reporting Person's annual retainer fee was pro-rated for a partial year of service, therefore, the price of the DSUs is the average closing price of the Company's Common Stock during the period of service.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/s/ Tia Y. Turk, Attorney-In-Fact for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Mr. Bhusri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9396095</wp:posOffset>
            </wp:positionV>
            <wp:extent cx="6944360" cy="190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57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2022-01-04T16:41:02Z</dcterms:created>
  <dcterms:modified xsi:type="dcterms:W3CDTF">2022-01-04T16:41:02Z</dcterms:modified>
</cp:coreProperties>
</file>